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1E2A1" w14:textId="77777777" w:rsidR="009C5F8B" w:rsidRPr="00D95035" w:rsidRDefault="009C5F8B" w:rsidP="009C5F8B">
      <w:pPr>
        <w:pStyle w:val="Heading1"/>
        <w:rPr>
          <w:rFonts w:ascii="Garamond" w:hAnsi="Garamond"/>
          <w:b/>
          <w:color w:val="000000" w:themeColor="text1"/>
          <w:lang w:val="en-GB"/>
        </w:rPr>
      </w:pPr>
      <w:bookmarkStart w:id="0" w:name="_Toc147746069"/>
      <w:bookmarkStart w:id="1" w:name="_Toc147746887"/>
      <w:bookmarkStart w:id="2" w:name="_Toc147747097"/>
      <w:r w:rsidRPr="00D95035">
        <w:rPr>
          <w:rFonts w:ascii="Garamond" w:hAnsi="Garamond"/>
          <w:b/>
          <w:color w:val="000000" w:themeColor="text1"/>
          <w:lang w:val="en-GB"/>
        </w:rPr>
        <w:t>Supplementary Materials</w:t>
      </w:r>
      <w:bookmarkEnd w:id="0"/>
      <w:bookmarkEnd w:id="1"/>
      <w:bookmarkEnd w:id="2"/>
    </w:p>
    <w:p w14:paraId="1B302C15" w14:textId="77777777" w:rsidR="009C5F8B" w:rsidRPr="00D95035" w:rsidRDefault="009C5F8B" w:rsidP="009C5F8B">
      <w:pPr>
        <w:widowControl w:val="0"/>
        <w:autoSpaceDE w:val="0"/>
        <w:autoSpaceDN w:val="0"/>
        <w:adjustRightInd w:val="0"/>
        <w:rPr>
          <w:rFonts w:ascii="Garamond" w:hAnsi="Garamond"/>
          <w:color w:val="000000" w:themeColor="text1"/>
          <w:sz w:val="22"/>
          <w:szCs w:val="22"/>
        </w:rPr>
      </w:pPr>
    </w:p>
    <w:p w14:paraId="2217E331" w14:textId="77777777" w:rsidR="009C5F8B" w:rsidRPr="00D95035" w:rsidRDefault="009C5F8B" w:rsidP="009C5F8B">
      <w:pPr>
        <w:rPr>
          <w:rFonts w:ascii="Garamond" w:hAnsi="Garamond"/>
          <w:color w:val="000000" w:themeColor="text1"/>
          <w:sz w:val="22"/>
          <w:szCs w:val="22"/>
        </w:rPr>
      </w:pPr>
    </w:p>
    <w:p w14:paraId="0973A62C" w14:textId="77777777" w:rsidR="009C5F8B" w:rsidRPr="00D95035" w:rsidRDefault="009C5F8B" w:rsidP="009C5F8B">
      <w:pPr>
        <w:rPr>
          <w:rFonts w:ascii="Garamond" w:hAnsi="Garamond"/>
          <w:color w:val="000000" w:themeColor="text1"/>
          <w:sz w:val="22"/>
          <w:szCs w:val="22"/>
        </w:rPr>
      </w:pPr>
    </w:p>
    <w:p w14:paraId="34BA9185" w14:textId="77777777" w:rsidR="009C5F8B" w:rsidRPr="00D95035" w:rsidRDefault="009C5F8B" w:rsidP="009C5F8B">
      <w:pPr>
        <w:rPr>
          <w:rFonts w:ascii="Garamond" w:hAnsi="Garamond"/>
          <w:color w:val="000000" w:themeColor="text1"/>
          <w:sz w:val="22"/>
          <w:szCs w:val="22"/>
        </w:rPr>
      </w:pPr>
      <w:r w:rsidRPr="00D95035">
        <w:rPr>
          <w:rFonts w:ascii="Garamond" w:hAnsi="Garamond"/>
          <w:noProof/>
          <w:color w:val="000000" w:themeColor="text1"/>
          <w:sz w:val="22"/>
          <w:szCs w:val="22"/>
        </w:rPr>
        <w:drawing>
          <wp:inline distT="0" distB="0" distL="0" distR="0" wp14:anchorId="4FD2529E" wp14:editId="74E17935">
            <wp:extent cx="5471405" cy="2214245"/>
            <wp:effectExtent l="0" t="0" r="2540" b="0"/>
            <wp:docPr id="33" name="Picture 33" descr="A graph of a line and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graph of a line and a lin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1736" cy="221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D633F" w14:textId="4E2F2DB8" w:rsidR="009C5F8B" w:rsidRPr="00D95035" w:rsidRDefault="009C5F8B" w:rsidP="009C5F8B">
      <w:pPr>
        <w:spacing w:line="340" w:lineRule="auto"/>
        <w:jc w:val="both"/>
        <w:rPr>
          <w:rFonts w:ascii="Garamond" w:hAnsi="Garamond"/>
          <w:color w:val="000000" w:themeColor="text1"/>
        </w:rPr>
      </w:pPr>
      <w:r w:rsidRPr="00D95035">
        <w:rPr>
          <w:rFonts w:ascii="Garamond" w:hAnsi="Garamond"/>
          <w:b/>
          <w:color w:val="000000" w:themeColor="text1"/>
        </w:rPr>
        <w:t>Supplementary 1.</w:t>
      </w:r>
      <w:r w:rsidRPr="00D95035">
        <w:rPr>
          <w:rFonts w:ascii="Garamond" w:hAnsi="Garamond"/>
          <w:color w:val="000000" w:themeColor="text1"/>
        </w:rPr>
        <w:t xml:space="preserve"> Examples of </w:t>
      </w:r>
      <w:r w:rsidR="007B7E7D">
        <w:rPr>
          <w:rFonts w:ascii="Garamond" w:hAnsi="Garamond"/>
          <w:color w:val="000000" w:themeColor="text1"/>
        </w:rPr>
        <w:t>false</w:t>
      </w:r>
      <w:r w:rsidRPr="00D95035">
        <w:rPr>
          <w:rFonts w:ascii="Garamond" w:hAnsi="Garamond"/>
          <w:color w:val="000000" w:themeColor="text1"/>
        </w:rPr>
        <w:t xml:space="preserve"> and </w:t>
      </w:r>
      <w:r w:rsidR="007B7E7D">
        <w:rPr>
          <w:rFonts w:ascii="Garamond" w:hAnsi="Garamond"/>
          <w:color w:val="000000" w:themeColor="text1"/>
        </w:rPr>
        <w:t>real</w:t>
      </w:r>
      <w:r w:rsidRPr="00D95035">
        <w:rPr>
          <w:rFonts w:ascii="Garamond" w:hAnsi="Garamond"/>
          <w:color w:val="000000" w:themeColor="text1"/>
        </w:rPr>
        <w:t xml:space="preserve"> dives recorded by the Time Depth Recorder (TDR) logger where the device was activated based on a pressure threshold (&gt;1.5 metres). </w:t>
      </w:r>
      <w:r w:rsidRPr="00D95035">
        <w:rPr>
          <w:rFonts w:ascii="Garamond" w:hAnsi="Garamond"/>
          <w:b/>
          <w:color w:val="000000" w:themeColor="text1"/>
        </w:rPr>
        <w:t>A)</w:t>
      </w:r>
      <w:r w:rsidRPr="00D95035">
        <w:rPr>
          <w:rFonts w:ascii="Garamond" w:hAnsi="Garamond"/>
          <w:color w:val="000000" w:themeColor="text1"/>
        </w:rPr>
        <w:t xml:space="preserve"> Depth plotted against time for a dive which was identified as false where the bird is most likely sat on the water. In </w:t>
      </w:r>
      <w:r w:rsidRPr="00D95035">
        <w:rPr>
          <w:rFonts w:ascii="Garamond" w:hAnsi="Garamond"/>
          <w:b/>
          <w:color w:val="000000" w:themeColor="text1"/>
        </w:rPr>
        <w:t>B)</w:t>
      </w:r>
      <w:r w:rsidRPr="00D95035">
        <w:rPr>
          <w:rFonts w:ascii="Garamond" w:hAnsi="Garamond"/>
          <w:color w:val="000000" w:themeColor="text1"/>
        </w:rPr>
        <w:t xml:space="preserve"> depth is plotted against time for a dive that was identified as real.</w:t>
      </w:r>
    </w:p>
    <w:p w14:paraId="2385501D" w14:textId="77777777" w:rsidR="009C5F8B" w:rsidRPr="00D95035" w:rsidRDefault="009C5F8B" w:rsidP="009C5F8B">
      <w:pPr>
        <w:rPr>
          <w:rFonts w:ascii="Garamond" w:hAnsi="Garamond"/>
          <w:color w:val="000000" w:themeColor="text1"/>
          <w:sz w:val="22"/>
          <w:szCs w:val="22"/>
        </w:rPr>
      </w:pPr>
    </w:p>
    <w:p w14:paraId="4C5F357C" w14:textId="77777777" w:rsidR="009C5F8B" w:rsidRPr="00D95035" w:rsidRDefault="009C5F8B" w:rsidP="009C5F8B">
      <w:pPr>
        <w:rPr>
          <w:rFonts w:ascii="Garamond" w:hAnsi="Garamond"/>
          <w:color w:val="000000" w:themeColor="text1"/>
          <w:sz w:val="22"/>
          <w:szCs w:val="22"/>
        </w:rPr>
      </w:pPr>
    </w:p>
    <w:p w14:paraId="7B93C4CA" w14:textId="77777777" w:rsidR="009C5F8B" w:rsidRPr="00D95035" w:rsidRDefault="009C5F8B" w:rsidP="009C5F8B">
      <w:pPr>
        <w:rPr>
          <w:rFonts w:ascii="Garamond" w:hAnsi="Garamond"/>
          <w:color w:val="000000" w:themeColor="text1"/>
          <w:sz w:val="22"/>
          <w:szCs w:val="22"/>
        </w:rPr>
      </w:pPr>
    </w:p>
    <w:p w14:paraId="6EF1650D" w14:textId="77777777" w:rsidR="009C5F8B" w:rsidRPr="00D95035" w:rsidRDefault="009C5F8B" w:rsidP="009C5F8B">
      <w:pPr>
        <w:spacing w:line="360" w:lineRule="auto"/>
        <w:rPr>
          <w:rFonts w:ascii="Garamond" w:hAnsi="Garamond"/>
        </w:rPr>
      </w:pPr>
    </w:p>
    <w:tbl>
      <w:tblPr>
        <w:tblStyle w:val="TableGrid"/>
        <w:tblpPr w:leftFromText="180" w:rightFromText="180" w:vertAnchor="text" w:horzAnchor="margin" w:tblpY="221"/>
        <w:tblW w:w="9634" w:type="dxa"/>
        <w:tblLook w:val="04A0" w:firstRow="1" w:lastRow="0" w:firstColumn="1" w:lastColumn="0" w:noHBand="0" w:noVBand="1"/>
      </w:tblPr>
      <w:tblGrid>
        <w:gridCol w:w="1076"/>
        <w:gridCol w:w="912"/>
        <w:gridCol w:w="2543"/>
        <w:gridCol w:w="1276"/>
        <w:gridCol w:w="1559"/>
        <w:gridCol w:w="851"/>
        <w:gridCol w:w="1417"/>
      </w:tblGrid>
      <w:tr w:rsidR="009C5F8B" w:rsidRPr="00D95035" w14:paraId="145B443C" w14:textId="77777777" w:rsidTr="00EC28EB">
        <w:trPr>
          <w:trHeight w:val="482"/>
        </w:trPr>
        <w:tc>
          <w:tcPr>
            <w:tcW w:w="1076" w:type="dxa"/>
          </w:tcPr>
          <w:p w14:paraId="3DBEA4AD" w14:textId="77777777" w:rsidR="009C5F8B" w:rsidRPr="00D95035" w:rsidRDefault="009C5F8B" w:rsidP="00EC28EB">
            <w:pPr>
              <w:rPr>
                <w:rFonts w:ascii="Garamond" w:hAnsi="Garamond"/>
                <w:b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b/>
                <w:color w:val="000000" w:themeColor="text1"/>
                <w:sz w:val="21"/>
                <w:szCs w:val="21"/>
              </w:rPr>
              <w:t xml:space="preserve">Response </w:t>
            </w:r>
          </w:p>
        </w:tc>
        <w:tc>
          <w:tcPr>
            <w:tcW w:w="912" w:type="dxa"/>
          </w:tcPr>
          <w:p w14:paraId="55C04B8D" w14:textId="77777777" w:rsidR="009C5F8B" w:rsidRPr="00D95035" w:rsidRDefault="009C5F8B" w:rsidP="00EC28EB">
            <w:pPr>
              <w:rPr>
                <w:rFonts w:ascii="Garamond" w:hAnsi="Garamond"/>
                <w:b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b/>
                <w:color w:val="000000" w:themeColor="text1"/>
                <w:sz w:val="21"/>
                <w:szCs w:val="21"/>
              </w:rPr>
              <w:t>Model number</w:t>
            </w:r>
          </w:p>
        </w:tc>
        <w:tc>
          <w:tcPr>
            <w:tcW w:w="2543" w:type="dxa"/>
          </w:tcPr>
          <w:p w14:paraId="4D1F3DBC" w14:textId="77777777" w:rsidR="009C5F8B" w:rsidRPr="00D95035" w:rsidRDefault="009C5F8B" w:rsidP="00EC28EB">
            <w:pPr>
              <w:rPr>
                <w:rFonts w:ascii="Garamond" w:hAnsi="Garamond"/>
                <w:b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b/>
                <w:color w:val="000000" w:themeColor="text1"/>
                <w:sz w:val="21"/>
                <w:szCs w:val="21"/>
              </w:rPr>
              <w:t>Coefficient</w:t>
            </w:r>
          </w:p>
        </w:tc>
        <w:tc>
          <w:tcPr>
            <w:tcW w:w="1276" w:type="dxa"/>
          </w:tcPr>
          <w:p w14:paraId="42902326" w14:textId="77777777" w:rsidR="009C5F8B" w:rsidRPr="00D95035" w:rsidRDefault="009C5F8B" w:rsidP="00EC28EB">
            <w:pPr>
              <w:rPr>
                <w:rFonts w:ascii="Garamond" w:hAnsi="Garamond"/>
                <w:b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b/>
                <w:color w:val="000000" w:themeColor="text1"/>
                <w:sz w:val="21"/>
                <w:szCs w:val="21"/>
              </w:rPr>
              <w:t>Effect Size</w:t>
            </w:r>
          </w:p>
        </w:tc>
        <w:tc>
          <w:tcPr>
            <w:tcW w:w="1559" w:type="dxa"/>
          </w:tcPr>
          <w:p w14:paraId="2EA13815" w14:textId="77777777" w:rsidR="009C5F8B" w:rsidRPr="00D95035" w:rsidRDefault="009C5F8B" w:rsidP="00EC28EB">
            <w:pPr>
              <w:rPr>
                <w:rFonts w:ascii="Garamond" w:hAnsi="Garamond"/>
                <w:b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b/>
                <w:color w:val="000000" w:themeColor="text1"/>
                <w:sz w:val="21"/>
                <w:szCs w:val="21"/>
              </w:rPr>
              <w:t>Confidence Intervals</w:t>
            </w:r>
          </w:p>
        </w:tc>
        <w:tc>
          <w:tcPr>
            <w:tcW w:w="851" w:type="dxa"/>
          </w:tcPr>
          <w:p w14:paraId="79F137D8" w14:textId="77777777" w:rsidR="009C5F8B" w:rsidRPr="00D95035" w:rsidRDefault="009C5F8B" w:rsidP="00EC28EB">
            <w:pPr>
              <w:rPr>
                <w:rFonts w:ascii="Garamond" w:hAnsi="Garamond"/>
                <w:b/>
                <w:i/>
                <w:iCs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b/>
                <w:i/>
                <w:iCs/>
                <w:color w:val="000000" w:themeColor="text1"/>
                <w:sz w:val="21"/>
                <w:szCs w:val="21"/>
              </w:rPr>
              <w:sym w:font="Symbol" w:char="F063"/>
            </w:r>
            <w:r w:rsidRPr="00D95035">
              <w:rPr>
                <w:rFonts w:ascii="Garamond" w:hAnsi="Garamond"/>
                <w:b/>
                <w:i/>
                <w:iCs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35F85ED8" w14:textId="77777777" w:rsidR="009C5F8B" w:rsidRPr="00D95035" w:rsidRDefault="009C5F8B" w:rsidP="00EC28EB">
            <w:pPr>
              <w:rPr>
                <w:rFonts w:ascii="Garamond" w:hAnsi="Garamond"/>
                <w:b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b/>
                <w:color w:val="000000" w:themeColor="text1"/>
                <w:sz w:val="21"/>
                <w:szCs w:val="21"/>
              </w:rPr>
              <w:t>p value</w:t>
            </w:r>
          </w:p>
        </w:tc>
      </w:tr>
      <w:tr w:rsidR="009C5F8B" w:rsidRPr="00D95035" w14:paraId="07093FB9" w14:textId="77777777" w:rsidTr="00EC28EB">
        <w:trPr>
          <w:trHeight w:val="1258"/>
        </w:trPr>
        <w:tc>
          <w:tcPr>
            <w:tcW w:w="1076" w:type="dxa"/>
          </w:tcPr>
          <w:p w14:paraId="0C557B61" w14:textId="77777777" w:rsidR="009C5F8B" w:rsidRPr="00D95035" w:rsidRDefault="009C5F8B" w:rsidP="00EC28EB">
            <w:pPr>
              <w:rPr>
                <w:rFonts w:ascii="Garamond" w:hAnsi="Garamond"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color w:val="000000" w:themeColor="text1"/>
                <w:sz w:val="21"/>
                <w:szCs w:val="21"/>
              </w:rPr>
              <w:t>Number of Evening Dives (females only)</w:t>
            </w:r>
          </w:p>
        </w:tc>
        <w:tc>
          <w:tcPr>
            <w:tcW w:w="912" w:type="dxa"/>
          </w:tcPr>
          <w:p w14:paraId="466AF9F3" w14:textId="77777777" w:rsidR="009C5F8B" w:rsidRPr="00D95035" w:rsidRDefault="009C5F8B" w:rsidP="00EC28EB">
            <w:pPr>
              <w:rPr>
                <w:rFonts w:ascii="Garamond" w:hAnsi="Garamond"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543" w:type="dxa"/>
          </w:tcPr>
          <w:p w14:paraId="1103C495" w14:textId="77777777" w:rsidR="009C5F8B" w:rsidRPr="00D95035" w:rsidRDefault="009C5F8B" w:rsidP="00EC28EB">
            <w:pPr>
              <w:rPr>
                <w:rFonts w:ascii="Garamond" w:hAnsi="Garamond"/>
                <w:i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i/>
                <w:color w:val="000000" w:themeColor="text1"/>
                <w:sz w:val="21"/>
                <w:szCs w:val="21"/>
              </w:rPr>
              <w:t>Intercept</w:t>
            </w:r>
          </w:p>
          <w:p w14:paraId="589951C8" w14:textId="77777777" w:rsidR="009C5F8B" w:rsidRPr="00D95035" w:rsidRDefault="009C5F8B" w:rsidP="00EC28EB">
            <w:pPr>
              <w:rPr>
                <w:rFonts w:ascii="Garamond" w:hAnsi="Garamond"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color w:val="000000" w:themeColor="text1"/>
                <w:sz w:val="21"/>
                <w:szCs w:val="21"/>
              </w:rPr>
              <w:t>Breeding Stage (pre-laying)</w:t>
            </w:r>
          </w:p>
          <w:p w14:paraId="0CE354B4" w14:textId="77777777" w:rsidR="009C5F8B" w:rsidRPr="00D95035" w:rsidRDefault="009C5F8B" w:rsidP="00EC28EB">
            <w:pPr>
              <w:rPr>
                <w:rFonts w:ascii="Garamond" w:hAnsi="Garamond"/>
                <w:b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b/>
                <w:color w:val="000000" w:themeColor="text1"/>
                <w:sz w:val="21"/>
                <w:szCs w:val="21"/>
              </w:rPr>
              <w:t>Colony Visit (Present)</w:t>
            </w:r>
          </w:p>
          <w:p w14:paraId="08353837" w14:textId="77777777" w:rsidR="009C5F8B" w:rsidRPr="00D95035" w:rsidRDefault="009C5F8B" w:rsidP="00EC28EB">
            <w:pPr>
              <w:rPr>
                <w:rFonts w:ascii="Garamond" w:hAnsi="Garamond"/>
                <w:b/>
                <w:i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color w:val="000000" w:themeColor="text1"/>
                <w:sz w:val="21"/>
                <w:szCs w:val="21"/>
              </w:rPr>
              <w:t>Interactive term</w:t>
            </w:r>
          </w:p>
        </w:tc>
        <w:tc>
          <w:tcPr>
            <w:tcW w:w="1276" w:type="dxa"/>
          </w:tcPr>
          <w:p w14:paraId="7CBA39A5" w14:textId="77777777" w:rsidR="009C5F8B" w:rsidRPr="00D95035" w:rsidRDefault="009C5F8B" w:rsidP="00EC28EB">
            <w:pPr>
              <w:rPr>
                <w:rFonts w:ascii="Garamond" w:hAnsi="Garamond"/>
                <w:sz w:val="21"/>
                <w:szCs w:val="21"/>
              </w:rPr>
            </w:pPr>
            <w:r w:rsidRPr="00D95035">
              <w:rPr>
                <w:rFonts w:ascii="Garamond" w:hAnsi="Garamond"/>
                <w:sz w:val="21"/>
                <w:szCs w:val="21"/>
              </w:rPr>
              <w:t>33.862</w:t>
            </w:r>
          </w:p>
          <w:p w14:paraId="0F425A78" w14:textId="77777777" w:rsidR="009C5F8B" w:rsidRPr="00D95035" w:rsidRDefault="009C5F8B" w:rsidP="00EC28EB">
            <w:pPr>
              <w:rPr>
                <w:rFonts w:ascii="Garamond" w:hAnsi="Garamond"/>
                <w:sz w:val="21"/>
                <w:szCs w:val="21"/>
              </w:rPr>
            </w:pPr>
            <w:r w:rsidRPr="00D95035">
              <w:rPr>
                <w:rFonts w:ascii="Garamond" w:hAnsi="Garamond"/>
                <w:sz w:val="21"/>
                <w:szCs w:val="21"/>
              </w:rPr>
              <w:t>-1.693</w:t>
            </w:r>
          </w:p>
          <w:p w14:paraId="7F9553E1" w14:textId="77777777" w:rsidR="009C5F8B" w:rsidRPr="00D95035" w:rsidRDefault="009C5F8B" w:rsidP="00EC28EB">
            <w:pPr>
              <w:rPr>
                <w:rFonts w:ascii="Garamond" w:hAnsi="Garamond"/>
                <w:sz w:val="21"/>
                <w:szCs w:val="21"/>
              </w:rPr>
            </w:pPr>
            <w:r w:rsidRPr="00D95035">
              <w:rPr>
                <w:rFonts w:ascii="Garamond" w:hAnsi="Garamond"/>
                <w:sz w:val="21"/>
                <w:szCs w:val="21"/>
              </w:rPr>
              <w:t>-23.674</w:t>
            </w:r>
          </w:p>
          <w:p w14:paraId="1EBFD7FA" w14:textId="77777777" w:rsidR="009C5F8B" w:rsidRPr="00D95035" w:rsidRDefault="009C5F8B" w:rsidP="00EC28EB">
            <w:pPr>
              <w:rPr>
                <w:rFonts w:ascii="Garamond" w:hAnsi="Garamond"/>
                <w:sz w:val="21"/>
                <w:szCs w:val="21"/>
              </w:rPr>
            </w:pPr>
            <w:r w:rsidRPr="00D95035">
              <w:rPr>
                <w:rFonts w:ascii="Garamond" w:hAnsi="Garamond"/>
                <w:sz w:val="21"/>
                <w:szCs w:val="21"/>
              </w:rPr>
              <w:t>8.038</w:t>
            </w:r>
          </w:p>
          <w:p w14:paraId="40CD4166" w14:textId="77777777" w:rsidR="009C5F8B" w:rsidRPr="00D95035" w:rsidRDefault="009C5F8B" w:rsidP="00EC28EB">
            <w:pPr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1D52CD02" w14:textId="77777777" w:rsidR="009C5F8B" w:rsidRPr="00D95035" w:rsidRDefault="009C5F8B" w:rsidP="00EC28EB">
            <w:pPr>
              <w:rPr>
                <w:rFonts w:ascii="Garamond" w:hAnsi="Garamond"/>
                <w:sz w:val="21"/>
                <w:szCs w:val="21"/>
              </w:rPr>
            </w:pPr>
            <w:r w:rsidRPr="00D95035">
              <w:rPr>
                <w:rFonts w:ascii="Garamond" w:hAnsi="Garamond"/>
                <w:sz w:val="21"/>
                <w:szCs w:val="21"/>
              </w:rPr>
              <w:t>23.849, 43.344</w:t>
            </w:r>
          </w:p>
          <w:p w14:paraId="0C8F8F3C" w14:textId="77777777" w:rsidR="009C5F8B" w:rsidRPr="00D95035" w:rsidRDefault="009C5F8B" w:rsidP="00EC28EB">
            <w:pPr>
              <w:rPr>
                <w:rFonts w:ascii="Garamond" w:hAnsi="Garamond"/>
                <w:sz w:val="21"/>
                <w:szCs w:val="21"/>
              </w:rPr>
            </w:pPr>
            <w:r w:rsidRPr="00D95035">
              <w:rPr>
                <w:rFonts w:ascii="Garamond" w:hAnsi="Garamond"/>
                <w:sz w:val="21"/>
                <w:szCs w:val="21"/>
              </w:rPr>
              <w:t>-10.330, 6.583</w:t>
            </w:r>
          </w:p>
          <w:p w14:paraId="7A76AB8A" w14:textId="77777777" w:rsidR="009C5F8B" w:rsidRPr="00D95035" w:rsidRDefault="009C5F8B" w:rsidP="00EC28EB">
            <w:pPr>
              <w:rPr>
                <w:rFonts w:ascii="Garamond" w:hAnsi="Garamond"/>
                <w:sz w:val="21"/>
                <w:szCs w:val="21"/>
              </w:rPr>
            </w:pPr>
            <w:r w:rsidRPr="00D95035">
              <w:rPr>
                <w:rFonts w:ascii="Garamond" w:hAnsi="Garamond"/>
                <w:sz w:val="21"/>
                <w:szCs w:val="21"/>
              </w:rPr>
              <w:t>-45.165, -4.103</w:t>
            </w:r>
          </w:p>
          <w:p w14:paraId="359FB68F" w14:textId="77777777" w:rsidR="009C5F8B" w:rsidRPr="00D95035" w:rsidRDefault="009C5F8B" w:rsidP="00EC28EB">
            <w:pPr>
              <w:rPr>
                <w:rFonts w:ascii="Garamond" w:hAnsi="Garamond"/>
                <w:sz w:val="21"/>
                <w:szCs w:val="21"/>
              </w:rPr>
            </w:pPr>
            <w:r w:rsidRPr="00D95035">
              <w:rPr>
                <w:rFonts w:ascii="Garamond" w:hAnsi="Garamond"/>
                <w:sz w:val="21"/>
                <w:szCs w:val="21"/>
              </w:rPr>
              <w:t>-18.432, 33.543</w:t>
            </w:r>
          </w:p>
          <w:p w14:paraId="4B2B554E" w14:textId="77777777" w:rsidR="009C5F8B" w:rsidRPr="00D95035" w:rsidRDefault="009C5F8B" w:rsidP="00EC28EB">
            <w:pPr>
              <w:rPr>
                <w:rFonts w:ascii="Garamond" w:hAnsi="Garamond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</w:tcPr>
          <w:p w14:paraId="58746481" w14:textId="77777777" w:rsidR="009C5F8B" w:rsidRPr="00D95035" w:rsidRDefault="009C5F8B" w:rsidP="00EC28EB">
            <w:pPr>
              <w:rPr>
                <w:rFonts w:ascii="Garamond" w:hAnsi="Garamond"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color w:val="000000" w:themeColor="text1"/>
                <w:sz w:val="21"/>
                <w:szCs w:val="21"/>
              </w:rPr>
              <w:t>-</w:t>
            </w:r>
          </w:p>
          <w:p w14:paraId="04409A89" w14:textId="77777777" w:rsidR="009C5F8B" w:rsidRPr="00D95035" w:rsidRDefault="009C5F8B" w:rsidP="00EC28EB">
            <w:pPr>
              <w:rPr>
                <w:rFonts w:ascii="Garamond" w:hAnsi="Garamond"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color w:val="000000" w:themeColor="text1"/>
                <w:sz w:val="21"/>
                <w:szCs w:val="21"/>
              </w:rPr>
              <w:t>0.465</w:t>
            </w:r>
          </w:p>
          <w:p w14:paraId="3D751BF0" w14:textId="77777777" w:rsidR="009C5F8B" w:rsidRPr="00D95035" w:rsidRDefault="009C5F8B" w:rsidP="00EC28EB">
            <w:pPr>
              <w:rPr>
                <w:rFonts w:ascii="Garamond" w:hAnsi="Garamond"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color w:val="000000" w:themeColor="text1"/>
                <w:sz w:val="21"/>
                <w:szCs w:val="21"/>
              </w:rPr>
              <w:t>8.323</w:t>
            </w:r>
          </w:p>
          <w:p w14:paraId="50BD996F" w14:textId="77777777" w:rsidR="009C5F8B" w:rsidRPr="00D95035" w:rsidRDefault="009C5F8B" w:rsidP="00EC28EB">
            <w:pPr>
              <w:rPr>
                <w:rFonts w:ascii="Garamond" w:hAnsi="Garamond"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color w:val="000000" w:themeColor="text1"/>
                <w:sz w:val="21"/>
                <w:szCs w:val="21"/>
              </w:rPr>
              <w:t>0.379</w:t>
            </w:r>
          </w:p>
        </w:tc>
        <w:tc>
          <w:tcPr>
            <w:tcW w:w="1417" w:type="dxa"/>
          </w:tcPr>
          <w:p w14:paraId="14B40999" w14:textId="77777777" w:rsidR="009C5F8B" w:rsidRPr="00D95035" w:rsidRDefault="009C5F8B" w:rsidP="00EC28EB">
            <w:pPr>
              <w:rPr>
                <w:rFonts w:ascii="Garamond" w:hAnsi="Garamond"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color w:val="000000" w:themeColor="text1"/>
                <w:sz w:val="21"/>
                <w:szCs w:val="21"/>
              </w:rPr>
              <w:t>-</w:t>
            </w:r>
            <w:r w:rsidRPr="00D95035">
              <w:rPr>
                <w:rFonts w:ascii="Garamond" w:hAnsi="Garamond"/>
                <w:color w:val="000000" w:themeColor="text1"/>
                <w:sz w:val="21"/>
                <w:szCs w:val="21"/>
              </w:rPr>
              <w:br/>
              <w:t>&gt;0.05</w:t>
            </w:r>
          </w:p>
          <w:p w14:paraId="59E0F6FE" w14:textId="77777777" w:rsidR="009C5F8B" w:rsidRPr="00D95035" w:rsidRDefault="009C5F8B" w:rsidP="00EC28EB">
            <w:pPr>
              <w:rPr>
                <w:rFonts w:ascii="Garamond" w:hAnsi="Garamond"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color w:val="000000" w:themeColor="text1"/>
                <w:sz w:val="21"/>
                <w:szCs w:val="21"/>
              </w:rPr>
              <w:t>&lt;0.0001***</w:t>
            </w:r>
          </w:p>
          <w:p w14:paraId="267041E5" w14:textId="77777777" w:rsidR="009C5F8B" w:rsidRPr="00D95035" w:rsidRDefault="009C5F8B" w:rsidP="00EC28EB">
            <w:pPr>
              <w:rPr>
                <w:rFonts w:ascii="Garamond" w:hAnsi="Garamond"/>
                <w:color w:val="000000" w:themeColor="text1"/>
                <w:sz w:val="21"/>
                <w:szCs w:val="21"/>
              </w:rPr>
            </w:pPr>
            <w:r w:rsidRPr="00D95035">
              <w:rPr>
                <w:rFonts w:ascii="Garamond" w:hAnsi="Garamond"/>
                <w:color w:val="000000" w:themeColor="text1"/>
                <w:sz w:val="21"/>
                <w:szCs w:val="21"/>
              </w:rPr>
              <w:t>&gt;0.05</w:t>
            </w:r>
          </w:p>
          <w:p w14:paraId="3B9CBCF1" w14:textId="77777777" w:rsidR="009C5F8B" w:rsidRPr="00D95035" w:rsidRDefault="009C5F8B" w:rsidP="00EC28EB">
            <w:pPr>
              <w:rPr>
                <w:rFonts w:ascii="Garamond" w:hAnsi="Garamond"/>
                <w:color w:val="000000" w:themeColor="text1"/>
                <w:sz w:val="21"/>
                <w:szCs w:val="21"/>
              </w:rPr>
            </w:pPr>
          </w:p>
        </w:tc>
      </w:tr>
    </w:tbl>
    <w:p w14:paraId="08DE4B57" w14:textId="77777777" w:rsidR="009C5F8B" w:rsidRPr="00D95035" w:rsidRDefault="009C5F8B" w:rsidP="009C5F8B">
      <w:pPr>
        <w:rPr>
          <w:rFonts w:ascii="Garamond" w:hAnsi="Garamond"/>
          <w:sz w:val="21"/>
          <w:szCs w:val="21"/>
        </w:rPr>
      </w:pPr>
    </w:p>
    <w:p w14:paraId="52FD05BF" w14:textId="77777777" w:rsidR="009C5F8B" w:rsidRPr="00D95035" w:rsidRDefault="009C5F8B" w:rsidP="009C5F8B">
      <w:pPr>
        <w:spacing w:line="340" w:lineRule="auto"/>
        <w:jc w:val="both"/>
        <w:rPr>
          <w:rFonts w:ascii="Garamond" w:hAnsi="Garamond"/>
          <w:color w:val="000000" w:themeColor="text1"/>
        </w:rPr>
      </w:pPr>
      <w:r w:rsidRPr="00D95035">
        <w:rPr>
          <w:rFonts w:ascii="Garamond" w:hAnsi="Garamond"/>
          <w:b/>
        </w:rPr>
        <w:t>Supplementary 2.</w:t>
      </w:r>
      <w:r w:rsidRPr="00D95035">
        <w:rPr>
          <w:rFonts w:ascii="Garamond" w:hAnsi="Garamond"/>
        </w:rPr>
        <w:t xml:space="preserve"> </w:t>
      </w:r>
      <w:r w:rsidRPr="00D95035">
        <w:rPr>
          <w:rFonts w:ascii="Garamond" w:hAnsi="Garamond"/>
          <w:bCs/>
          <w:color w:val="000000" w:themeColor="text1"/>
        </w:rPr>
        <w:t xml:space="preserve">A table representing the results of supplementary mixed effects model 4 where we tested the effect of colony visitation on evening dive number when males were excluded. For each coefficient, confidence intervals and effect sizes were obtained through bootstrapping, whilst </w:t>
      </w:r>
      <w:r w:rsidRPr="00D95035">
        <w:rPr>
          <w:rFonts w:ascii="Garamond" w:hAnsi="Garamond"/>
          <w:b/>
          <w:i/>
          <w:iCs/>
          <w:color w:val="000000" w:themeColor="text1"/>
        </w:rPr>
        <w:sym w:font="Symbol" w:char="F063"/>
      </w:r>
      <w:r w:rsidRPr="00D95035">
        <w:rPr>
          <w:rFonts w:ascii="Garamond" w:hAnsi="Garamond"/>
          <w:b/>
          <w:i/>
          <w:iCs/>
          <w:color w:val="000000" w:themeColor="text1"/>
          <w:vertAlign w:val="superscript"/>
        </w:rPr>
        <w:t>2</w:t>
      </w:r>
      <w:r w:rsidRPr="00D95035">
        <w:rPr>
          <w:rFonts w:ascii="Garamond" w:hAnsi="Garamond"/>
          <w:bCs/>
          <w:color w:val="000000" w:themeColor="text1"/>
        </w:rPr>
        <w:t xml:space="preserve"> and p values were obtained through likelihood ratio tests. </w:t>
      </w:r>
      <w:r w:rsidRPr="00D95035">
        <w:rPr>
          <w:rFonts w:ascii="Garamond" w:hAnsi="Garamond"/>
          <w:color w:val="000000" w:themeColor="text1"/>
        </w:rPr>
        <w:t>Significant predictors are highlighted in bold and significance levels indicated by the number of asterisks (&lt; 0 ‘***’, &lt;0.001 ‘**’, &lt;0.01 ‘*’</w:t>
      </w:r>
    </w:p>
    <w:p w14:paraId="02A54863" w14:textId="77777777" w:rsidR="009C5F8B" w:rsidRDefault="009C5F8B"/>
    <w:sectPr w:rsidR="009C5F8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F8B"/>
    <w:rsid w:val="00086778"/>
    <w:rsid w:val="007B7E7D"/>
    <w:rsid w:val="009C5F8B"/>
    <w:rsid w:val="00A4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B5EE39"/>
  <w15:chartTrackingRefBased/>
  <w15:docId w15:val="{CADCF755-873C-4141-9C0A-1660020F7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001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F8B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F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001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F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001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F8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001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F8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001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F8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001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F8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001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F8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001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F8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001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F8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001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F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F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F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F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F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F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F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00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5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F8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001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5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F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001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5F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F8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001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5F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001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F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F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5F8B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davies</dc:creator>
  <cp:keywords/>
  <dc:description/>
  <cp:lastModifiedBy>katrina davies</cp:lastModifiedBy>
  <cp:revision>2</cp:revision>
  <dcterms:created xsi:type="dcterms:W3CDTF">2025-02-05T14:38:00Z</dcterms:created>
  <dcterms:modified xsi:type="dcterms:W3CDTF">2025-04-08T08:43:00Z</dcterms:modified>
</cp:coreProperties>
</file>