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456B5" w14:textId="6B4EEF4E" w:rsidR="00933BFA" w:rsidRPr="00446B09" w:rsidRDefault="00933BFA" w:rsidP="00B713AD">
      <w:pPr>
        <w:spacing w:after="120" w:line="360" w:lineRule="auto"/>
        <w:jc w:val="both"/>
        <w:rPr>
          <w:rFonts w:ascii="Arial" w:hAnsi="Arial" w:cs="Arial"/>
          <w:b/>
          <w:bCs/>
          <w:color w:val="000000"/>
          <w:sz w:val="20"/>
          <w:szCs w:val="20"/>
          <w:shd w:val="clear" w:color="auto" w:fill="FFFFFF"/>
        </w:rPr>
      </w:pPr>
      <w:r w:rsidRPr="00446B09">
        <w:rPr>
          <w:rFonts w:ascii="Arial" w:hAnsi="Arial" w:cs="Arial"/>
          <w:b/>
          <w:bCs/>
          <w:color w:val="000000"/>
          <w:sz w:val="20"/>
          <w:szCs w:val="20"/>
          <w:shd w:val="clear" w:color="auto" w:fill="FFFFFF"/>
        </w:rPr>
        <w:t xml:space="preserve">DNA extraction </w:t>
      </w:r>
    </w:p>
    <w:p w14:paraId="732E1089" w14:textId="0A53B581" w:rsidR="00933BFA" w:rsidRPr="00933BFA" w:rsidRDefault="00D96BBF" w:rsidP="00B713AD">
      <w:pPr>
        <w:spacing w:after="120" w:line="36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Samples were first blotted dry</w:t>
      </w:r>
      <w:r w:rsidR="00AF3B58">
        <w:rPr>
          <w:rFonts w:ascii="Arial" w:hAnsi="Arial" w:cs="Arial"/>
          <w:color w:val="000000"/>
          <w:sz w:val="20"/>
          <w:szCs w:val="20"/>
          <w:shd w:val="clear" w:color="auto" w:fill="FFFFFF"/>
        </w:rPr>
        <w:t>,</w:t>
      </w:r>
      <w:r>
        <w:rPr>
          <w:rFonts w:ascii="Arial" w:hAnsi="Arial" w:cs="Arial"/>
          <w:color w:val="000000"/>
          <w:sz w:val="20"/>
          <w:szCs w:val="20"/>
          <w:shd w:val="clear" w:color="auto" w:fill="FFFFFF"/>
        </w:rPr>
        <w:t xml:space="preserve"> then tissues</w:t>
      </w:r>
      <w:r w:rsidRPr="00933BFA">
        <w:rPr>
          <w:rFonts w:ascii="Arial" w:hAnsi="Arial" w:cs="Arial"/>
          <w:color w:val="000000"/>
          <w:sz w:val="20"/>
          <w:szCs w:val="20"/>
          <w:shd w:val="clear" w:color="auto" w:fill="FFFFFF"/>
        </w:rPr>
        <w:t xml:space="preserve"> </w:t>
      </w:r>
      <w:r w:rsidR="00AF3B58">
        <w:rPr>
          <w:rFonts w:ascii="Arial" w:hAnsi="Arial" w:cs="Arial"/>
          <w:color w:val="000000"/>
          <w:sz w:val="20"/>
          <w:szCs w:val="20"/>
          <w:shd w:val="clear" w:color="auto" w:fill="FFFFFF"/>
        </w:rPr>
        <w:t xml:space="preserve">were </w:t>
      </w:r>
      <w:r>
        <w:rPr>
          <w:rFonts w:ascii="Arial" w:hAnsi="Arial" w:cs="Arial"/>
          <w:color w:val="000000"/>
          <w:sz w:val="20"/>
          <w:szCs w:val="20"/>
          <w:shd w:val="clear" w:color="auto" w:fill="FFFFFF"/>
        </w:rPr>
        <w:t>chopped</w:t>
      </w:r>
      <w:r w:rsidRPr="00933BFA">
        <w:rPr>
          <w:rFonts w:ascii="Arial" w:hAnsi="Arial" w:cs="Arial"/>
          <w:color w:val="000000"/>
          <w:sz w:val="20"/>
          <w:szCs w:val="20"/>
          <w:shd w:val="clear" w:color="auto" w:fill="FFFFFF"/>
        </w:rPr>
        <w:t xml:space="preserve"> into smaller pieces </w:t>
      </w:r>
      <w:r>
        <w:rPr>
          <w:rFonts w:ascii="Arial" w:hAnsi="Arial" w:cs="Arial"/>
          <w:color w:val="000000"/>
          <w:sz w:val="20"/>
          <w:szCs w:val="20"/>
          <w:shd w:val="clear" w:color="auto" w:fill="FFFFFF"/>
        </w:rPr>
        <w:t>prior to extraction</w:t>
      </w:r>
      <w:r w:rsidRPr="00933BFA">
        <w:rPr>
          <w:rFonts w:ascii="Arial" w:hAnsi="Arial" w:cs="Arial"/>
          <w:color w:val="000000"/>
          <w:sz w:val="20"/>
          <w:szCs w:val="20"/>
          <w:shd w:val="clear" w:color="auto" w:fill="FFFFFF"/>
        </w:rPr>
        <w:t>. In the case of gut contents, a partial drying step was performed in</w:t>
      </w:r>
      <w:r>
        <w:rPr>
          <w:rFonts w:ascii="Arial" w:hAnsi="Arial" w:cs="Arial"/>
          <w:color w:val="000000"/>
          <w:sz w:val="20"/>
          <w:szCs w:val="20"/>
          <w:shd w:val="clear" w:color="auto" w:fill="FFFFFF"/>
        </w:rPr>
        <w:t xml:space="preserve"> a</w:t>
      </w:r>
      <w:r w:rsidRPr="00933BFA">
        <w:rPr>
          <w:rFonts w:ascii="Arial" w:hAnsi="Arial" w:cs="Arial"/>
          <w:color w:val="000000"/>
          <w:sz w:val="20"/>
          <w:szCs w:val="20"/>
          <w:shd w:val="clear" w:color="auto" w:fill="FFFFFF"/>
        </w:rPr>
        <w:t xml:space="preserve"> Petri dis</w:t>
      </w:r>
      <w:r>
        <w:rPr>
          <w:rFonts w:ascii="Arial" w:hAnsi="Arial" w:cs="Arial"/>
          <w:color w:val="000000"/>
          <w:sz w:val="20"/>
          <w:szCs w:val="20"/>
          <w:shd w:val="clear" w:color="auto" w:fill="FFFFFF"/>
        </w:rPr>
        <w:t>h before extraction from the</w:t>
      </w:r>
      <w:r w:rsidRPr="00933BFA">
        <w:rPr>
          <w:rFonts w:ascii="Arial" w:hAnsi="Arial" w:cs="Arial"/>
          <w:color w:val="000000"/>
          <w:sz w:val="20"/>
          <w:szCs w:val="20"/>
          <w:shd w:val="clear" w:color="auto" w:fill="FFFFFF"/>
        </w:rPr>
        <w:t xml:space="preserve"> residual </w:t>
      </w:r>
      <w:r>
        <w:rPr>
          <w:rFonts w:ascii="Arial" w:hAnsi="Arial" w:cs="Arial"/>
          <w:color w:val="000000"/>
          <w:sz w:val="20"/>
          <w:szCs w:val="20"/>
          <w:shd w:val="clear" w:color="auto" w:fill="FFFFFF"/>
        </w:rPr>
        <w:t>sample</w:t>
      </w:r>
      <w:r w:rsidRPr="00933BFA">
        <w:rPr>
          <w:rFonts w:ascii="Arial" w:hAnsi="Arial" w:cs="Arial"/>
          <w:color w:val="000000"/>
          <w:sz w:val="20"/>
          <w:szCs w:val="20"/>
          <w:shd w:val="clear" w:color="auto" w:fill="FFFFFF"/>
        </w:rPr>
        <w:t>.</w:t>
      </w:r>
      <w:r>
        <w:rPr>
          <w:rFonts w:ascii="Arial" w:hAnsi="Arial" w:cs="Arial"/>
          <w:color w:val="000000"/>
          <w:sz w:val="20"/>
          <w:szCs w:val="20"/>
          <w:shd w:val="clear" w:color="auto" w:fill="FFFFFF"/>
        </w:rPr>
        <w:t xml:space="preserve"> DNA extraction followed a modified version of </w:t>
      </w:r>
      <w:r w:rsidRPr="00933BFA">
        <w:rPr>
          <w:rFonts w:ascii="Arial" w:hAnsi="Arial" w:cs="Arial"/>
          <w:color w:val="000000"/>
          <w:sz w:val="20"/>
          <w:szCs w:val="20"/>
          <w:shd w:val="clear" w:color="auto" w:fill="FFFFFF"/>
        </w:rPr>
        <w:t xml:space="preserve">the modular mu-DNA protocol </w:t>
      </w:r>
      <w:r>
        <w:rPr>
          <w:rFonts w:ascii="Arial" w:hAnsi="Arial" w:cs="Arial"/>
          <w:color w:val="000000"/>
          <w:sz w:val="20"/>
          <w:szCs w:val="20"/>
          <w:shd w:val="clear" w:color="auto" w:fill="FFFFFF"/>
        </w:rPr>
        <w:t xml:space="preserve">for tissue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&lt;EndNote&gt;&lt;Cite&gt;&lt;Author&gt;Sellers&lt;/Author&gt;&lt;Year&gt;2018&lt;/Year&gt;&lt;RecNum&gt;3948&lt;/RecNum&gt;&lt;DisplayText&gt;(Sellers et al. 2018)&lt;/DisplayText&gt;&lt;record&gt;&lt;rec-number&gt;3948&lt;/rec-number&gt;&lt;foreign-keys&gt;&lt;key app="EN" db-id="p95sxvefgt9xslevs2mxzp97a5r5xpexertx" timestamp="1742311391"&gt;3948&lt;/key&gt;&lt;/foreign-keys&gt;&lt;ref-type name="Journal Article"&gt;17&lt;/ref-type&gt;&lt;contributors&gt;&lt;authors&gt;&lt;author&gt;Sellers, Graham S.&lt;/author&gt;&lt;author&gt;Di Muri, Cristina&lt;/author&gt;&lt;author&gt;Gómez, Africa&lt;/author&gt;&lt;author&gt;Hänfling, Bernd&lt;/author&gt;&lt;/authors&gt;&lt;/contributors&gt;&lt;titles&gt;&lt;title&gt;Mu-DNA: a modular universal DNA extraction method adaptable for a wide range of sample types&lt;/title&gt;&lt;secondary-title&gt;Metabarcoding and Metagenomics&lt;/secondary-title&gt;&lt;/titles&gt;&lt;periodical&gt;&lt;full-title&gt;Metabarcoding and Metagenomics&lt;/full-title&gt;&lt;/periodical&gt;&lt;pages&gt;e24556&lt;/pages&gt;&lt;volume&gt;2&lt;/volume&gt;&lt;dates&gt;&lt;year&gt;2018&lt;/year&gt;&lt;/dates&gt;&lt;urls&gt;&lt;related-urls&gt;&lt;url&gt;https://doi.org/10.3897/mbmg.2.24556&lt;/url&gt;&lt;/related-urls&gt;&lt;/urls&gt;&lt;electronic-resource-num&gt;10.3897/mbmg.2.24556&lt;/electronic-resource-num&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(Sellers et al. 2018)</w:t>
      </w:r>
      <w:r w:rsidR="00B713AD">
        <w:rPr>
          <w:rFonts w:ascii="Arial" w:hAnsi="Arial" w:cs="Arial"/>
          <w:color w:val="000000"/>
          <w:sz w:val="20"/>
          <w:szCs w:val="20"/>
          <w:shd w:val="clear" w:color="auto" w:fill="FFFFFF"/>
        </w:rPr>
        <w:fldChar w:fldCharType="end"/>
      </w:r>
      <w:r>
        <w:rPr>
          <w:rFonts w:ascii="Arial" w:hAnsi="Arial" w:cs="Arial"/>
          <w:color w:val="000000"/>
          <w:sz w:val="20"/>
          <w:szCs w:val="20"/>
          <w:shd w:val="clear" w:color="auto" w:fill="FFFFFF"/>
        </w:rPr>
        <w:t xml:space="preserve"> employed for sponge samples by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&lt;EndNote&gt;&lt;Cite&gt;&lt;Author&gt;Harper&lt;/Author&gt;&lt;Year&gt;2023&lt;/Year&gt;&lt;RecNum&gt;4003&lt;/RecNum&gt;&lt;DisplayText&gt;(Harper et al. 2023)&lt;/DisplayText&gt;&lt;record&gt;&lt;rec-number&gt;4003&lt;/rec-number&gt;&lt;foreign-keys&gt;&lt;key app="EN" db-id="p95sxvefgt9xslevs2mxzp97a5r5xpexertx" timestamp="1743174094"&gt;4003&lt;/key&gt;&lt;/foreign-keys&gt;&lt;ref-type name="Journal Article"&gt;17&lt;/ref-type&gt;&lt;contributors&gt;&lt;authors&gt;&lt;author&gt;Harper, Lynsey R.&lt;/author&gt;&lt;author&gt;Neave, Erika F.&lt;/author&gt;&lt;author&gt;Sellers, Graham S.&lt;/author&gt;&lt;author&gt;Cunnington, Alice V.&lt;/author&gt;&lt;author&gt;Arias, María Belén&lt;/author&gt;&lt;author&gt;Craggs, Jamie&lt;/author&gt;&lt;author&gt;MacDonald, Barry&lt;/author&gt;&lt;author&gt;Riesgo, Ana&lt;/author&gt;&lt;author&gt;Mariani, Stefano&lt;/author&gt;&lt;/authors&gt;&lt;/contributors&gt;&lt;titles&gt;&lt;title&gt;Optimized DNA isolation from marine sponges for natural sampler DNA metabarcoding&lt;/title&gt;&lt;secondary-title&gt;Environmental DNA&lt;/secondary-title&gt;&lt;/titles&gt;&lt;periodical&gt;&lt;full-title&gt;Environmental DNA&lt;/full-title&gt;&lt;/periodical&gt;&lt;pages&gt;438-461&lt;/pages&gt;&lt;volume&gt;5&lt;/volume&gt;&lt;number&gt;3&lt;/number&gt;&lt;dates&gt;&lt;year&gt;2023&lt;/year&gt;&lt;/dates&gt;&lt;urls&gt;&lt;related-urls&gt;&lt;url&gt;https://onlinelibrary.wiley.com/doi/abs/10.1002/edn3.392&lt;/url&gt;&lt;/related-urls&gt;&lt;/urls&gt;&lt;electronic-resource-num&gt;https://doi.org/10.1002/edn3.392&lt;/electronic-resource-num&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Harper et al. (2023)</w:t>
      </w:r>
      <w:r w:rsidR="00B713AD">
        <w:rPr>
          <w:rFonts w:ascii="Arial" w:hAnsi="Arial" w:cs="Arial"/>
          <w:color w:val="000000"/>
          <w:sz w:val="20"/>
          <w:szCs w:val="20"/>
          <w:shd w:val="clear" w:color="auto" w:fill="FFFFFF"/>
        </w:rPr>
        <w:fldChar w:fldCharType="end"/>
      </w:r>
      <w:r>
        <w:rPr>
          <w:rFonts w:ascii="Arial" w:hAnsi="Arial" w:cs="Arial"/>
          <w:color w:val="000000"/>
          <w:sz w:val="20"/>
          <w:szCs w:val="20"/>
          <w:shd w:val="clear" w:color="auto" w:fill="FFFFFF"/>
        </w:rPr>
        <w:t xml:space="preserve"> with </w:t>
      </w:r>
      <w:r w:rsidRPr="00D96BBF">
        <w:rPr>
          <w:rFonts w:ascii="Arial" w:hAnsi="Arial" w:cs="Arial"/>
          <w:color w:val="000000"/>
          <w:sz w:val="20"/>
          <w:szCs w:val="20"/>
          <w:shd w:val="clear" w:color="auto" w:fill="FFFFFF"/>
        </w:rPr>
        <w:t>500mg of</w:t>
      </w:r>
      <w:r>
        <w:rPr>
          <w:rFonts w:ascii="Arial" w:hAnsi="Arial" w:cs="Arial"/>
          <w:color w:val="000000"/>
          <w:sz w:val="20"/>
          <w:szCs w:val="20"/>
          <w:shd w:val="clear" w:color="auto" w:fill="FFFFFF"/>
        </w:rPr>
        <w:t xml:space="preserve"> </w:t>
      </w:r>
      <w:r w:rsidRPr="00D96BBF">
        <w:rPr>
          <w:rFonts w:ascii="Arial" w:hAnsi="Arial" w:cs="Arial"/>
          <w:color w:val="000000"/>
          <w:sz w:val="20"/>
          <w:szCs w:val="20"/>
          <w:shd w:val="clear" w:color="auto" w:fill="FFFFFF"/>
        </w:rPr>
        <w:t xml:space="preserve">tissue </w:t>
      </w:r>
      <w:r>
        <w:rPr>
          <w:rFonts w:ascii="Arial" w:hAnsi="Arial" w:cs="Arial"/>
          <w:color w:val="000000"/>
          <w:sz w:val="20"/>
          <w:szCs w:val="20"/>
          <w:shd w:val="clear" w:color="auto" w:fill="FFFFFF"/>
        </w:rPr>
        <w:t>combined with</w:t>
      </w:r>
      <w:r w:rsidRPr="00D96BBF">
        <w:rPr>
          <w:rFonts w:ascii="Arial" w:hAnsi="Arial" w:cs="Arial"/>
          <w:color w:val="000000"/>
          <w:sz w:val="20"/>
          <w:szCs w:val="20"/>
          <w:shd w:val="clear" w:color="auto" w:fill="FFFFFF"/>
        </w:rPr>
        <w:t xml:space="preserve"> 730μL Lysis solution,</w:t>
      </w:r>
      <w:r>
        <w:rPr>
          <w:rFonts w:ascii="Arial" w:hAnsi="Arial" w:cs="Arial"/>
          <w:color w:val="000000"/>
          <w:sz w:val="20"/>
          <w:szCs w:val="20"/>
          <w:shd w:val="clear" w:color="auto" w:fill="FFFFFF"/>
        </w:rPr>
        <w:t xml:space="preserve"> </w:t>
      </w:r>
      <w:r w:rsidRPr="00D96BBF">
        <w:rPr>
          <w:rFonts w:ascii="Arial" w:hAnsi="Arial" w:cs="Arial"/>
          <w:color w:val="000000"/>
          <w:sz w:val="20"/>
          <w:szCs w:val="20"/>
          <w:shd w:val="clear" w:color="auto" w:fill="FFFFFF"/>
        </w:rPr>
        <w:t>230μL tissue lysis additive</w:t>
      </w:r>
      <w:r>
        <w:rPr>
          <w:rFonts w:ascii="Arial" w:hAnsi="Arial" w:cs="Arial"/>
          <w:color w:val="000000"/>
          <w:sz w:val="20"/>
          <w:szCs w:val="20"/>
          <w:shd w:val="clear" w:color="auto" w:fill="FFFFFF"/>
        </w:rPr>
        <w:t xml:space="preserve"> and</w:t>
      </w:r>
      <w:r w:rsidRPr="00D96BBF">
        <w:rPr>
          <w:rFonts w:ascii="Arial" w:hAnsi="Arial" w:cs="Arial"/>
          <w:color w:val="000000"/>
          <w:sz w:val="20"/>
          <w:szCs w:val="20"/>
          <w:shd w:val="clear" w:color="auto" w:fill="FFFFFF"/>
        </w:rPr>
        <w:t xml:space="preserve"> 40μL Proteinase K</w:t>
      </w:r>
      <w:r>
        <w:rPr>
          <w:rFonts w:ascii="Arial" w:hAnsi="Arial" w:cs="Arial"/>
          <w:color w:val="000000"/>
          <w:sz w:val="20"/>
          <w:szCs w:val="20"/>
          <w:shd w:val="clear" w:color="auto" w:fill="FFFFFF"/>
        </w:rPr>
        <w:t>. Samples were incubated with shaking (</w:t>
      </w:r>
      <w:r w:rsidRPr="00D96BBF">
        <w:rPr>
          <w:rFonts w:ascii="Arial" w:hAnsi="Arial" w:cs="Arial"/>
          <w:color w:val="000000"/>
          <w:sz w:val="20"/>
          <w:szCs w:val="20"/>
          <w:shd w:val="clear" w:color="auto" w:fill="FFFFFF"/>
        </w:rPr>
        <w:t>650rpm</w:t>
      </w:r>
      <w:r>
        <w:rPr>
          <w:rFonts w:ascii="Arial" w:hAnsi="Arial" w:cs="Arial"/>
          <w:color w:val="000000"/>
          <w:sz w:val="20"/>
          <w:szCs w:val="20"/>
          <w:shd w:val="clear" w:color="auto" w:fill="FFFFFF"/>
        </w:rPr>
        <w:t>) for</w:t>
      </w:r>
      <w:r w:rsidRPr="00D96BBF">
        <w:rPr>
          <w:rFonts w:ascii="Arial" w:hAnsi="Arial" w:cs="Arial"/>
          <w:color w:val="000000"/>
          <w:sz w:val="20"/>
          <w:szCs w:val="20"/>
          <w:shd w:val="clear" w:color="auto" w:fill="FFFFFF"/>
        </w:rPr>
        <w:t xml:space="preserve"> 12 hours at 55°C</w:t>
      </w:r>
      <w:r>
        <w:rPr>
          <w:rFonts w:ascii="Arial" w:hAnsi="Arial" w:cs="Arial"/>
          <w:color w:val="000000"/>
          <w:sz w:val="20"/>
          <w:szCs w:val="20"/>
          <w:shd w:val="clear" w:color="auto" w:fill="FFFFFF"/>
        </w:rPr>
        <w:t xml:space="preserve"> then </w:t>
      </w:r>
      <w:r w:rsidRPr="00D96BBF">
        <w:rPr>
          <w:rFonts w:ascii="Arial" w:hAnsi="Arial" w:cs="Arial"/>
          <w:color w:val="000000"/>
          <w:sz w:val="20"/>
          <w:szCs w:val="20"/>
          <w:shd w:val="clear" w:color="auto" w:fill="FFFFFF"/>
        </w:rPr>
        <w:t>centrifuged at 10,000xg for 1 minute at room temperature. 0.3x flocculant solution was added</w:t>
      </w:r>
      <w:r>
        <w:rPr>
          <w:rFonts w:ascii="Arial" w:hAnsi="Arial" w:cs="Arial"/>
          <w:color w:val="000000"/>
          <w:sz w:val="20"/>
          <w:szCs w:val="20"/>
          <w:shd w:val="clear" w:color="auto" w:fill="FFFFFF"/>
        </w:rPr>
        <w:t xml:space="preserve"> and the solution incubated, on ice, for </w:t>
      </w:r>
      <w:r w:rsidRPr="00D96BBF">
        <w:rPr>
          <w:rFonts w:ascii="Arial" w:hAnsi="Arial" w:cs="Arial"/>
          <w:color w:val="000000"/>
          <w:sz w:val="20"/>
          <w:szCs w:val="20"/>
          <w:shd w:val="clear" w:color="auto" w:fill="FFFFFF"/>
        </w:rPr>
        <w:t xml:space="preserve">10-30 minutes </w:t>
      </w:r>
      <w:r>
        <w:rPr>
          <w:rFonts w:ascii="Arial" w:hAnsi="Arial" w:cs="Arial"/>
          <w:color w:val="000000"/>
          <w:sz w:val="20"/>
          <w:szCs w:val="20"/>
          <w:shd w:val="clear" w:color="auto" w:fill="FFFFFF"/>
        </w:rPr>
        <w:t>before</w:t>
      </w:r>
      <w:r w:rsidRPr="00D96BBF">
        <w:rPr>
          <w:rFonts w:ascii="Arial" w:hAnsi="Arial" w:cs="Arial"/>
          <w:color w:val="000000"/>
          <w:sz w:val="20"/>
          <w:szCs w:val="20"/>
          <w:shd w:val="clear" w:color="auto" w:fill="FFFFFF"/>
        </w:rPr>
        <w:t xml:space="preserve"> centrifug</w:t>
      </w:r>
      <w:r w:rsidR="00446B09">
        <w:rPr>
          <w:rFonts w:ascii="Arial" w:hAnsi="Arial" w:cs="Arial"/>
          <w:color w:val="000000"/>
          <w:sz w:val="20"/>
          <w:szCs w:val="20"/>
          <w:shd w:val="clear" w:color="auto" w:fill="FFFFFF"/>
        </w:rPr>
        <w:t>ation for 1 minute at</w:t>
      </w:r>
      <w:r w:rsidRPr="00D96BBF">
        <w:rPr>
          <w:rFonts w:ascii="Arial" w:hAnsi="Arial" w:cs="Arial"/>
          <w:color w:val="000000"/>
          <w:sz w:val="20"/>
          <w:szCs w:val="20"/>
          <w:shd w:val="clear" w:color="auto" w:fill="FFFFFF"/>
        </w:rPr>
        <w:t xml:space="preserve"> 10,000g</w:t>
      </w:r>
      <w:r w:rsidR="00446B09">
        <w:rPr>
          <w:rFonts w:ascii="Arial" w:hAnsi="Arial" w:cs="Arial"/>
          <w:color w:val="000000"/>
          <w:sz w:val="20"/>
          <w:szCs w:val="20"/>
          <w:shd w:val="clear" w:color="auto" w:fill="FFFFFF"/>
        </w:rPr>
        <w:t>. The s</w:t>
      </w:r>
      <w:r w:rsidRPr="00D96BBF">
        <w:rPr>
          <w:rFonts w:ascii="Arial" w:hAnsi="Arial" w:cs="Arial"/>
          <w:color w:val="000000"/>
          <w:sz w:val="20"/>
          <w:szCs w:val="20"/>
          <w:shd w:val="clear" w:color="auto" w:fill="FFFFFF"/>
        </w:rPr>
        <w:t xml:space="preserve">upernatant </w:t>
      </w:r>
      <w:r w:rsidR="00446B09">
        <w:rPr>
          <w:rFonts w:ascii="Arial" w:hAnsi="Arial" w:cs="Arial"/>
          <w:color w:val="000000"/>
          <w:sz w:val="20"/>
          <w:szCs w:val="20"/>
          <w:shd w:val="clear" w:color="auto" w:fill="FFFFFF"/>
        </w:rPr>
        <w:t>was t</w:t>
      </w:r>
      <w:r w:rsidRPr="00D96BBF">
        <w:rPr>
          <w:rFonts w:ascii="Arial" w:hAnsi="Arial" w:cs="Arial"/>
          <w:color w:val="000000"/>
          <w:sz w:val="20"/>
          <w:szCs w:val="20"/>
          <w:shd w:val="clear" w:color="auto" w:fill="FFFFFF"/>
        </w:rPr>
        <w:t xml:space="preserve">ransferred to </w:t>
      </w:r>
      <w:r w:rsidR="00446B09">
        <w:rPr>
          <w:rFonts w:ascii="Arial" w:hAnsi="Arial" w:cs="Arial"/>
          <w:color w:val="000000"/>
          <w:sz w:val="20"/>
          <w:szCs w:val="20"/>
          <w:shd w:val="clear" w:color="auto" w:fill="FFFFFF"/>
        </w:rPr>
        <w:t xml:space="preserve">a fresh </w:t>
      </w:r>
      <w:r w:rsidRPr="00D96BBF">
        <w:rPr>
          <w:rFonts w:ascii="Arial" w:hAnsi="Arial" w:cs="Arial"/>
          <w:color w:val="000000"/>
          <w:sz w:val="20"/>
          <w:szCs w:val="20"/>
          <w:shd w:val="clear" w:color="auto" w:fill="FFFFFF"/>
        </w:rPr>
        <w:t>2ml Eppendorf tube</w:t>
      </w:r>
      <w:r w:rsidR="00446B09">
        <w:rPr>
          <w:rFonts w:ascii="Arial" w:hAnsi="Arial" w:cs="Arial"/>
          <w:color w:val="000000"/>
          <w:sz w:val="20"/>
          <w:szCs w:val="20"/>
          <w:shd w:val="clear" w:color="auto" w:fill="FFFFFF"/>
        </w:rPr>
        <w:t xml:space="preserve"> and a </w:t>
      </w:r>
      <w:r w:rsidRPr="00D96BBF">
        <w:rPr>
          <w:rFonts w:ascii="Arial" w:hAnsi="Arial" w:cs="Arial"/>
          <w:color w:val="000000"/>
          <w:sz w:val="20"/>
          <w:szCs w:val="20"/>
          <w:shd w:val="clear" w:color="auto" w:fill="FFFFFF"/>
        </w:rPr>
        <w:t>2x volume of tissue binding</w:t>
      </w:r>
      <w:r w:rsidR="00446B09">
        <w:rPr>
          <w:rFonts w:ascii="Arial" w:hAnsi="Arial" w:cs="Arial"/>
          <w:color w:val="000000"/>
          <w:sz w:val="20"/>
          <w:szCs w:val="20"/>
          <w:shd w:val="clear" w:color="auto" w:fill="FFFFFF"/>
        </w:rPr>
        <w:t xml:space="preserve"> </w:t>
      </w:r>
      <w:r w:rsidRPr="00D96BBF">
        <w:rPr>
          <w:rFonts w:ascii="Arial" w:hAnsi="Arial" w:cs="Arial"/>
          <w:color w:val="000000"/>
          <w:sz w:val="20"/>
          <w:szCs w:val="20"/>
          <w:shd w:val="clear" w:color="auto" w:fill="FFFFFF"/>
        </w:rPr>
        <w:t xml:space="preserve">buffer added </w:t>
      </w:r>
      <w:r w:rsidR="00446B09">
        <w:rPr>
          <w:rFonts w:ascii="Arial" w:hAnsi="Arial" w:cs="Arial"/>
          <w:color w:val="000000"/>
          <w:sz w:val="20"/>
          <w:szCs w:val="20"/>
          <w:shd w:val="clear" w:color="auto" w:fill="FFFFFF"/>
        </w:rPr>
        <w:t>prior to</w:t>
      </w:r>
      <w:r w:rsidRPr="00D96BBF">
        <w:rPr>
          <w:rFonts w:ascii="Arial" w:hAnsi="Arial" w:cs="Arial"/>
          <w:color w:val="000000"/>
          <w:sz w:val="20"/>
          <w:szCs w:val="20"/>
          <w:shd w:val="clear" w:color="auto" w:fill="FFFFFF"/>
        </w:rPr>
        <w:t xml:space="preserve"> vortex</w:t>
      </w:r>
      <w:r w:rsidR="00446B09">
        <w:rPr>
          <w:rFonts w:ascii="Arial" w:hAnsi="Arial" w:cs="Arial"/>
          <w:color w:val="000000"/>
          <w:sz w:val="20"/>
          <w:szCs w:val="20"/>
          <w:shd w:val="clear" w:color="auto" w:fill="FFFFFF"/>
        </w:rPr>
        <w:t>ing</w:t>
      </w:r>
      <w:r w:rsidR="00AF3B58">
        <w:rPr>
          <w:rFonts w:ascii="Arial" w:hAnsi="Arial" w:cs="Arial"/>
          <w:color w:val="000000"/>
          <w:sz w:val="20"/>
          <w:szCs w:val="20"/>
          <w:shd w:val="clear" w:color="auto" w:fill="FFFFFF"/>
        </w:rPr>
        <w:t>,</w:t>
      </w:r>
      <w:r w:rsidR="00446B09">
        <w:rPr>
          <w:rFonts w:ascii="Arial" w:hAnsi="Arial" w:cs="Arial"/>
          <w:color w:val="000000"/>
          <w:sz w:val="20"/>
          <w:szCs w:val="20"/>
          <w:shd w:val="clear" w:color="auto" w:fill="FFFFFF"/>
        </w:rPr>
        <w:t xml:space="preserve"> following which</w:t>
      </w:r>
      <w:r w:rsidRPr="00D96BBF">
        <w:rPr>
          <w:rFonts w:ascii="Arial" w:hAnsi="Arial" w:cs="Arial"/>
          <w:color w:val="000000"/>
          <w:sz w:val="20"/>
          <w:szCs w:val="20"/>
          <w:shd w:val="clear" w:color="auto" w:fill="FFFFFF"/>
        </w:rPr>
        <w:t xml:space="preserve"> sample</w:t>
      </w:r>
      <w:r w:rsidR="00446B09">
        <w:rPr>
          <w:rFonts w:ascii="Arial" w:hAnsi="Arial" w:cs="Arial"/>
          <w:color w:val="000000"/>
          <w:sz w:val="20"/>
          <w:szCs w:val="20"/>
          <w:shd w:val="clear" w:color="auto" w:fill="FFFFFF"/>
        </w:rPr>
        <w:t>s</w:t>
      </w:r>
      <w:r w:rsidRPr="00D96BBF">
        <w:rPr>
          <w:rFonts w:ascii="Arial" w:hAnsi="Arial" w:cs="Arial"/>
          <w:color w:val="000000"/>
          <w:sz w:val="20"/>
          <w:szCs w:val="20"/>
          <w:shd w:val="clear" w:color="auto" w:fill="FFFFFF"/>
        </w:rPr>
        <w:t xml:space="preserve"> </w:t>
      </w:r>
      <w:r w:rsidR="00446B09">
        <w:rPr>
          <w:rFonts w:ascii="Arial" w:hAnsi="Arial" w:cs="Arial"/>
          <w:color w:val="000000"/>
          <w:sz w:val="20"/>
          <w:szCs w:val="20"/>
          <w:shd w:val="clear" w:color="auto" w:fill="FFFFFF"/>
        </w:rPr>
        <w:t>were</w:t>
      </w:r>
      <w:r w:rsidRPr="00D96BBF">
        <w:rPr>
          <w:rFonts w:ascii="Arial" w:hAnsi="Arial" w:cs="Arial"/>
          <w:color w:val="000000"/>
          <w:sz w:val="20"/>
          <w:szCs w:val="20"/>
          <w:shd w:val="clear" w:color="auto" w:fill="FFFFFF"/>
        </w:rPr>
        <w:t xml:space="preserve"> transferred to spin columns and</w:t>
      </w:r>
      <w:r w:rsidR="00446B09">
        <w:rPr>
          <w:rFonts w:ascii="Arial" w:hAnsi="Arial" w:cs="Arial"/>
          <w:color w:val="000000"/>
          <w:sz w:val="20"/>
          <w:szCs w:val="20"/>
          <w:shd w:val="clear" w:color="auto" w:fill="FFFFFF"/>
        </w:rPr>
        <w:t xml:space="preserve"> </w:t>
      </w:r>
      <w:r w:rsidRPr="00D96BBF">
        <w:rPr>
          <w:rFonts w:ascii="Arial" w:hAnsi="Arial" w:cs="Arial"/>
          <w:color w:val="000000"/>
          <w:sz w:val="20"/>
          <w:szCs w:val="20"/>
          <w:shd w:val="clear" w:color="auto" w:fill="FFFFFF"/>
        </w:rPr>
        <w:t xml:space="preserve">centrifuged. </w:t>
      </w:r>
      <w:r w:rsidR="00446B09">
        <w:rPr>
          <w:rFonts w:ascii="Arial" w:hAnsi="Arial" w:cs="Arial"/>
          <w:color w:val="000000"/>
          <w:sz w:val="20"/>
          <w:szCs w:val="20"/>
          <w:shd w:val="clear" w:color="auto" w:fill="FFFFFF"/>
        </w:rPr>
        <w:t xml:space="preserve">Columns were washed twice (with centrifugation) with </w:t>
      </w:r>
      <w:r w:rsidRPr="00D96BBF">
        <w:rPr>
          <w:rFonts w:ascii="Arial" w:hAnsi="Arial" w:cs="Arial"/>
          <w:color w:val="000000"/>
          <w:sz w:val="20"/>
          <w:szCs w:val="20"/>
          <w:shd w:val="clear" w:color="auto" w:fill="FFFFFF"/>
        </w:rPr>
        <w:t>500μL</w:t>
      </w:r>
      <w:r w:rsidR="00446B09">
        <w:rPr>
          <w:rFonts w:ascii="Arial" w:hAnsi="Arial" w:cs="Arial"/>
          <w:color w:val="000000"/>
          <w:sz w:val="20"/>
          <w:szCs w:val="20"/>
          <w:shd w:val="clear" w:color="auto" w:fill="FFFFFF"/>
        </w:rPr>
        <w:t xml:space="preserve"> </w:t>
      </w:r>
      <w:r w:rsidRPr="00D96BBF">
        <w:rPr>
          <w:rFonts w:ascii="Arial" w:hAnsi="Arial" w:cs="Arial"/>
          <w:color w:val="000000"/>
          <w:sz w:val="20"/>
          <w:szCs w:val="20"/>
          <w:shd w:val="clear" w:color="auto" w:fill="FFFFFF"/>
        </w:rPr>
        <w:t xml:space="preserve">wash solution. </w:t>
      </w:r>
      <w:r w:rsidR="00446B09">
        <w:rPr>
          <w:rFonts w:ascii="Arial" w:hAnsi="Arial" w:cs="Arial"/>
          <w:color w:val="000000"/>
          <w:sz w:val="20"/>
          <w:szCs w:val="20"/>
          <w:shd w:val="clear" w:color="auto" w:fill="FFFFFF"/>
        </w:rPr>
        <w:t xml:space="preserve">After the second wash, </w:t>
      </w:r>
      <w:r w:rsidRPr="00D96BBF">
        <w:rPr>
          <w:rFonts w:ascii="Arial" w:hAnsi="Arial" w:cs="Arial"/>
          <w:color w:val="000000"/>
          <w:sz w:val="20"/>
          <w:szCs w:val="20"/>
          <w:shd w:val="clear" w:color="auto" w:fill="FFFFFF"/>
        </w:rPr>
        <w:t>100μL of elution</w:t>
      </w:r>
      <w:r w:rsidR="00446B09">
        <w:rPr>
          <w:rFonts w:ascii="Arial" w:hAnsi="Arial" w:cs="Arial"/>
          <w:color w:val="000000"/>
          <w:sz w:val="20"/>
          <w:szCs w:val="20"/>
          <w:shd w:val="clear" w:color="auto" w:fill="FFFFFF"/>
        </w:rPr>
        <w:t xml:space="preserve"> </w:t>
      </w:r>
      <w:r w:rsidRPr="00D96BBF">
        <w:rPr>
          <w:rFonts w:ascii="Arial" w:hAnsi="Arial" w:cs="Arial"/>
          <w:color w:val="000000"/>
          <w:sz w:val="20"/>
          <w:szCs w:val="20"/>
          <w:shd w:val="clear" w:color="auto" w:fill="FFFFFF"/>
        </w:rPr>
        <w:t xml:space="preserve">buffer was added, </w:t>
      </w:r>
      <w:r w:rsidR="00446B09">
        <w:rPr>
          <w:rFonts w:ascii="Arial" w:hAnsi="Arial" w:cs="Arial"/>
          <w:color w:val="000000"/>
          <w:sz w:val="20"/>
          <w:szCs w:val="20"/>
          <w:shd w:val="clear" w:color="auto" w:fill="FFFFFF"/>
        </w:rPr>
        <w:t xml:space="preserve">and the column </w:t>
      </w:r>
      <w:r w:rsidRPr="00D96BBF">
        <w:rPr>
          <w:rFonts w:ascii="Arial" w:hAnsi="Arial" w:cs="Arial"/>
          <w:color w:val="000000"/>
          <w:sz w:val="20"/>
          <w:szCs w:val="20"/>
          <w:shd w:val="clear" w:color="auto" w:fill="FFFFFF"/>
        </w:rPr>
        <w:t>centrifuged.</w:t>
      </w:r>
    </w:p>
    <w:p w14:paraId="493D3B0D" w14:textId="3EB3E7D3" w:rsidR="00933BFA" w:rsidRPr="00933BFA" w:rsidRDefault="00933BFA" w:rsidP="00B713AD">
      <w:pPr>
        <w:spacing w:after="120" w:line="360" w:lineRule="auto"/>
        <w:jc w:val="both"/>
        <w:rPr>
          <w:rFonts w:ascii="Arial" w:hAnsi="Arial" w:cs="Arial"/>
          <w:color w:val="000000"/>
          <w:sz w:val="20"/>
          <w:szCs w:val="20"/>
          <w:shd w:val="clear" w:color="auto" w:fill="FFFFFF"/>
        </w:rPr>
      </w:pPr>
    </w:p>
    <w:p w14:paraId="4D0F2F20" w14:textId="0A297B4F" w:rsidR="00933BFA" w:rsidRPr="00446B09" w:rsidRDefault="00933BFA" w:rsidP="00B713AD">
      <w:pPr>
        <w:spacing w:after="120" w:line="360" w:lineRule="auto"/>
        <w:jc w:val="both"/>
        <w:rPr>
          <w:rFonts w:ascii="Arial" w:hAnsi="Arial" w:cs="Arial"/>
          <w:b/>
          <w:bCs/>
          <w:color w:val="000000"/>
          <w:sz w:val="20"/>
          <w:szCs w:val="20"/>
          <w:shd w:val="clear" w:color="auto" w:fill="FFFFFF"/>
        </w:rPr>
      </w:pPr>
      <w:r w:rsidRPr="00446B09">
        <w:rPr>
          <w:rFonts w:ascii="Arial" w:hAnsi="Arial" w:cs="Arial"/>
          <w:b/>
          <w:bCs/>
          <w:color w:val="000000"/>
          <w:sz w:val="20"/>
          <w:szCs w:val="20"/>
          <w:shd w:val="clear" w:color="auto" w:fill="FFFFFF"/>
        </w:rPr>
        <w:t xml:space="preserve">DNA Amplification, Library preparation, and Sequencing </w:t>
      </w:r>
    </w:p>
    <w:p w14:paraId="75131F89" w14:textId="4A47D7B3" w:rsidR="00933BFA" w:rsidRPr="00933BFA" w:rsidRDefault="00933BFA" w:rsidP="00B713AD">
      <w:pPr>
        <w:spacing w:after="120" w:line="360" w:lineRule="auto"/>
        <w:jc w:val="both"/>
        <w:rPr>
          <w:rFonts w:ascii="Arial" w:hAnsi="Arial" w:cs="Arial"/>
          <w:color w:val="000000"/>
          <w:sz w:val="20"/>
          <w:szCs w:val="20"/>
          <w:shd w:val="clear" w:color="auto" w:fill="FFFFFF"/>
        </w:rPr>
      </w:pPr>
      <w:r w:rsidRPr="00933BFA">
        <w:rPr>
          <w:rFonts w:ascii="Arial" w:hAnsi="Arial" w:cs="Arial"/>
          <w:color w:val="000000"/>
          <w:sz w:val="20"/>
          <w:szCs w:val="20"/>
          <w:shd w:val="clear" w:color="auto" w:fill="FFFFFF"/>
        </w:rPr>
        <w:t>PCR amplifications were performed</w:t>
      </w:r>
      <w:r w:rsidR="00E42643">
        <w:rPr>
          <w:rFonts w:ascii="Arial" w:hAnsi="Arial" w:cs="Arial"/>
          <w:color w:val="000000"/>
          <w:sz w:val="20"/>
          <w:szCs w:val="20"/>
          <w:shd w:val="clear" w:color="auto" w:fill="FFFFFF"/>
        </w:rPr>
        <w:t xml:space="preserve"> in triplicate</w:t>
      </w:r>
      <w:r w:rsidRPr="00933BFA">
        <w:rPr>
          <w:rFonts w:ascii="Arial" w:hAnsi="Arial" w:cs="Arial"/>
          <w:color w:val="000000"/>
          <w:sz w:val="20"/>
          <w:szCs w:val="20"/>
          <w:shd w:val="clear" w:color="auto" w:fill="FFFFFF"/>
        </w:rPr>
        <w:t xml:space="preserve"> using the Tele02 primers</w:t>
      </w:r>
      <w:r w:rsidR="00E42643">
        <w:rPr>
          <w:rFonts w:ascii="Arial" w:hAnsi="Arial" w:cs="Arial"/>
          <w:color w:val="000000"/>
          <w:sz w:val="20"/>
          <w:szCs w:val="20"/>
          <w:shd w:val="clear" w:color="auto" w:fill="FFFFFF"/>
        </w:rPr>
        <w:t xml:space="preserve"> of </w:t>
      </w:r>
      <w:r w:rsidR="00E42643" w:rsidRPr="00F2316D">
        <w:rPr>
          <w:rFonts w:ascii="Arial" w:hAnsi="Arial" w:cs="Arial"/>
          <w:color w:val="000000"/>
          <w:sz w:val="20"/>
          <w:szCs w:val="20"/>
          <w:shd w:val="clear" w:color="auto" w:fill="FFFFFF"/>
        </w:rPr>
        <w:t>Taberlet</w:t>
      </w:r>
      <w:r w:rsidRPr="00933BFA">
        <w:rPr>
          <w:rFonts w:ascii="Arial" w:hAnsi="Arial" w:cs="Arial"/>
          <w:color w:val="000000"/>
          <w:sz w:val="20"/>
          <w:szCs w:val="20"/>
          <w:shd w:val="clear" w:color="auto" w:fill="FFFFFF"/>
        </w:rPr>
        <w:t xml:space="preserve">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 ExcludeAuth="1"&gt;&lt;Author&gt;Taberlet&lt;/Author&gt;&lt;Year&gt;2018&lt;/Year&gt;&lt;RecNum&gt;3949&lt;/RecNum&gt;&lt;DisplayText&gt;(2018)&lt;/DisplayText&gt;&lt;record&gt;&lt;rec-number&gt;3949&lt;/rec-number&gt;&lt;foreign-keys&gt;&lt;key app="EN" db-id="p95sxvefgt9xslevs2mxzp97a5r5xpexertx" timestamp="1742311590"&gt;3949&lt;/key&gt;&lt;/foreign-keys&gt;&lt;ref-type name="Book"&gt;6&lt;/ref-type&gt;&lt;contributors&gt;&lt;authors&gt;&lt;author&gt;Taberlet, Pierre&lt;/author&gt;&lt;author&gt;Bonin, Aurélie&lt;/author&gt;&lt;author&gt;Zinger, Lucie&lt;/author&gt;&lt;author&gt;Coissac, Eric&lt;/author&gt;&lt;/authors&gt;&lt;/contributors&gt;&lt;titles&gt;&lt;title&gt;Environmental DNA: For Biodiversity Research and Monitoring&lt;/title&gt;&lt;/titles&gt;&lt;dates&gt;&lt;year&gt;2018&lt;/year&gt;&lt;pub-dates&gt;&lt;date&gt;22 Mar 2018&lt;/date&gt;&lt;/pub-dates&gt;&lt;/dates&gt;&lt;publisher&gt;Oxford University Press&lt;/publisher&gt;&lt;isbn&gt;9780198767220&lt;/isbn&gt;&lt;urls&gt;&lt;related-urls&gt;&lt;url&gt;https://doi.org/10.1093/oso/9780198767220.001.0001&lt;/url&gt;&lt;/related-urls&gt;&lt;/urls&gt;&lt;custom1&gt;Oxford Academic&lt;/custom1&gt;&lt;electronic-resource-num&gt;10.1093/oso/9780198767220.001.0001&lt;/electronic-resource-num&gt;&lt;access-date&gt;3/18/2025&lt;/access-date&gt;&lt;/record&gt;&lt;/Cite&gt;&lt;/EndNote&gt;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(2018)</w:t>
      </w:r>
      <w:r w:rsidR="00B713AD">
        <w:rPr>
          <w:rFonts w:ascii="Arial" w:hAnsi="Arial" w:cs="Arial"/>
          <w:color w:val="000000"/>
          <w:sz w:val="20"/>
          <w:szCs w:val="20"/>
          <w:shd w:val="clear" w:color="auto" w:fill="FFFFFF"/>
        </w:rPr>
        <w:fldChar w:fldCharType="end"/>
      </w:r>
      <w:r w:rsidRPr="00933BFA">
        <w:rPr>
          <w:rFonts w:ascii="Arial" w:hAnsi="Arial" w:cs="Arial"/>
          <w:color w:val="000000"/>
          <w:sz w:val="20"/>
          <w:szCs w:val="20"/>
          <w:shd w:val="clear" w:color="auto" w:fill="FFFFFF"/>
        </w:rPr>
        <w:t xml:space="preserve"> </w:t>
      </w:r>
      <w:r w:rsidR="00E42643">
        <w:rPr>
          <w:rFonts w:ascii="Arial" w:hAnsi="Arial" w:cs="Arial"/>
          <w:color w:val="000000"/>
          <w:sz w:val="20"/>
          <w:szCs w:val="20"/>
          <w:shd w:val="clear" w:color="auto" w:fill="FFFFFF"/>
        </w:rPr>
        <w:t>which</w:t>
      </w:r>
      <w:r w:rsidRPr="00933BFA">
        <w:rPr>
          <w:rFonts w:ascii="Arial" w:hAnsi="Arial" w:cs="Arial"/>
          <w:color w:val="000000"/>
          <w:sz w:val="20"/>
          <w:szCs w:val="20"/>
          <w:shd w:val="clear" w:color="auto" w:fill="FFFFFF"/>
        </w:rPr>
        <w:t xml:space="preserve"> amplify a ~169 bp fragment of the mitochondrial 12S rRNA</w:t>
      </w:r>
      <w:r w:rsidR="00E42643">
        <w:rPr>
          <w:rFonts w:ascii="Arial" w:hAnsi="Arial" w:cs="Arial"/>
          <w:color w:val="000000"/>
          <w:sz w:val="20"/>
          <w:szCs w:val="20"/>
          <w:shd w:val="clear" w:color="auto" w:fill="FFFFFF"/>
        </w:rPr>
        <w:t xml:space="preserve"> gene</w:t>
      </w:r>
      <w:r w:rsidRPr="00933BFA">
        <w:rPr>
          <w:rFonts w:ascii="Arial" w:hAnsi="Arial" w:cs="Arial"/>
          <w:color w:val="000000"/>
          <w:sz w:val="20"/>
          <w:szCs w:val="20"/>
          <w:shd w:val="clear" w:color="auto" w:fill="FFFFFF"/>
        </w:rPr>
        <w:t>.</w:t>
      </w:r>
      <w:r w:rsidR="00E42643">
        <w:rPr>
          <w:rFonts w:ascii="Arial" w:hAnsi="Arial" w:cs="Arial"/>
          <w:color w:val="000000"/>
          <w:sz w:val="20"/>
          <w:szCs w:val="20"/>
          <w:shd w:val="clear" w:color="auto" w:fill="FFFFFF"/>
        </w:rPr>
        <w:t xml:space="preserve"> </w:t>
      </w:r>
      <w:r w:rsidR="00E42643" w:rsidRPr="00933BFA">
        <w:rPr>
          <w:rFonts w:ascii="Arial" w:hAnsi="Arial" w:cs="Arial"/>
          <w:color w:val="000000"/>
          <w:sz w:val="20"/>
          <w:szCs w:val="20"/>
          <w:shd w:val="clear" w:color="auto" w:fill="FFFFFF"/>
        </w:rPr>
        <w:t>20 μl</w:t>
      </w:r>
      <w:r w:rsidRPr="00933BFA">
        <w:rPr>
          <w:rFonts w:ascii="Arial" w:hAnsi="Arial" w:cs="Arial"/>
          <w:color w:val="000000"/>
          <w:sz w:val="20"/>
          <w:szCs w:val="20"/>
          <w:shd w:val="clear" w:color="auto" w:fill="FFFFFF"/>
        </w:rPr>
        <w:t xml:space="preserve"> PCR reactions </w:t>
      </w:r>
      <w:r w:rsidR="00E42643">
        <w:rPr>
          <w:rFonts w:ascii="Arial" w:hAnsi="Arial" w:cs="Arial"/>
          <w:color w:val="000000"/>
          <w:sz w:val="20"/>
          <w:szCs w:val="20"/>
          <w:shd w:val="clear" w:color="auto" w:fill="FFFFFF"/>
        </w:rPr>
        <w:t>contained</w:t>
      </w:r>
      <w:r w:rsidRPr="00933BFA">
        <w:rPr>
          <w:rFonts w:ascii="Arial" w:hAnsi="Arial" w:cs="Arial"/>
          <w:color w:val="000000"/>
          <w:sz w:val="20"/>
          <w:szCs w:val="20"/>
          <w:shd w:val="clear" w:color="auto" w:fill="FFFFFF"/>
        </w:rPr>
        <w:t xml:space="preserve"> 10 μl of 2× MyFi Mix (Meridian Bioscience), 1 μl each primer, 0.16 μl BSA (Bovine Serum Albumin Solution, Thermo Fisher Scientific), and 2 μl of DNA template</w:t>
      </w:r>
      <w:r w:rsidR="00E42643">
        <w:rPr>
          <w:rFonts w:ascii="Arial" w:hAnsi="Arial" w:cs="Arial"/>
          <w:color w:val="000000"/>
          <w:sz w:val="20"/>
          <w:szCs w:val="20"/>
          <w:shd w:val="clear" w:color="auto" w:fill="FFFFFF"/>
        </w:rPr>
        <w:t xml:space="preserve"> with </w:t>
      </w:r>
      <w:r w:rsidRPr="00933BFA">
        <w:rPr>
          <w:rFonts w:ascii="Arial" w:hAnsi="Arial" w:cs="Arial"/>
          <w:color w:val="000000"/>
          <w:sz w:val="20"/>
          <w:szCs w:val="20"/>
          <w:shd w:val="clear" w:color="auto" w:fill="FFFFFF"/>
        </w:rPr>
        <w:t>cycling conditions</w:t>
      </w:r>
      <w:r w:rsidR="00E42643">
        <w:rPr>
          <w:rFonts w:ascii="Arial" w:hAnsi="Arial" w:cs="Arial"/>
          <w:color w:val="000000"/>
          <w:sz w:val="20"/>
          <w:szCs w:val="20"/>
          <w:shd w:val="clear" w:color="auto" w:fill="FFFFFF"/>
        </w:rPr>
        <w:t xml:space="preserve"> of</w:t>
      </w:r>
      <w:r w:rsidRPr="00933BFA">
        <w:rPr>
          <w:rFonts w:ascii="Arial" w:hAnsi="Arial" w:cs="Arial"/>
          <w:color w:val="000000"/>
          <w:sz w:val="20"/>
          <w:szCs w:val="20"/>
          <w:shd w:val="clear" w:color="auto" w:fill="FFFFFF"/>
        </w:rPr>
        <w:t xml:space="preserve"> 95°C for 10 min, </w:t>
      </w:r>
      <w:r w:rsidR="00E42643">
        <w:rPr>
          <w:rFonts w:ascii="Arial" w:hAnsi="Arial" w:cs="Arial"/>
          <w:color w:val="000000"/>
          <w:sz w:val="20"/>
          <w:szCs w:val="20"/>
          <w:shd w:val="clear" w:color="auto" w:fill="FFFFFF"/>
        </w:rPr>
        <w:t>then</w:t>
      </w:r>
      <w:r w:rsidRPr="00933BFA">
        <w:rPr>
          <w:rFonts w:ascii="Arial" w:hAnsi="Arial" w:cs="Arial"/>
          <w:color w:val="000000"/>
          <w:sz w:val="20"/>
          <w:szCs w:val="20"/>
          <w:shd w:val="clear" w:color="auto" w:fill="FFFFFF"/>
        </w:rPr>
        <w:t xml:space="preserve"> 40 cycles of 95°C for 30 s, 60°C for 45 s, 72°C for 30 s, </w:t>
      </w:r>
      <w:r w:rsidR="00E42643">
        <w:rPr>
          <w:rFonts w:ascii="Arial" w:hAnsi="Arial" w:cs="Arial"/>
          <w:color w:val="000000"/>
          <w:sz w:val="20"/>
          <w:szCs w:val="20"/>
          <w:shd w:val="clear" w:color="auto" w:fill="FFFFFF"/>
        </w:rPr>
        <w:t>with a final step of</w:t>
      </w:r>
      <w:r w:rsidRPr="00933BFA">
        <w:rPr>
          <w:rFonts w:ascii="Arial" w:hAnsi="Arial" w:cs="Arial"/>
          <w:color w:val="000000"/>
          <w:sz w:val="20"/>
          <w:szCs w:val="20"/>
          <w:shd w:val="clear" w:color="auto" w:fill="FFFFFF"/>
        </w:rPr>
        <w:t xml:space="preserve"> 72°C for 5 min. Positive and no-template PCR controls were included in each PCR run. The positive PCR controls contained DNA extract (0.05 ng/μl) from the iridescent shark catfish, </w:t>
      </w:r>
      <w:r w:rsidRPr="00933BFA">
        <w:rPr>
          <w:rFonts w:ascii="Arial" w:hAnsi="Arial" w:cs="Arial"/>
          <w:i/>
          <w:iCs/>
          <w:color w:val="000000"/>
          <w:sz w:val="20"/>
          <w:szCs w:val="20"/>
          <w:shd w:val="clear" w:color="auto" w:fill="FFFFFF"/>
        </w:rPr>
        <w:t>Pangasianodon hypophthalmus</w:t>
      </w:r>
      <w:r w:rsidRPr="00933BFA">
        <w:rPr>
          <w:rFonts w:ascii="Arial" w:hAnsi="Arial" w:cs="Arial"/>
          <w:color w:val="000000"/>
          <w:sz w:val="20"/>
          <w:szCs w:val="20"/>
          <w:shd w:val="clear" w:color="auto" w:fill="FFFFFF"/>
        </w:rPr>
        <w:t xml:space="preserve">, which was not present in the sampling area. After PCR amplification, triplicate PCR products were pooled together, and 1μl of the pooled PCR product was visualised on 2% agarose gels stained with SYBRsafe (Invitrogen) to confirm successful amplification of the target fragment. </w:t>
      </w:r>
      <w:r w:rsidR="0016328C">
        <w:rPr>
          <w:rFonts w:ascii="Arial" w:hAnsi="Arial" w:cs="Arial"/>
          <w:color w:val="000000"/>
          <w:sz w:val="20"/>
          <w:szCs w:val="20"/>
          <w:shd w:val="clear" w:color="auto" w:fill="FFFFFF"/>
        </w:rPr>
        <w:t xml:space="preserve">30µl </w:t>
      </w:r>
      <w:r w:rsidRPr="00933BFA">
        <w:rPr>
          <w:rFonts w:ascii="Arial" w:hAnsi="Arial" w:cs="Arial"/>
          <w:color w:val="000000"/>
          <w:sz w:val="20"/>
          <w:szCs w:val="20"/>
          <w:shd w:val="clear" w:color="auto" w:fill="FFFFFF"/>
        </w:rPr>
        <w:t>PCR products were purified using</w:t>
      </w:r>
      <w:r w:rsidR="0016328C">
        <w:rPr>
          <w:rFonts w:ascii="Arial" w:hAnsi="Arial" w:cs="Arial"/>
          <w:color w:val="000000"/>
          <w:sz w:val="20"/>
          <w:szCs w:val="20"/>
          <w:shd w:val="clear" w:color="auto" w:fill="FFFFFF"/>
        </w:rPr>
        <w:t xml:space="preserve"> 30µl</w:t>
      </w:r>
      <w:r w:rsidRPr="00933BFA">
        <w:rPr>
          <w:rFonts w:ascii="Arial" w:hAnsi="Arial" w:cs="Arial"/>
          <w:color w:val="000000"/>
          <w:sz w:val="20"/>
          <w:szCs w:val="20"/>
          <w:shd w:val="clear" w:color="auto" w:fill="FFFFFF"/>
        </w:rPr>
        <w:t xml:space="preserve"> Mag-Bind TotalPure NGS magnetic beads (Omega BioTek)</w:t>
      </w:r>
      <w:r w:rsidR="0016328C">
        <w:rPr>
          <w:rFonts w:ascii="Arial" w:hAnsi="Arial" w:cs="Arial"/>
          <w:color w:val="000000"/>
          <w:sz w:val="20"/>
          <w:szCs w:val="20"/>
          <w:shd w:val="clear" w:color="auto" w:fill="FFFFFF"/>
        </w:rPr>
        <w:t xml:space="preserve">. Purified samples were </w:t>
      </w:r>
      <w:r w:rsidRPr="00933BFA">
        <w:rPr>
          <w:rFonts w:ascii="Arial" w:hAnsi="Arial" w:cs="Arial"/>
          <w:color w:val="000000"/>
          <w:sz w:val="20"/>
          <w:szCs w:val="20"/>
          <w:shd w:val="clear" w:color="auto" w:fill="FFFFFF"/>
        </w:rPr>
        <w:t xml:space="preserve">quantified using the Qubit dsDNA High Sensitivity Assay kit. </w:t>
      </w:r>
      <w:r w:rsidR="00E42643">
        <w:rPr>
          <w:rFonts w:ascii="Arial" w:hAnsi="Arial" w:cs="Arial"/>
          <w:color w:val="000000"/>
          <w:sz w:val="20"/>
          <w:szCs w:val="20"/>
          <w:shd w:val="clear" w:color="auto" w:fill="FFFFFF"/>
        </w:rPr>
        <w:t>T</w:t>
      </w:r>
      <w:r w:rsidRPr="00933BFA">
        <w:rPr>
          <w:rFonts w:ascii="Arial" w:hAnsi="Arial" w:cs="Arial"/>
          <w:color w:val="000000"/>
          <w:sz w:val="20"/>
          <w:szCs w:val="20"/>
          <w:shd w:val="clear" w:color="auto" w:fill="FFFFFF"/>
        </w:rPr>
        <w:t>wo libraries</w:t>
      </w:r>
      <w:r w:rsidR="00E42643">
        <w:rPr>
          <w:rFonts w:ascii="Arial" w:hAnsi="Arial" w:cs="Arial"/>
          <w:color w:val="000000"/>
          <w:sz w:val="20"/>
          <w:szCs w:val="20"/>
          <w:shd w:val="clear" w:color="auto" w:fill="FFFFFF"/>
        </w:rPr>
        <w:t xml:space="preserve"> were created</w:t>
      </w:r>
      <w:r w:rsidRPr="00933BFA">
        <w:rPr>
          <w:rFonts w:ascii="Arial" w:hAnsi="Arial" w:cs="Arial"/>
          <w:color w:val="000000"/>
          <w:sz w:val="20"/>
          <w:szCs w:val="20"/>
          <w:shd w:val="clear" w:color="auto" w:fill="FFFFFF"/>
        </w:rPr>
        <w:t xml:space="preserve">, one for </w:t>
      </w:r>
      <w:r w:rsidRPr="00933BFA">
        <w:rPr>
          <w:rFonts w:ascii="Arial" w:hAnsi="Arial" w:cs="Arial"/>
          <w:i/>
          <w:iCs/>
          <w:color w:val="000000"/>
          <w:sz w:val="20"/>
          <w:szCs w:val="20"/>
          <w:shd w:val="clear" w:color="auto" w:fill="FFFFFF"/>
        </w:rPr>
        <w:t xml:space="preserve">A. solida, R. pulmo and A. forskalea </w:t>
      </w:r>
      <w:r w:rsidRPr="00933BFA">
        <w:rPr>
          <w:rFonts w:ascii="Arial" w:hAnsi="Arial" w:cs="Arial"/>
          <w:color w:val="000000"/>
          <w:sz w:val="20"/>
          <w:szCs w:val="20"/>
          <w:shd w:val="clear" w:color="auto" w:fill="FFFFFF"/>
        </w:rPr>
        <w:t xml:space="preserve">and </w:t>
      </w:r>
      <w:r w:rsidR="00893ADE">
        <w:rPr>
          <w:rFonts w:ascii="Arial" w:hAnsi="Arial" w:cs="Arial"/>
          <w:color w:val="000000"/>
          <w:sz w:val="20"/>
          <w:szCs w:val="20"/>
          <w:shd w:val="clear" w:color="auto" w:fill="FFFFFF"/>
        </w:rPr>
        <w:t>t</w:t>
      </w:r>
      <w:r w:rsidR="00E42643">
        <w:rPr>
          <w:rFonts w:ascii="Arial" w:hAnsi="Arial" w:cs="Arial"/>
          <w:color w:val="000000"/>
          <w:sz w:val="20"/>
          <w:szCs w:val="20"/>
          <w:shd w:val="clear" w:color="auto" w:fill="FFFFFF"/>
        </w:rPr>
        <w:t xml:space="preserve">he </w:t>
      </w:r>
      <w:r w:rsidRPr="00933BFA">
        <w:rPr>
          <w:rFonts w:ascii="Arial" w:hAnsi="Arial" w:cs="Arial"/>
          <w:color w:val="000000"/>
          <w:sz w:val="20"/>
          <w:szCs w:val="20"/>
          <w:shd w:val="clear" w:color="auto" w:fill="FFFFFF"/>
        </w:rPr>
        <w:t xml:space="preserve">other for </w:t>
      </w:r>
      <w:r w:rsidRPr="00933BFA">
        <w:rPr>
          <w:rFonts w:ascii="Arial" w:hAnsi="Arial" w:cs="Arial"/>
          <w:i/>
          <w:iCs/>
          <w:color w:val="000000"/>
          <w:sz w:val="20"/>
          <w:szCs w:val="20"/>
          <w:shd w:val="clear" w:color="auto" w:fill="FFFFFF"/>
        </w:rPr>
        <w:t xml:space="preserve">C. tuberculata </w:t>
      </w:r>
      <w:r w:rsidRPr="00933BFA">
        <w:rPr>
          <w:rFonts w:ascii="Arial" w:hAnsi="Arial" w:cs="Arial"/>
          <w:color w:val="000000"/>
          <w:sz w:val="20"/>
          <w:szCs w:val="20"/>
          <w:shd w:val="clear" w:color="auto" w:fill="FFFFFF"/>
        </w:rPr>
        <w:t>(due to different sampling periods</w:t>
      </w:r>
      <w:r w:rsidRPr="00075EAF">
        <w:rPr>
          <w:rFonts w:ascii="Arial" w:hAnsi="Arial" w:cs="Arial"/>
          <w:color w:val="000000"/>
          <w:sz w:val="20"/>
          <w:szCs w:val="20"/>
          <w:shd w:val="clear" w:color="auto" w:fill="FFFFFF"/>
        </w:rPr>
        <w:t>)</w:t>
      </w:r>
      <w:r w:rsidR="00E42643" w:rsidRPr="00075EAF">
        <w:rPr>
          <w:rFonts w:ascii="Arial" w:hAnsi="Arial" w:cs="Arial"/>
          <w:color w:val="000000"/>
          <w:sz w:val="20"/>
          <w:szCs w:val="20"/>
          <w:shd w:val="clear" w:color="auto" w:fill="FFFFFF"/>
        </w:rPr>
        <w:t>. S</w:t>
      </w:r>
      <w:r w:rsidRPr="00075EAF">
        <w:rPr>
          <w:rFonts w:ascii="Arial" w:hAnsi="Arial" w:cs="Arial"/>
          <w:color w:val="000000"/>
          <w:sz w:val="20"/>
          <w:szCs w:val="20"/>
          <w:shd w:val="clear" w:color="auto" w:fill="FFFFFF"/>
        </w:rPr>
        <w:t>amples were normalised and pooled in equimolar amounts</w:t>
      </w:r>
      <w:r w:rsidR="00E42643">
        <w:rPr>
          <w:rFonts w:ascii="Arial" w:hAnsi="Arial" w:cs="Arial"/>
          <w:color w:val="000000"/>
          <w:sz w:val="20"/>
          <w:szCs w:val="20"/>
          <w:shd w:val="clear" w:color="auto" w:fill="FFFFFF"/>
        </w:rPr>
        <w:t xml:space="preserve"> then</w:t>
      </w:r>
      <w:r w:rsidRPr="00933BFA">
        <w:rPr>
          <w:rFonts w:ascii="Arial" w:hAnsi="Arial" w:cs="Arial"/>
          <w:color w:val="000000"/>
          <w:sz w:val="20"/>
          <w:szCs w:val="20"/>
          <w:shd w:val="clear" w:color="auto" w:fill="FFFFFF"/>
        </w:rPr>
        <w:t xml:space="preserve"> subjected to </w:t>
      </w:r>
      <w:r w:rsidR="00E42643">
        <w:rPr>
          <w:rFonts w:ascii="Arial" w:hAnsi="Arial" w:cs="Arial"/>
          <w:color w:val="000000"/>
          <w:sz w:val="20"/>
          <w:szCs w:val="20"/>
          <w:shd w:val="clear" w:color="auto" w:fill="FFFFFF"/>
        </w:rPr>
        <w:t>a fur</w:t>
      </w:r>
      <w:r w:rsidRPr="00933BFA">
        <w:rPr>
          <w:rFonts w:ascii="Arial" w:hAnsi="Arial" w:cs="Arial"/>
          <w:color w:val="000000"/>
          <w:sz w:val="20"/>
          <w:szCs w:val="20"/>
          <w:shd w:val="clear" w:color="auto" w:fill="FFFFFF"/>
        </w:rPr>
        <w:t xml:space="preserve">ther round of purification using magnetic beads, followed by library preparation using the NEXTFLEX Rapid DNA-Seq Kit for Illumina (PerkinElmer), following the manufacturer's instructions. </w:t>
      </w:r>
      <w:r w:rsidR="00E42643">
        <w:rPr>
          <w:rFonts w:ascii="Arial" w:hAnsi="Arial" w:cs="Arial"/>
          <w:color w:val="000000"/>
          <w:sz w:val="20"/>
          <w:szCs w:val="20"/>
          <w:shd w:val="clear" w:color="auto" w:fill="FFFFFF"/>
        </w:rPr>
        <w:t>L</w:t>
      </w:r>
      <w:r w:rsidRPr="00933BFA">
        <w:rPr>
          <w:rFonts w:ascii="Arial" w:hAnsi="Arial" w:cs="Arial"/>
          <w:color w:val="000000"/>
          <w:sz w:val="20"/>
          <w:szCs w:val="20"/>
          <w:shd w:val="clear" w:color="auto" w:fill="FFFFFF"/>
        </w:rPr>
        <w:t xml:space="preserve">ibraries were quantified using qPCR with the NEBNext Library Quant Kit for Illumina (New England Biolabs) on a Rotor-Gene instrument (Qiagen). Fragment size distribution was assessed using the Tape Station 4200 (Agilent). </w:t>
      </w:r>
      <w:r w:rsidR="00893ADE">
        <w:rPr>
          <w:rFonts w:ascii="Arial" w:hAnsi="Arial" w:cs="Arial"/>
          <w:color w:val="000000"/>
          <w:sz w:val="20"/>
          <w:szCs w:val="20"/>
          <w:shd w:val="clear" w:color="auto" w:fill="FFFFFF"/>
        </w:rPr>
        <w:t>L</w:t>
      </w:r>
      <w:r w:rsidRPr="00933BFA">
        <w:rPr>
          <w:rFonts w:ascii="Arial" w:hAnsi="Arial" w:cs="Arial"/>
          <w:color w:val="000000"/>
          <w:sz w:val="20"/>
          <w:szCs w:val="20"/>
          <w:shd w:val="clear" w:color="auto" w:fill="FFFFFF"/>
        </w:rPr>
        <w:t xml:space="preserve">ibraries were pooled at equimolar concentrations with a final molarity of 60 pM, including 10% PhiX control. Sequencing of the libraries was performed on an Illumina iSeq100 instrument at Liverpool John Moores University using iSeq i1 Reagent version 2 (300 cycles) to generate the raw sequencing data required for subsequent data analysis and interpretation. </w:t>
      </w:r>
    </w:p>
    <w:p w14:paraId="79ADC8DF" w14:textId="77777777" w:rsidR="00933BFA" w:rsidRPr="00933BFA" w:rsidRDefault="00933BFA" w:rsidP="00B713AD">
      <w:pPr>
        <w:spacing w:after="120" w:line="360" w:lineRule="auto"/>
        <w:jc w:val="both"/>
        <w:rPr>
          <w:rFonts w:ascii="Arial" w:hAnsi="Arial" w:cs="Arial"/>
          <w:color w:val="000000"/>
          <w:sz w:val="20"/>
          <w:szCs w:val="20"/>
          <w:shd w:val="clear" w:color="auto" w:fill="FFFFFF"/>
        </w:rPr>
      </w:pPr>
      <w:r w:rsidRPr="00933BFA">
        <w:rPr>
          <w:rFonts w:ascii="Arial" w:hAnsi="Arial" w:cs="Arial"/>
          <w:color w:val="000000"/>
          <w:sz w:val="20"/>
          <w:szCs w:val="20"/>
          <w:shd w:val="clear" w:color="auto" w:fill="FFFFFF"/>
        </w:rPr>
        <w:t xml:space="preserve">2.3 Bioinformatic analysis </w:t>
      </w:r>
    </w:p>
    <w:p w14:paraId="4F7C5EE5" w14:textId="7734AFCE" w:rsidR="00933BFA" w:rsidRPr="00933BFA" w:rsidRDefault="00933BFA" w:rsidP="00B713AD">
      <w:pPr>
        <w:spacing w:after="120" w:line="360" w:lineRule="auto"/>
        <w:jc w:val="both"/>
        <w:rPr>
          <w:rFonts w:ascii="Arial" w:hAnsi="Arial" w:cs="Arial"/>
          <w:color w:val="000000"/>
          <w:sz w:val="20"/>
          <w:szCs w:val="20"/>
          <w:shd w:val="clear" w:color="auto" w:fill="FFFFFF"/>
        </w:rPr>
      </w:pPr>
      <w:r w:rsidRPr="00933BFA">
        <w:rPr>
          <w:rFonts w:ascii="Arial" w:hAnsi="Arial" w:cs="Arial"/>
          <w:color w:val="000000"/>
          <w:sz w:val="20"/>
          <w:szCs w:val="20"/>
          <w:shd w:val="clear" w:color="auto" w:fill="FFFFFF"/>
        </w:rPr>
        <w:lastRenderedPageBreak/>
        <w:t xml:space="preserve">Bioinformatic analysis of the sequencing data followed the OBITools v1.2.11 metabarcoding pipeline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&lt;EndNote&gt;&lt;Cite&gt;&lt;Author&gt;Boyer&lt;/Author&gt;&lt;Year&gt;2016&lt;/Year&gt;&lt;RecNum&gt;3950&lt;/RecNum&gt;&lt;DisplayText&gt;(Boyer et al. 2016)&lt;/DisplayText&gt;&lt;record&gt;&lt;rec-number&gt;3950&lt;/rec-number&gt;&lt;foreign-keys&gt;&lt;key app="EN" db-id="p95sxvefgt9xslevs2mxzp97a5r5xpexertx" timestamp="1742312231"&gt;3950&lt;/key&gt;&lt;/foreign-keys&gt;&lt;ref-type name="Journal Article"&gt;17&lt;/ref-type&gt;&lt;contributors&gt;&lt;authors&gt;&lt;author&gt;Boyer, Frédéric&lt;/author&gt;&lt;author&gt;Mercier, Céline&lt;/author&gt;&lt;author&gt;Bonin, Aurélie&lt;/author&gt;&lt;author&gt;Le Bras, Yvan&lt;/author&gt;&lt;author&gt;Taberlet, Pierre&lt;/author&gt;&lt;author&gt;Coissac, Eric&lt;/author&gt;&lt;/authors&gt;&lt;/contributors&gt;&lt;titles&gt;&lt;title&gt;obitools: a unix-inspired software package for DNA metabarcoding&lt;/title&gt;&lt;secondary-title&gt;Molecular Ecology Resources&lt;/secondary-title&gt;&lt;/titles&gt;&lt;periodical&gt;&lt;full-title&gt;Molecular Ecology Resources&lt;/full-title&gt;&lt;/periodical&gt;&lt;pages&gt;176-182&lt;/pages&gt;&lt;volume&gt;16&lt;/volume&gt;&lt;number&gt;1&lt;/number&gt;&lt;dates&gt;&lt;year&gt;2016&lt;/year&gt;&lt;/dates&gt;&lt;isbn&gt;1755-098X&lt;/isbn&gt;&lt;urls&gt;&lt;related-urls&gt;&lt;url&gt;https://onlinelibrary.wiley.com/doi/abs/10.1111/1755-0998.12428&lt;/url&gt;&lt;/related-urls&gt;&lt;/urls&gt;&lt;electronic-resource-num&gt;https://doi.org/10.1111/1755-0998.12428&lt;/electronic-resource-num&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(Boyer et al. 2016)</w:t>
      </w:r>
      <w:r w:rsidR="00B713AD">
        <w:rPr>
          <w:rFonts w:ascii="Arial" w:hAnsi="Arial" w:cs="Arial"/>
          <w:color w:val="000000"/>
          <w:sz w:val="20"/>
          <w:szCs w:val="20"/>
          <w:shd w:val="clear" w:color="auto" w:fill="FFFFFF"/>
        </w:rPr>
        <w:fldChar w:fldCharType="end"/>
      </w:r>
      <w:r w:rsidRPr="00933BFA">
        <w:rPr>
          <w:rFonts w:ascii="Arial" w:hAnsi="Arial" w:cs="Arial"/>
          <w:color w:val="000000"/>
          <w:sz w:val="20"/>
          <w:szCs w:val="20"/>
          <w:shd w:val="clear" w:color="auto" w:fill="FFFFFF"/>
        </w:rPr>
        <w:t xml:space="preserve">. </w:t>
      </w:r>
      <w:r w:rsidR="00D62861">
        <w:rPr>
          <w:rFonts w:ascii="Arial" w:hAnsi="Arial" w:cs="Arial"/>
          <w:color w:val="000000"/>
          <w:sz w:val="20"/>
          <w:szCs w:val="20"/>
          <w:shd w:val="clear" w:color="auto" w:fill="FFFFFF"/>
        </w:rPr>
        <w:t>Read</w:t>
      </w:r>
      <w:r w:rsidRPr="00933BFA">
        <w:rPr>
          <w:rFonts w:ascii="Arial" w:hAnsi="Arial" w:cs="Arial"/>
          <w:color w:val="000000"/>
          <w:sz w:val="20"/>
          <w:szCs w:val="20"/>
          <w:shd w:val="clear" w:color="auto" w:fill="FFFFFF"/>
        </w:rPr>
        <w:t xml:space="preserve"> quality was assessed using FASTQC</w:t>
      </w:r>
      <w:r w:rsidR="00D62861">
        <w:rPr>
          <w:rFonts w:ascii="Arial" w:hAnsi="Arial" w:cs="Arial"/>
          <w:color w:val="000000"/>
          <w:sz w:val="20"/>
          <w:szCs w:val="20"/>
          <w:shd w:val="clear" w:color="auto" w:fill="FFFFFF"/>
        </w:rPr>
        <w:t xml:space="preserve"> and</w:t>
      </w:r>
      <w:r w:rsidRPr="00933BFA">
        <w:rPr>
          <w:rFonts w:ascii="Arial" w:hAnsi="Arial" w:cs="Arial"/>
          <w:color w:val="000000"/>
          <w:sz w:val="20"/>
          <w:szCs w:val="20"/>
          <w:shd w:val="clear" w:color="auto" w:fill="FFFFFF"/>
        </w:rPr>
        <w:t xml:space="preserve"> raw sequencing data </w:t>
      </w:r>
      <w:r w:rsidR="00D62861">
        <w:rPr>
          <w:rFonts w:ascii="Arial" w:hAnsi="Arial" w:cs="Arial"/>
          <w:color w:val="000000"/>
          <w:sz w:val="20"/>
          <w:szCs w:val="20"/>
          <w:shd w:val="clear" w:color="auto" w:fill="FFFFFF"/>
        </w:rPr>
        <w:t>trimmed</w:t>
      </w:r>
      <w:r w:rsidRPr="00933BFA">
        <w:rPr>
          <w:rFonts w:ascii="Arial" w:hAnsi="Arial" w:cs="Arial"/>
          <w:color w:val="000000"/>
          <w:sz w:val="20"/>
          <w:szCs w:val="20"/>
          <w:shd w:val="clear" w:color="auto" w:fill="FFFFFF"/>
        </w:rPr>
        <w:t xml:space="preserve"> using </w:t>
      </w:r>
      <w:r w:rsidR="00893ADE">
        <w:rPr>
          <w:rFonts w:ascii="Arial" w:hAnsi="Arial" w:cs="Arial"/>
          <w:color w:val="000000"/>
          <w:sz w:val="20"/>
          <w:szCs w:val="20"/>
          <w:shd w:val="clear" w:color="auto" w:fill="FFFFFF"/>
        </w:rPr>
        <w:t>‘</w:t>
      </w:r>
      <w:r w:rsidRPr="00933BFA">
        <w:rPr>
          <w:rFonts w:ascii="Arial" w:hAnsi="Arial" w:cs="Arial"/>
          <w:color w:val="000000"/>
          <w:sz w:val="20"/>
          <w:szCs w:val="20"/>
          <w:shd w:val="clear" w:color="auto" w:fill="FFFFFF"/>
        </w:rPr>
        <w:t>obicut</w:t>
      </w:r>
      <w:r w:rsidR="00893ADE">
        <w:rPr>
          <w:rFonts w:ascii="Arial" w:hAnsi="Arial" w:cs="Arial"/>
          <w:color w:val="000000"/>
          <w:sz w:val="20"/>
          <w:szCs w:val="20"/>
          <w:shd w:val="clear" w:color="auto" w:fill="FFFFFF"/>
        </w:rPr>
        <w:t xml:space="preserve">’ </w:t>
      </w:r>
      <w:r w:rsidRPr="00933BFA">
        <w:rPr>
          <w:rFonts w:ascii="Arial" w:hAnsi="Arial" w:cs="Arial"/>
          <w:color w:val="000000"/>
          <w:sz w:val="20"/>
          <w:szCs w:val="20"/>
          <w:shd w:val="clear" w:color="auto" w:fill="FFFFFF"/>
        </w:rPr>
        <w:t xml:space="preserve">to remove low-quality ends. Paired reads were merged using the 'illuminapairedend' tool, excluding alignments with low quality scores (&lt;40). </w:t>
      </w:r>
      <w:r w:rsidR="00D62861">
        <w:rPr>
          <w:rFonts w:ascii="Arial" w:hAnsi="Arial" w:cs="Arial"/>
          <w:color w:val="000000"/>
          <w:sz w:val="20"/>
          <w:szCs w:val="20"/>
          <w:shd w:val="clear" w:color="auto" w:fill="FFFFFF"/>
        </w:rPr>
        <w:t>D</w:t>
      </w:r>
      <w:r w:rsidRPr="00933BFA">
        <w:rPr>
          <w:rFonts w:ascii="Arial" w:hAnsi="Arial" w:cs="Arial"/>
          <w:color w:val="000000"/>
          <w:sz w:val="20"/>
          <w:szCs w:val="20"/>
          <w:shd w:val="clear" w:color="auto" w:fill="FFFFFF"/>
        </w:rPr>
        <w:t xml:space="preserve">emultiplexing of alignments was performed using 'ngsfilter'. Sequences outside the expected length range of 130 to 190 bp and those with ambiguous bases were filtered out using OBIGREP. Dereplication was carried out using 'obiuniq', and chimeric sequences were identified and removed using the </w:t>
      </w:r>
      <w:r w:rsidRPr="00933BFA">
        <w:rPr>
          <w:rFonts w:ascii="Arial" w:hAnsi="Arial" w:cs="Arial"/>
          <w:i/>
          <w:iCs/>
          <w:color w:val="000000"/>
          <w:sz w:val="20"/>
          <w:szCs w:val="20"/>
          <w:shd w:val="clear" w:color="auto" w:fill="FFFFFF"/>
        </w:rPr>
        <w:t>de novo</w:t>
      </w:r>
      <w:r w:rsidRPr="00933BFA">
        <w:rPr>
          <w:rFonts w:ascii="Arial" w:hAnsi="Arial" w:cs="Arial"/>
          <w:color w:val="000000"/>
          <w:sz w:val="20"/>
          <w:szCs w:val="20"/>
          <w:shd w:val="clear" w:color="auto" w:fill="FFFFFF"/>
        </w:rPr>
        <w:t xml:space="preserve"> chimera search function in vsearch 2.4.3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&lt;EndNote&gt;&lt;Cite&gt;&lt;Author&gt;Rognes&lt;/Author&gt;&lt;Year&gt;2016&lt;/Year&gt;&lt;RecNum&gt;3951&lt;/RecNum&gt;&lt;DisplayText&gt;(Rognes et al. 2016)&lt;/DisplayText&gt;&lt;record&gt;&lt;rec-number&gt;3951&lt;/rec-number&gt;&lt;foreign-keys&gt;&lt;key app="EN" db-id="p95sxvefgt9xslevs2mxzp97a5r5xpexertx" timestamp="1742312346"&gt;3951&lt;/key&gt;&lt;/foreign-keys&gt;&lt;ref-type name="Journal Article"&gt;17&lt;/ref-type&gt;&lt;contributors&gt;&lt;authors&gt;&lt;author&gt;Rognes, Torbjørn&lt;/author&gt;&lt;author&gt;Flouri, Tomáš&lt;/author&gt;&lt;author&gt;Nichols, Ben&lt;/author&gt;&lt;author&gt;Quince, Christopher&lt;/author&gt;&lt;author&gt;Mahé, Frédéric&lt;/author&gt;&lt;/authors&gt;&lt;secondary-authors&gt;&lt;author&gt;Hrbek, Tomas&lt;/author&gt;&lt;/secondary-authors&gt;&lt;/contributors&gt;&lt;titles&gt;&lt;title&gt;VSEARCH: a versatile open source tool for metagenomics&lt;/title&gt;&lt;secondary-title&gt;PeerJ&lt;/secondary-title&gt;&lt;alt-title&gt;PeerJ&lt;/alt-title&gt;&lt;/titles&gt;&lt;periodical&gt;&lt;full-title&gt;PeerJ&lt;/full-title&gt;&lt;abbr-1&gt;PeerJ&lt;/abbr-1&gt;&lt;/periodical&gt;&lt;alt-periodical&gt;&lt;full-title&gt;PeerJ&lt;/full-title&gt;&lt;abbr-1&gt;PeerJ&lt;/abbr-1&gt;&lt;/alt-periodical&gt;&lt;pages&gt;e2584&lt;/pages&gt;&lt;volume&gt;4&lt;/volume&gt;&lt;keywords&gt;&lt;keyword&gt;Clustering&lt;/keyword&gt;&lt;keyword&gt;Chimera detection&lt;/keyword&gt;&lt;keyword&gt;Searching&lt;/keyword&gt;&lt;keyword&gt;Masking&lt;/keyword&gt;&lt;keyword&gt;Shuffling&lt;/keyword&gt;&lt;keyword&gt;Parallellization&lt;/keyword&gt;&lt;keyword&gt;Metagenomics&lt;/keyword&gt;&lt;keyword&gt;Alignment&lt;/keyword&gt;&lt;keyword&gt;Sequences&lt;/keyword&gt;&lt;keyword&gt;Dereplication&lt;/keyword&gt;&lt;/keywords&gt;&lt;dates&gt;&lt;year&gt;2016&lt;/year&gt;&lt;pub-dates&gt;&lt;date&gt;2016/10/18&lt;/date&gt;&lt;/pub-dates&gt;&lt;/dates&gt;&lt;isbn&gt;2167-8359&lt;/isbn&gt;&lt;urls&gt;&lt;related-urls&gt;&lt;url&gt;https://doi.org/10.7717/peerj.2584&lt;/url&gt;&lt;/related-urls&gt;&lt;/urls&gt;&lt;electronic-resource-num&gt;10.7717/peerj.2584&lt;/electronic-resource-num&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(Rognes et al. 2016)</w:t>
      </w:r>
      <w:r w:rsidR="00B713AD">
        <w:rPr>
          <w:rFonts w:ascii="Arial" w:hAnsi="Arial" w:cs="Arial"/>
          <w:color w:val="000000"/>
          <w:sz w:val="20"/>
          <w:szCs w:val="20"/>
          <w:shd w:val="clear" w:color="auto" w:fill="FFFFFF"/>
        </w:rPr>
        <w:fldChar w:fldCharType="end"/>
      </w:r>
      <w:r w:rsidRPr="00933BFA">
        <w:rPr>
          <w:rFonts w:ascii="Arial" w:hAnsi="Arial" w:cs="Arial"/>
          <w:color w:val="000000"/>
          <w:sz w:val="20"/>
          <w:szCs w:val="20"/>
          <w:shd w:val="clear" w:color="auto" w:fill="FFFFFF"/>
        </w:rPr>
        <w:t xml:space="preserve">. </w:t>
      </w:r>
      <w:r w:rsidR="00893ADE">
        <w:rPr>
          <w:rFonts w:ascii="Arial" w:hAnsi="Arial" w:cs="Arial"/>
          <w:color w:val="000000"/>
          <w:sz w:val="20"/>
          <w:szCs w:val="20"/>
          <w:shd w:val="clear" w:color="auto" w:fill="FFFFFF"/>
        </w:rPr>
        <w:t>M</w:t>
      </w:r>
      <w:r w:rsidR="00893ADE" w:rsidRPr="00893ADE">
        <w:rPr>
          <w:rFonts w:ascii="Arial" w:hAnsi="Arial" w:cs="Arial"/>
          <w:color w:val="000000"/>
          <w:sz w:val="20"/>
          <w:szCs w:val="20"/>
          <w:shd w:val="clear" w:color="auto" w:fill="FFFFFF"/>
        </w:rPr>
        <w:t>olecular operational taxonomic unit</w:t>
      </w:r>
      <w:r w:rsidR="00893ADE">
        <w:rPr>
          <w:rFonts w:ascii="Arial" w:hAnsi="Arial" w:cs="Arial"/>
          <w:color w:val="000000"/>
          <w:sz w:val="20"/>
          <w:szCs w:val="20"/>
          <w:shd w:val="clear" w:color="auto" w:fill="FFFFFF"/>
        </w:rPr>
        <w:t>s</w:t>
      </w:r>
      <w:r w:rsidR="00893ADE" w:rsidRPr="00893ADE">
        <w:rPr>
          <w:rFonts w:ascii="Arial" w:hAnsi="Arial" w:cs="Arial"/>
          <w:color w:val="000000"/>
          <w:sz w:val="20"/>
          <w:szCs w:val="20"/>
          <w:shd w:val="clear" w:color="auto" w:fill="FFFFFF"/>
        </w:rPr>
        <w:t xml:space="preserve"> </w:t>
      </w:r>
      <w:r w:rsidR="00893ADE">
        <w:rPr>
          <w:rFonts w:ascii="Arial" w:hAnsi="Arial" w:cs="Arial"/>
          <w:color w:val="000000"/>
          <w:sz w:val="20"/>
          <w:szCs w:val="20"/>
          <w:shd w:val="clear" w:color="auto" w:fill="FFFFFF"/>
        </w:rPr>
        <w:t>(</w:t>
      </w:r>
      <w:r w:rsidRPr="00933BFA">
        <w:rPr>
          <w:rFonts w:ascii="Arial" w:hAnsi="Arial" w:cs="Arial"/>
          <w:color w:val="000000"/>
          <w:sz w:val="20"/>
          <w:szCs w:val="20"/>
          <w:shd w:val="clear" w:color="auto" w:fill="FFFFFF"/>
        </w:rPr>
        <w:t>MOTUs</w:t>
      </w:r>
      <w:r w:rsidR="00893ADE">
        <w:rPr>
          <w:rFonts w:ascii="Arial" w:hAnsi="Arial" w:cs="Arial"/>
          <w:color w:val="000000"/>
          <w:sz w:val="20"/>
          <w:szCs w:val="20"/>
          <w:shd w:val="clear" w:color="auto" w:fill="FFFFFF"/>
        </w:rPr>
        <w:t>)</w:t>
      </w:r>
      <w:r w:rsidRPr="00933BFA">
        <w:rPr>
          <w:rFonts w:ascii="Arial" w:hAnsi="Arial" w:cs="Arial"/>
          <w:color w:val="000000"/>
          <w:sz w:val="20"/>
          <w:szCs w:val="20"/>
          <w:shd w:val="clear" w:color="auto" w:fill="FFFFFF"/>
        </w:rPr>
        <w:t xml:space="preserve"> were delimited using the aggregation clustering algorithm implemented in SWARM v2.4.3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&lt;EndNote&gt;&lt;Cite&gt;&lt;Author&gt;Mahé&lt;/Author&gt;&lt;Year&gt;2015&lt;/Year&gt;&lt;RecNum&gt;3952&lt;/RecNum&gt;&lt;DisplayText&gt;(Mahé et al. 2015)&lt;/DisplayText&gt;&lt;record&gt;&lt;rec-number&gt;3952&lt;/rec-number&gt;&lt;foreign-keys&gt;&lt;key app="EN" db-id="p95sxvefgt9xslevs2mxzp97a5r5xpexertx" timestamp="1742312435"&gt;3952&lt;/key&gt;&lt;/foreign-keys&gt;&lt;ref-type name="Journal Article"&gt;17&lt;/ref-type&gt;&lt;contributors&gt;&lt;authors&gt;&lt;author&gt;Mahé, Frédéric&lt;/author&gt;&lt;author&gt;Rognes, Torbjørn&lt;/author&gt;&lt;author&gt;Quince, Christopher&lt;/author&gt;&lt;author&gt;de Vargas, Colomban&lt;/author&gt;&lt;author&gt;Dunthorn, Micah&lt;/author&gt;&lt;/authors&gt;&lt;secondary-authors&gt;&lt;author&gt;van Wezel, Gilles&lt;/author&gt;&lt;/secondary-authors&gt;&lt;/contributors&gt;&lt;titles&gt;&lt;title&gt;Swarm v2: highly-scalable and high-resolution amplicon clustering&lt;/title&gt;&lt;secondary-title&gt;PeerJ&lt;/secondary-title&gt;&lt;alt-title&gt;PeerJ&lt;/alt-title&gt;&lt;/titles&gt;&lt;periodical&gt;&lt;full-title&gt;PeerJ&lt;/full-title&gt;&lt;abbr-1&gt;PeerJ&lt;/abbr-1&gt;&lt;/periodical&gt;&lt;alt-periodical&gt;&lt;full-title&gt;PeerJ&lt;/full-title&gt;&lt;abbr-1&gt;PeerJ&lt;/abbr-1&gt;&lt;/alt-periodical&gt;&lt;pages&gt;e1420&lt;/pages&gt;&lt;volume&gt;3&lt;/volume&gt;&lt;keywords&gt;&lt;keyword&gt;Environmental diversity&lt;/keyword&gt;&lt;keyword&gt;Barcoding&lt;/keyword&gt;&lt;keyword&gt;Molecular operational taxonomic units&lt;/keyword&gt;&lt;/keywords&gt;&lt;dates&gt;&lt;year&gt;2015&lt;/year&gt;&lt;pub-dates&gt;&lt;date&gt;2015/12/10&lt;/date&gt;&lt;/pub-dates&gt;&lt;/dates&gt;&lt;isbn&gt;2167-8359&lt;/isbn&gt;&lt;urls&gt;&lt;related-urls&gt;&lt;url&gt;https://doi.org/10.7717/peerj.1420&lt;/url&gt;&lt;/related-urls&gt;&lt;/urls&gt;&lt;electronic-resource-num&gt;10.7717/peerj.1420&lt;/electronic-resource-num&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(Mahé et al. 2015)</w:t>
      </w:r>
      <w:r w:rsidR="00B713AD">
        <w:rPr>
          <w:rFonts w:ascii="Arial" w:hAnsi="Arial" w:cs="Arial"/>
          <w:color w:val="000000"/>
          <w:sz w:val="20"/>
          <w:szCs w:val="20"/>
          <w:shd w:val="clear" w:color="auto" w:fill="FFFFFF"/>
        </w:rPr>
        <w:fldChar w:fldCharType="end"/>
      </w:r>
      <w:r w:rsidRPr="00933BFA">
        <w:rPr>
          <w:rFonts w:ascii="Arial" w:hAnsi="Arial" w:cs="Arial"/>
          <w:color w:val="000000"/>
          <w:sz w:val="20"/>
          <w:szCs w:val="20"/>
          <w:shd w:val="clear" w:color="auto" w:fill="FFFFFF"/>
        </w:rPr>
        <w:t xml:space="preserve">, with a clustering threshold of "-d 3". Taxonomy assignment was performed using 'ecotag' against a custom-made 12S vertebrate reference database, which was constructed by </w:t>
      </w:r>
      <w:r w:rsidRPr="00933BFA">
        <w:rPr>
          <w:rFonts w:ascii="Arial" w:hAnsi="Arial" w:cs="Arial"/>
          <w:i/>
          <w:iCs/>
          <w:color w:val="000000"/>
          <w:sz w:val="20"/>
          <w:szCs w:val="20"/>
          <w:shd w:val="clear" w:color="auto" w:fill="FFFFFF"/>
        </w:rPr>
        <w:t>in</w:t>
      </w:r>
      <w:r w:rsidR="00893ADE" w:rsidRPr="00893ADE">
        <w:rPr>
          <w:rFonts w:ascii="Arial" w:hAnsi="Arial" w:cs="Arial"/>
          <w:i/>
          <w:iCs/>
          <w:color w:val="000000"/>
          <w:sz w:val="20"/>
          <w:szCs w:val="20"/>
          <w:shd w:val="clear" w:color="auto" w:fill="FFFFFF"/>
        </w:rPr>
        <w:t xml:space="preserve"> </w:t>
      </w:r>
      <w:r w:rsidRPr="00933BFA">
        <w:rPr>
          <w:rFonts w:ascii="Arial" w:hAnsi="Arial" w:cs="Arial"/>
          <w:i/>
          <w:iCs/>
          <w:color w:val="000000"/>
          <w:sz w:val="20"/>
          <w:szCs w:val="20"/>
          <w:shd w:val="clear" w:color="auto" w:fill="FFFFFF"/>
        </w:rPr>
        <w:t>silico</w:t>
      </w:r>
      <w:r w:rsidRPr="00933BFA">
        <w:rPr>
          <w:rFonts w:ascii="Arial" w:hAnsi="Arial" w:cs="Arial"/>
          <w:color w:val="000000"/>
          <w:sz w:val="20"/>
          <w:szCs w:val="20"/>
          <w:shd w:val="clear" w:color="auto" w:fill="FFFFFF"/>
        </w:rPr>
        <w:t xml:space="preserve"> PCR for Tele02 primers against the EMBL database (Release version r143) using 'ecoPCR'. The resulting MOTU table was formatted using R scripts available at the following GitHub repository: https://github.com/metabarpark/R_scripts_metabarpark. Taxonomic assignments were further validated by manual BLAST searches to remove ambiguous MOTUs, while non-target reads (non-teleosts) were excluded from downstream analysis. </w:t>
      </w:r>
    </w:p>
    <w:p w14:paraId="20E1A765" w14:textId="77777777" w:rsidR="0016328C" w:rsidRDefault="0016328C" w:rsidP="00B713AD">
      <w:pPr>
        <w:spacing w:after="120" w:line="360" w:lineRule="auto"/>
        <w:jc w:val="both"/>
        <w:rPr>
          <w:rFonts w:ascii="Arial" w:hAnsi="Arial" w:cs="Arial"/>
          <w:color w:val="000000"/>
          <w:sz w:val="20"/>
          <w:szCs w:val="20"/>
          <w:shd w:val="clear" w:color="auto" w:fill="FFFFFF"/>
        </w:rPr>
      </w:pPr>
    </w:p>
    <w:p w14:paraId="71514F74" w14:textId="0C046D4C" w:rsidR="00933BFA" w:rsidRPr="0016328C" w:rsidRDefault="00933BFA" w:rsidP="00B713AD">
      <w:pPr>
        <w:spacing w:after="120" w:line="360" w:lineRule="auto"/>
        <w:jc w:val="both"/>
        <w:rPr>
          <w:rFonts w:ascii="Arial" w:hAnsi="Arial" w:cs="Arial"/>
          <w:b/>
          <w:bCs/>
          <w:color w:val="000000"/>
          <w:sz w:val="20"/>
          <w:szCs w:val="20"/>
          <w:shd w:val="clear" w:color="auto" w:fill="FFFFFF"/>
        </w:rPr>
      </w:pPr>
      <w:r w:rsidRPr="0016328C">
        <w:rPr>
          <w:rFonts w:ascii="Arial" w:hAnsi="Arial" w:cs="Arial"/>
          <w:b/>
          <w:bCs/>
          <w:color w:val="000000"/>
          <w:sz w:val="20"/>
          <w:szCs w:val="20"/>
          <w:shd w:val="clear" w:color="auto" w:fill="FFFFFF"/>
        </w:rPr>
        <w:t xml:space="preserve">Statistical analysis </w:t>
      </w:r>
    </w:p>
    <w:p w14:paraId="2FFF5194" w14:textId="47FC22E3" w:rsidR="008970B2" w:rsidRDefault="00933BFA" w:rsidP="00B713AD">
      <w:pPr>
        <w:spacing w:after="120" w:line="360" w:lineRule="auto"/>
        <w:jc w:val="both"/>
        <w:rPr>
          <w:rFonts w:ascii="Arial" w:hAnsi="Arial" w:cs="Arial"/>
          <w:color w:val="000000"/>
          <w:sz w:val="20"/>
          <w:szCs w:val="20"/>
          <w:shd w:val="clear" w:color="auto" w:fill="FFFFFF"/>
        </w:rPr>
      </w:pPr>
      <w:r w:rsidRPr="00933BFA">
        <w:rPr>
          <w:rFonts w:ascii="Arial" w:hAnsi="Arial" w:cs="Arial"/>
          <w:color w:val="000000"/>
          <w:sz w:val="20"/>
          <w:szCs w:val="20"/>
          <w:shd w:val="clear" w:color="auto" w:fill="FFFFFF"/>
        </w:rPr>
        <w:t xml:space="preserve">All statistical analyses were conducted using R v4.2.3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&lt;EndNote&gt;&lt;Cite&gt;&lt;Author&gt;Oksanen&lt;/Author&gt;&lt;Year&gt;2019&lt;/Year&gt;&lt;RecNum&gt;3954&lt;/RecNum&gt;&lt;DisplayText&gt;(Oksanen et al. 2019)&lt;/DisplayText&gt;&lt;record&gt;&lt;rec-number&gt;3954&lt;/rec-number&gt;&lt;foreign-keys&gt;&lt;key app="EN" db-id="p95sxvefgt9xslevs2mxzp97a5r5xpexertx" timestamp="1742313377"&gt;3954&lt;/key&gt;&lt;/foreign-keys&gt;&lt;ref-type name="Book"&gt;6&lt;/ref-type&gt;&lt;contributors&gt;&lt;authors&gt;&lt;author&gt;Oksanen, Jari&lt;/author&gt;&lt;author&gt;Blanchet, F. Guillaume&lt;/author&gt;&lt;author&gt;Friendly, Michael&lt;/author&gt;&lt;author&gt;Kindt, Roeland&lt;/author&gt;&lt;author&gt;Legendre, Pierre&lt;/author&gt;&lt;author&gt;McGlinn, Daniel&lt;/author&gt;&lt;author&gt;Minchin, Peter&lt;/author&gt;&lt;author&gt;O’Hara, R. B.&lt;/author&gt;&lt;author&gt;Simpson, Gavin&lt;/author&gt;&lt;author&gt;Solymos, Peter&lt;/author&gt;&lt;author&gt;Stevens, M. H. H.&lt;/author&gt;&lt;author&gt;Szöcs, Eduard&lt;/author&gt;&lt;author&gt;Wagner, Helene&lt;/author&gt;&lt;/authors&gt;&lt;/contributors&gt;&lt;titles&gt;&lt;title&gt;vegan community ecology package version 2.5-6&lt;/title&gt;&lt;/titles&gt;&lt;dates&gt;&lt;year&gt;2019&lt;/year&gt;&lt;/dates&gt;&lt;urls&gt;&lt;/urls&gt;&lt;/record&gt;&lt;/Cite&gt;&lt;/EndNote&gt;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(Oksanen et al. 2019)</w:t>
      </w:r>
      <w:r w:rsidR="00B713AD">
        <w:rPr>
          <w:rFonts w:ascii="Arial" w:hAnsi="Arial" w:cs="Arial"/>
          <w:color w:val="000000"/>
          <w:sz w:val="20"/>
          <w:szCs w:val="20"/>
          <w:shd w:val="clear" w:color="auto" w:fill="FFFFFF"/>
        </w:rPr>
        <w:fldChar w:fldCharType="end"/>
      </w:r>
      <w:r w:rsidRPr="00933BFA">
        <w:rPr>
          <w:rFonts w:ascii="Arial" w:hAnsi="Arial" w:cs="Arial"/>
          <w:color w:val="000000"/>
          <w:sz w:val="20"/>
          <w:szCs w:val="20"/>
          <w:shd w:val="clear" w:color="auto" w:fill="FFFFFF"/>
        </w:rPr>
        <w:t xml:space="preserve">. Venn diagrams were generated </w:t>
      </w:r>
      <w:r w:rsidR="00893ADE" w:rsidRPr="00933BFA">
        <w:rPr>
          <w:rFonts w:ascii="Arial" w:hAnsi="Arial" w:cs="Arial"/>
          <w:color w:val="000000"/>
          <w:sz w:val="20"/>
          <w:szCs w:val="20"/>
          <w:shd w:val="clear" w:color="auto" w:fill="FFFFFF"/>
        </w:rPr>
        <w:t>using the ggvenn package</w:t>
      </w:r>
      <w:r w:rsidR="00893ADE">
        <w:rPr>
          <w:rFonts w:ascii="Arial" w:hAnsi="Arial" w:cs="Arial"/>
          <w:color w:val="000000"/>
          <w:sz w:val="20"/>
          <w:szCs w:val="20"/>
          <w:shd w:val="clear" w:color="auto" w:fill="FFFFFF"/>
        </w:rPr>
        <w:t>,</w:t>
      </w:r>
      <w:r w:rsidR="00893ADE" w:rsidRPr="00933BFA">
        <w:rPr>
          <w:rFonts w:ascii="Arial" w:hAnsi="Arial" w:cs="Arial"/>
          <w:color w:val="000000"/>
          <w:sz w:val="20"/>
          <w:szCs w:val="20"/>
          <w:shd w:val="clear" w:color="auto" w:fill="FFFFFF"/>
        </w:rPr>
        <w:t xml:space="preserve"> an extension of the ggplot2 packa</w:t>
      </w:r>
      <w:r w:rsidR="00893ADE">
        <w:rPr>
          <w:rFonts w:ascii="Arial" w:hAnsi="Arial" w:cs="Arial"/>
          <w:color w:val="000000"/>
          <w:sz w:val="20"/>
          <w:szCs w:val="20"/>
          <w:shd w:val="clear" w:color="auto" w:fill="FFFFFF"/>
        </w:rPr>
        <w:t>g</w:t>
      </w:r>
      <w:r w:rsidR="00893ADE" w:rsidRPr="00933BFA">
        <w:rPr>
          <w:rFonts w:ascii="Arial" w:hAnsi="Arial" w:cs="Arial"/>
          <w:color w:val="000000"/>
          <w:sz w:val="20"/>
          <w:szCs w:val="20"/>
          <w:shd w:val="clear" w:color="auto" w:fill="FFFFFF"/>
        </w:rPr>
        <w:t>e</w:t>
      </w:r>
      <w:r w:rsidR="00893ADE">
        <w:rPr>
          <w:rFonts w:ascii="Arial" w:hAnsi="Arial" w:cs="Arial"/>
          <w:color w:val="000000"/>
          <w:sz w:val="20"/>
          <w:szCs w:val="20"/>
          <w:shd w:val="clear" w:color="auto" w:fill="FFFFFF"/>
        </w:rPr>
        <w:t>,</w:t>
      </w:r>
      <w:r w:rsidR="00893ADE" w:rsidRPr="00933BFA">
        <w:rPr>
          <w:rFonts w:ascii="Arial" w:hAnsi="Arial" w:cs="Arial"/>
          <w:color w:val="000000"/>
          <w:sz w:val="20"/>
          <w:szCs w:val="20"/>
          <w:shd w:val="clear" w:color="auto" w:fill="FFFFFF"/>
        </w:rPr>
        <w:t xml:space="preserve"> in R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&lt;EndNote&gt;&lt;Cite&gt;&lt;Author&gt;Wickham&lt;/Author&gt;&lt;Year&gt;2016&lt;/Year&gt;&lt;RecNum&gt;3953&lt;/RecNum&gt;&lt;DisplayText&gt;(Wickham 2016)&lt;/DisplayText&gt;&lt;record&gt;&lt;rec-number&gt;3953&lt;/rec-number&gt;&lt;foreign-keys&gt;&lt;key app="EN" db-id="p95sxvefgt9xslevs2mxzp97a5r5xpexertx" timestamp="1742313087"&gt;3953&lt;/key&gt;&lt;/foreign-keys&gt;&lt;ref-type name="Book"&gt;6&lt;/ref-type&gt;&lt;contributors&gt;&lt;authors&gt;&lt;author&gt;Wickham, Hadley&lt;/author&gt;&lt;/authors&gt;&lt;/contributors&gt;&lt;titles&gt;&lt;title&gt;ggplot2: Elegant Graphics for Data Analysis&lt;/title&gt;&lt;/titles&gt;&lt;dates&gt;&lt;year&gt;2016&lt;/year&gt;&lt;/dates&gt;&lt;pub-location&gt;New York&lt;/pub-location&gt;&lt;publisher&gt;Springer-Verlag&lt;/publisher&gt;&lt;urls&gt;&lt;related-urls&gt;&lt;url&gt;https://ggplot2.tidyverse.org&lt;/url&gt;&lt;/related-urls&gt;&lt;/urls&gt;&lt;/record&gt;&lt;/Cite&gt;&lt;/EndNote&gt;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(Wickham 2016)</w:t>
      </w:r>
      <w:r w:rsidR="00B713AD">
        <w:rPr>
          <w:rFonts w:ascii="Arial" w:hAnsi="Arial" w:cs="Arial"/>
          <w:color w:val="000000"/>
          <w:sz w:val="20"/>
          <w:szCs w:val="20"/>
          <w:shd w:val="clear" w:color="auto" w:fill="FFFFFF"/>
        </w:rPr>
        <w:fldChar w:fldCharType="end"/>
      </w:r>
      <w:r w:rsidR="00893ADE">
        <w:rPr>
          <w:rFonts w:ascii="Arial" w:hAnsi="Arial" w:cs="Arial"/>
          <w:color w:val="000000"/>
          <w:sz w:val="20"/>
          <w:szCs w:val="20"/>
          <w:shd w:val="clear" w:color="auto" w:fill="FFFFFF"/>
        </w:rPr>
        <w:t xml:space="preserve"> </w:t>
      </w:r>
      <w:r w:rsidRPr="00933BFA">
        <w:rPr>
          <w:rFonts w:ascii="Arial" w:hAnsi="Arial" w:cs="Arial"/>
          <w:color w:val="000000"/>
          <w:sz w:val="20"/>
          <w:szCs w:val="20"/>
          <w:shd w:val="clear" w:color="auto" w:fill="FFFFFF"/>
        </w:rPr>
        <w:t xml:space="preserve">to examine the overlap across different species of jellyfish, and body parts within each species. To assess the statistical significance of differences in MOTU detection between species and body parts, PERMANOVA tests were performed. The PERMANOVA tests were based on Jaccard distances calculated from a binary presence-absence dataset that included all taxa. The adonis function from the vegan package in R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&lt;EndNote&gt;&lt;Cite&gt;&lt;Author&gt;Oksanen&lt;/Author&gt;&lt;Year&gt;2019&lt;/Year&gt;&lt;RecNum&gt;3954&lt;/RecNum&gt;&lt;DisplayText&gt;(Oksanen et al. 2019)&lt;/DisplayText&gt;&lt;record&gt;&lt;rec-number&gt;3954&lt;/rec-number&gt;&lt;foreign-keys&gt;&lt;key app="EN" db-id="p95sxvefgt9xslevs2mxzp97a5r5xpexertx" timestamp="1742313377"&gt;3954&lt;/key&gt;&lt;/foreign-keys&gt;&lt;ref-type name="Book"&gt;6&lt;/ref-type&gt;&lt;contributors&gt;&lt;authors&gt;&lt;author&gt;Oksanen, Jari&lt;/author&gt;&lt;author&gt;Blanchet, F. Guillaume&lt;/author&gt;&lt;author&gt;Friendly, Michael&lt;/author&gt;&lt;author&gt;Kindt, Roeland&lt;/author&gt;&lt;author&gt;Legendre, Pierre&lt;/author&gt;&lt;author&gt;McGlinn, Daniel&lt;/author&gt;&lt;author&gt;Minchin, Peter&lt;/author&gt;&lt;author&gt;O’Hara, R. B.&lt;/author&gt;&lt;author&gt;Simpson, Gavin&lt;/author&gt;&lt;author&gt;Solymos, Peter&lt;/author&gt;&lt;author&gt;Stevens, M. H. H.&lt;/author&gt;&lt;author&gt;Szöcs, Eduard&lt;/author&gt;&lt;author&gt;Wagner, Helene&lt;/author&gt;&lt;/authors&gt;&lt;/contributors&gt;&lt;titles&gt;&lt;title&gt;vegan community ecology package version 2.5-6&lt;/title&gt;&lt;/titles&gt;&lt;dates&gt;&lt;year&gt;2019&lt;/year&gt;&lt;/dates&gt;&lt;urls&gt;&lt;/urls&gt;&lt;/record&gt;&lt;/Cite&gt;&lt;/EndNote&gt;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(Oksanen et al. 2019)</w:t>
      </w:r>
      <w:r w:rsidR="00B713AD">
        <w:rPr>
          <w:rFonts w:ascii="Arial" w:hAnsi="Arial" w:cs="Arial"/>
          <w:color w:val="000000"/>
          <w:sz w:val="20"/>
          <w:szCs w:val="20"/>
          <w:shd w:val="clear" w:color="auto" w:fill="FFFFFF"/>
        </w:rPr>
        <w:fldChar w:fldCharType="end"/>
      </w:r>
      <w:r w:rsidRPr="00933BFA">
        <w:rPr>
          <w:rFonts w:ascii="Arial" w:hAnsi="Arial" w:cs="Arial"/>
          <w:color w:val="000000"/>
          <w:sz w:val="20"/>
          <w:szCs w:val="20"/>
          <w:shd w:val="clear" w:color="auto" w:fill="FFFFFF"/>
        </w:rPr>
        <w:t xml:space="preserve"> was utilised for the PERMANOVA analysis (1000 permutations). To visualise the dissimilarity between samples, non-metric multidimensional scaling (nMDS) plots were generated. The nMDS plots were created using the metaMDS function from the vegan package in R </w:t>
      </w:r>
      <w:r w:rsidR="00B713AD">
        <w:rPr>
          <w:rFonts w:ascii="Arial" w:hAnsi="Arial" w:cs="Arial"/>
          <w:color w:val="000000"/>
          <w:sz w:val="20"/>
          <w:szCs w:val="20"/>
          <w:shd w:val="clear" w:color="auto" w:fill="FFFFFF"/>
        </w:rPr>
        <w:fldChar w:fldCharType="begin"/>
      </w:r>
      <w:r w:rsidR="00B713AD">
        <w:rPr>
          <w:rFonts w:ascii="Arial" w:hAnsi="Arial" w:cs="Arial"/>
          <w:color w:val="000000"/>
          <w:sz w:val="20"/>
          <w:szCs w:val="20"/>
          <w:shd w:val="clear" w:color="auto" w:fill="FFFFFF"/>
        </w:rPr>
        <w:instrText xml:space="preserve"> ADDIN EN.CITE &lt;EndNote&gt;&lt;Cite&gt;&lt;Author&gt;Oksanen&lt;/Author&gt;&lt;Year&gt;2019&lt;/Year&gt;&lt;RecNum&gt;3954&lt;/RecNum&gt;&lt;DisplayText&gt;(Oksanen et al. 2019)&lt;/DisplayText&gt;&lt;record&gt;&lt;rec-number&gt;3954&lt;/rec-number&gt;&lt;foreign-keys&gt;&lt;key app="EN" db-id="p95sxvefgt9xslevs2mxzp97a5r5xpexertx" timestamp="1742313377"&gt;3954&lt;/key&gt;&lt;/foreign-keys&gt;&lt;ref-type name="Book"&gt;6&lt;/ref-type&gt;&lt;contributors&gt;&lt;authors&gt;&lt;author&gt;Oksanen, Jari&lt;/author&gt;&lt;author&gt;Blanchet, F. Guillaume&lt;/author&gt;&lt;author&gt;Friendly, Michael&lt;/author&gt;&lt;author&gt;Kindt, Roeland&lt;/author&gt;&lt;author&gt;Legendre, Pierre&lt;/author&gt;&lt;author&gt;McGlinn, Daniel&lt;/author&gt;&lt;author&gt;Minchin, Peter&lt;/author&gt;&lt;author&gt;O’Hara, R. B.&lt;/author&gt;&lt;author&gt;Simpson, Gavin&lt;/author&gt;&lt;author&gt;Solymos, Peter&lt;/author&gt;&lt;author&gt;Stevens, M. H. H.&lt;/author&gt;&lt;author&gt;Szöcs, Eduard&lt;/author&gt;&lt;author&gt;Wagner, Helene&lt;/author&gt;&lt;/authors&gt;&lt;/contributors&gt;&lt;titles&gt;&lt;title&gt;vegan community ecology package version 2.5-6&lt;/title&gt;&lt;/titles&gt;&lt;dates&gt;&lt;year&gt;2019&lt;/year&gt;&lt;/dates&gt;&lt;urls&gt;&lt;/urls&gt;&lt;/record&gt;&lt;/Cite&gt;&lt;/EndNote&gt;</w:instrText>
      </w:r>
      <w:r w:rsidR="00B713AD">
        <w:rPr>
          <w:rFonts w:ascii="Arial" w:hAnsi="Arial" w:cs="Arial"/>
          <w:color w:val="000000"/>
          <w:sz w:val="20"/>
          <w:szCs w:val="20"/>
          <w:shd w:val="clear" w:color="auto" w:fill="FFFFFF"/>
        </w:rPr>
        <w:fldChar w:fldCharType="separate"/>
      </w:r>
      <w:r w:rsidR="00B713AD">
        <w:rPr>
          <w:rFonts w:ascii="Arial" w:hAnsi="Arial" w:cs="Arial"/>
          <w:noProof/>
          <w:color w:val="000000"/>
          <w:sz w:val="20"/>
          <w:szCs w:val="20"/>
          <w:shd w:val="clear" w:color="auto" w:fill="FFFFFF"/>
        </w:rPr>
        <w:t>(Oksanen et al. 2019)</w:t>
      </w:r>
      <w:r w:rsidR="00B713AD">
        <w:rPr>
          <w:rFonts w:ascii="Arial" w:hAnsi="Arial" w:cs="Arial"/>
          <w:color w:val="000000"/>
          <w:sz w:val="20"/>
          <w:szCs w:val="20"/>
          <w:shd w:val="clear" w:color="auto" w:fill="FFFFFF"/>
        </w:rPr>
        <w:fldChar w:fldCharType="end"/>
      </w:r>
      <w:r w:rsidRPr="00933BFA">
        <w:rPr>
          <w:rFonts w:ascii="Arial" w:hAnsi="Arial" w:cs="Arial"/>
          <w:color w:val="000000"/>
          <w:sz w:val="20"/>
          <w:szCs w:val="20"/>
          <w:shd w:val="clear" w:color="auto" w:fill="FFFFFF"/>
        </w:rPr>
        <w:t>.</w:t>
      </w:r>
    </w:p>
    <w:p w14:paraId="1D522A0E" w14:textId="77777777" w:rsidR="007D1007" w:rsidRDefault="007D1007" w:rsidP="00B713AD">
      <w:pPr>
        <w:spacing w:after="120" w:line="360" w:lineRule="auto"/>
        <w:jc w:val="both"/>
        <w:rPr>
          <w:rFonts w:ascii="Arial" w:hAnsi="Arial" w:cs="Arial"/>
          <w:color w:val="000000"/>
          <w:sz w:val="20"/>
          <w:szCs w:val="20"/>
          <w:shd w:val="clear" w:color="auto" w:fill="FFFFFF"/>
        </w:rPr>
      </w:pPr>
    </w:p>
    <w:p w14:paraId="7360E9CE" w14:textId="77777777" w:rsidR="007D1007" w:rsidRDefault="007D1007" w:rsidP="00B713AD">
      <w:pPr>
        <w:spacing w:line="278"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br w:type="page"/>
      </w:r>
    </w:p>
    <w:p w14:paraId="0B82BDEB" w14:textId="663F9AA0" w:rsidR="008C257B" w:rsidRDefault="008C257B" w:rsidP="00B713AD">
      <w:pPr>
        <w:spacing w:after="120" w:line="360" w:lineRule="auto"/>
        <w:jc w:val="both"/>
        <w:rPr>
          <w:rFonts w:ascii="Arial" w:hAnsi="Arial" w:cs="Arial"/>
          <w:b/>
          <w:bCs/>
          <w:color w:val="000000"/>
          <w:sz w:val="20"/>
          <w:szCs w:val="20"/>
          <w:shd w:val="clear" w:color="auto" w:fill="FFFFFF"/>
        </w:rPr>
      </w:pPr>
    </w:p>
    <w:p w14:paraId="4854231A" w14:textId="06350D3A" w:rsidR="00B13DAD" w:rsidRPr="008C257B" w:rsidRDefault="00B13DAD" w:rsidP="00AD3BA3">
      <w:pPr>
        <w:spacing w:after="120" w:line="360" w:lineRule="auto"/>
        <w:rPr>
          <w:rFonts w:ascii="Arial" w:hAnsi="Arial" w:cs="Arial"/>
          <w:b/>
          <w:bCs/>
          <w:color w:val="000000"/>
          <w:sz w:val="20"/>
          <w:szCs w:val="20"/>
          <w:shd w:val="clear" w:color="auto" w:fill="FFFFFF"/>
        </w:rPr>
      </w:pPr>
      <w:r>
        <w:rPr>
          <w:rFonts w:ascii="Arial" w:hAnsi="Arial" w:cs="Arial"/>
          <w:b/>
          <w:bCs/>
          <w:noProof/>
          <w:color w:val="000000"/>
          <w:sz w:val="20"/>
          <w:szCs w:val="20"/>
          <w:shd w:val="clear" w:color="auto" w:fill="FFFFFF"/>
        </w:rPr>
        <w:drawing>
          <wp:inline distT="0" distB="0" distL="0" distR="0" wp14:anchorId="5E770559" wp14:editId="0F292BB5">
            <wp:extent cx="3876921" cy="1982422"/>
            <wp:effectExtent l="0" t="0" r="0" b="0"/>
            <wp:docPr id="1527196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8742"/>
                    <a:stretch>
                      <a:fillRect/>
                    </a:stretch>
                  </pic:blipFill>
                  <pic:spPr bwMode="auto">
                    <a:xfrm>
                      <a:off x="0" y="0"/>
                      <a:ext cx="3897570" cy="1992981"/>
                    </a:xfrm>
                    <a:prstGeom prst="rect">
                      <a:avLst/>
                    </a:prstGeom>
                    <a:noFill/>
                    <a:ln>
                      <a:noFill/>
                    </a:ln>
                    <a:extLst>
                      <a:ext uri="{53640926-AAD7-44D8-BBD7-CCE9431645EC}">
                        <a14:shadowObscured xmlns:a14="http://schemas.microsoft.com/office/drawing/2010/main"/>
                      </a:ext>
                    </a:extLst>
                  </pic:spPr>
                </pic:pic>
              </a:graphicData>
            </a:graphic>
          </wp:inline>
        </w:drawing>
      </w:r>
    </w:p>
    <w:p w14:paraId="7A687FE1" w14:textId="77777777" w:rsidR="00B713AD" w:rsidRDefault="008C257B" w:rsidP="00AD3BA3">
      <w:pPr>
        <w:spacing w:after="120" w:line="360" w:lineRule="auto"/>
        <w:rPr>
          <w:rFonts w:ascii="Arial" w:hAnsi="Arial" w:cs="Arial"/>
          <w:b/>
          <w:bCs/>
          <w:color w:val="000000"/>
          <w:sz w:val="20"/>
          <w:szCs w:val="20"/>
          <w:shd w:val="clear" w:color="auto" w:fill="FFFFFF"/>
        </w:rPr>
      </w:pPr>
      <w:r w:rsidRPr="008C257B">
        <w:rPr>
          <w:rFonts w:ascii="Arial" w:hAnsi="Arial" w:cs="Arial"/>
          <w:b/>
          <w:bCs/>
          <w:color w:val="000000"/>
          <w:sz w:val="20"/>
          <w:szCs w:val="20"/>
          <w:shd w:val="clear" w:color="auto" w:fill="FFFFFF"/>
        </w:rPr>
        <w:t>Supplemental Figure 1.  Comparison of log-transformed number of reads across samples of four species of jellyfish.</w:t>
      </w:r>
    </w:p>
    <w:p w14:paraId="6ECB8E28" w14:textId="77777777" w:rsidR="00B713AD" w:rsidRDefault="00B713AD" w:rsidP="00AD3BA3">
      <w:pPr>
        <w:spacing w:after="120" w:line="360" w:lineRule="auto"/>
        <w:rPr>
          <w:rFonts w:ascii="Arial" w:hAnsi="Arial" w:cs="Arial"/>
          <w:b/>
          <w:bCs/>
          <w:color w:val="000000"/>
          <w:sz w:val="20"/>
          <w:szCs w:val="20"/>
          <w:shd w:val="clear" w:color="auto" w:fill="FFFFFF"/>
        </w:rPr>
      </w:pPr>
    </w:p>
    <w:p w14:paraId="3C0680D6" w14:textId="76223B87" w:rsidR="00B713AD" w:rsidRPr="00B713AD" w:rsidRDefault="00B713AD" w:rsidP="00B713AD">
      <w:pPr>
        <w:pStyle w:val="EndNoteBibliography"/>
        <w:spacing w:after="120" w:line="360" w:lineRule="auto"/>
        <w:jc w:val="both"/>
        <w:rPr>
          <w:rFonts w:ascii="Arial" w:hAnsi="Arial" w:cs="Arial"/>
          <w:sz w:val="20"/>
          <w:szCs w:val="20"/>
        </w:rPr>
      </w:pPr>
      <w:r w:rsidRPr="00B713AD">
        <w:rPr>
          <w:rFonts w:ascii="Arial" w:hAnsi="Arial" w:cs="Arial"/>
          <w:b/>
          <w:bCs/>
          <w:color w:val="000000"/>
          <w:sz w:val="20"/>
          <w:szCs w:val="20"/>
          <w:shd w:val="clear" w:color="auto" w:fill="FFFFFF"/>
        </w:rPr>
        <w:fldChar w:fldCharType="begin"/>
      </w:r>
      <w:r w:rsidRPr="00B713AD">
        <w:rPr>
          <w:rFonts w:ascii="Arial" w:hAnsi="Arial" w:cs="Arial"/>
          <w:b/>
          <w:bCs/>
          <w:color w:val="000000"/>
          <w:sz w:val="20"/>
          <w:szCs w:val="20"/>
          <w:shd w:val="clear" w:color="auto" w:fill="FFFFFF"/>
        </w:rPr>
        <w:instrText xml:space="preserve"> ADDIN EN.REFLIST </w:instrText>
      </w:r>
      <w:r w:rsidRPr="00B713AD">
        <w:rPr>
          <w:rFonts w:ascii="Arial" w:hAnsi="Arial" w:cs="Arial"/>
          <w:b/>
          <w:bCs/>
          <w:color w:val="000000"/>
          <w:sz w:val="20"/>
          <w:szCs w:val="20"/>
          <w:shd w:val="clear" w:color="auto" w:fill="FFFFFF"/>
        </w:rPr>
        <w:fldChar w:fldCharType="separate"/>
      </w:r>
      <w:r w:rsidRPr="00B713AD">
        <w:rPr>
          <w:rFonts w:ascii="Arial" w:hAnsi="Arial" w:cs="Arial"/>
          <w:sz w:val="20"/>
          <w:szCs w:val="20"/>
        </w:rPr>
        <w:t>Boyer F, Mercier C, Bonin A, Le Bras Y, Taberlet P, Coissac E (2016) obitools: a unix-inspired software package for DNA metabarcoding. Molecular Ecology Resources 16: 176-182</w:t>
      </w:r>
    </w:p>
    <w:p w14:paraId="4CF3974A" w14:textId="6D0A0AB5" w:rsidR="00B713AD" w:rsidRPr="00B713AD" w:rsidRDefault="00B713AD" w:rsidP="00B713AD">
      <w:pPr>
        <w:pStyle w:val="EndNoteBibliography"/>
        <w:spacing w:after="120" w:line="360" w:lineRule="auto"/>
        <w:jc w:val="both"/>
        <w:rPr>
          <w:rFonts w:ascii="Arial" w:hAnsi="Arial" w:cs="Arial"/>
          <w:sz w:val="20"/>
          <w:szCs w:val="20"/>
        </w:rPr>
      </w:pPr>
      <w:r w:rsidRPr="00B713AD">
        <w:rPr>
          <w:rFonts w:ascii="Arial" w:hAnsi="Arial" w:cs="Arial"/>
          <w:sz w:val="20"/>
          <w:szCs w:val="20"/>
        </w:rPr>
        <w:t>Harper LR, Neave EF, Sellers GS, Cunnington AV, Arias MB, Craggs J, MacDonald B, Riesgo A, Mariani S (2023) Optimized DNA isolation from marine sponges for natural sampler DNA metabarcoding. Environmental DNA 5: 438-461</w:t>
      </w:r>
    </w:p>
    <w:p w14:paraId="21CC0830" w14:textId="67C85B2A" w:rsidR="00B713AD" w:rsidRPr="00B713AD" w:rsidRDefault="00B713AD" w:rsidP="00B713AD">
      <w:pPr>
        <w:pStyle w:val="EndNoteBibliography"/>
        <w:spacing w:after="120" w:line="360" w:lineRule="auto"/>
        <w:jc w:val="both"/>
        <w:rPr>
          <w:rFonts w:ascii="Arial" w:hAnsi="Arial" w:cs="Arial"/>
          <w:sz w:val="20"/>
          <w:szCs w:val="20"/>
        </w:rPr>
      </w:pPr>
      <w:r w:rsidRPr="00B713AD">
        <w:rPr>
          <w:rFonts w:ascii="Arial" w:hAnsi="Arial" w:cs="Arial"/>
          <w:sz w:val="20"/>
          <w:szCs w:val="20"/>
        </w:rPr>
        <w:t>Mahé F, Rognes T, Quince C, de Vargas C, Dunthorn M (2015) Swarm v2: highly-scalable and high-resolution amplicon clustering. PeerJ 3: e1420</w:t>
      </w:r>
    </w:p>
    <w:p w14:paraId="7AC55FE1" w14:textId="77777777" w:rsidR="00B713AD" w:rsidRPr="00B713AD" w:rsidRDefault="00B713AD" w:rsidP="00B713AD">
      <w:pPr>
        <w:pStyle w:val="EndNoteBibliography"/>
        <w:spacing w:after="120" w:line="360" w:lineRule="auto"/>
        <w:jc w:val="both"/>
        <w:rPr>
          <w:rFonts w:ascii="Arial" w:hAnsi="Arial" w:cs="Arial"/>
          <w:sz w:val="20"/>
          <w:szCs w:val="20"/>
        </w:rPr>
      </w:pPr>
      <w:r w:rsidRPr="00B713AD">
        <w:rPr>
          <w:rFonts w:ascii="Arial" w:hAnsi="Arial" w:cs="Arial"/>
          <w:sz w:val="20"/>
          <w:szCs w:val="20"/>
        </w:rPr>
        <w:t>Oksanen J, Blanchet FG, Friendly M, Kindt R, Legendre P, McGlinn D, Minchin P, O’Hara RB, Simpson G, Solymos P, Stevens MHH, Szöcs E, Wagner H (2019) vegan community ecology package version 2.5-6</w:t>
      </w:r>
    </w:p>
    <w:p w14:paraId="65A7D5BB" w14:textId="15718FB7" w:rsidR="00B713AD" w:rsidRPr="00B713AD" w:rsidRDefault="00B713AD" w:rsidP="00B713AD">
      <w:pPr>
        <w:pStyle w:val="EndNoteBibliography"/>
        <w:spacing w:after="120" w:line="360" w:lineRule="auto"/>
        <w:jc w:val="both"/>
        <w:rPr>
          <w:rFonts w:ascii="Arial" w:hAnsi="Arial" w:cs="Arial"/>
          <w:sz w:val="20"/>
          <w:szCs w:val="20"/>
        </w:rPr>
      </w:pPr>
      <w:r w:rsidRPr="00B713AD">
        <w:rPr>
          <w:rFonts w:ascii="Arial" w:hAnsi="Arial" w:cs="Arial"/>
          <w:sz w:val="20"/>
          <w:szCs w:val="20"/>
        </w:rPr>
        <w:t>Rognes T, Flouri T, Nichols B, Quince C, Mahé F (2016) VSEARCH: a versatile open source tool for metagenomics. PeerJ 4: e2584</w:t>
      </w:r>
    </w:p>
    <w:p w14:paraId="46569491" w14:textId="40A30B3D" w:rsidR="00B713AD" w:rsidRPr="00B713AD" w:rsidRDefault="00B713AD" w:rsidP="00B713AD">
      <w:pPr>
        <w:pStyle w:val="EndNoteBibliography"/>
        <w:spacing w:after="120" w:line="360" w:lineRule="auto"/>
        <w:jc w:val="both"/>
        <w:rPr>
          <w:rFonts w:ascii="Arial" w:hAnsi="Arial" w:cs="Arial"/>
          <w:sz w:val="20"/>
          <w:szCs w:val="20"/>
        </w:rPr>
      </w:pPr>
      <w:r w:rsidRPr="00B713AD">
        <w:rPr>
          <w:rFonts w:ascii="Arial" w:hAnsi="Arial" w:cs="Arial"/>
          <w:sz w:val="20"/>
          <w:szCs w:val="20"/>
        </w:rPr>
        <w:t xml:space="preserve">Sellers GS, Di Muri C, Gómez A, Hänfling B (2018) Mu-DNA: a modular universal DNA extraction method adaptable for a wide range of sample types. Metabarcoding and Metagenomics 2: e24556 </w:t>
      </w:r>
    </w:p>
    <w:p w14:paraId="73DA1FEF" w14:textId="77777777" w:rsidR="00B713AD" w:rsidRPr="00B713AD" w:rsidRDefault="00B713AD" w:rsidP="00B713AD">
      <w:pPr>
        <w:pStyle w:val="EndNoteBibliography"/>
        <w:spacing w:after="120" w:line="360" w:lineRule="auto"/>
        <w:jc w:val="both"/>
        <w:rPr>
          <w:rFonts w:ascii="Arial" w:hAnsi="Arial" w:cs="Arial"/>
          <w:sz w:val="20"/>
          <w:szCs w:val="20"/>
        </w:rPr>
      </w:pPr>
      <w:r w:rsidRPr="00B713AD">
        <w:rPr>
          <w:rFonts w:ascii="Arial" w:hAnsi="Arial" w:cs="Arial"/>
          <w:sz w:val="20"/>
          <w:szCs w:val="20"/>
        </w:rPr>
        <w:t>Taberlet P, Bonin A, Zinger L, Coissac E (2018) Environmental DNA: For Biodiversity Research and Monitoring. Oxford University Press</w:t>
      </w:r>
    </w:p>
    <w:p w14:paraId="5BEF371D" w14:textId="77777777" w:rsidR="00B713AD" w:rsidRPr="00B713AD" w:rsidRDefault="00B713AD" w:rsidP="00B713AD">
      <w:pPr>
        <w:pStyle w:val="EndNoteBibliography"/>
        <w:spacing w:after="120" w:line="360" w:lineRule="auto"/>
        <w:jc w:val="both"/>
        <w:rPr>
          <w:rFonts w:ascii="Arial" w:hAnsi="Arial" w:cs="Arial"/>
          <w:sz w:val="20"/>
          <w:szCs w:val="20"/>
        </w:rPr>
      </w:pPr>
      <w:r w:rsidRPr="00B713AD">
        <w:rPr>
          <w:rFonts w:ascii="Arial" w:hAnsi="Arial" w:cs="Arial"/>
          <w:sz w:val="20"/>
          <w:szCs w:val="20"/>
        </w:rPr>
        <w:t>Wickham H (2016) ggplot2: Elegant Graphics for Data Analysis. Springer-Verlag, New York</w:t>
      </w:r>
    </w:p>
    <w:p w14:paraId="23067E44" w14:textId="12081A8C" w:rsidR="008C257B" w:rsidRPr="00B12DAE" w:rsidRDefault="00B713AD" w:rsidP="00B713AD">
      <w:pPr>
        <w:spacing w:after="120" w:line="360" w:lineRule="auto"/>
        <w:jc w:val="both"/>
        <w:rPr>
          <w:rFonts w:ascii="Arial" w:hAnsi="Arial" w:cs="Arial"/>
          <w:b/>
          <w:bCs/>
          <w:color w:val="000000"/>
          <w:sz w:val="20"/>
          <w:szCs w:val="20"/>
          <w:shd w:val="clear" w:color="auto" w:fill="FFFFFF"/>
        </w:rPr>
      </w:pPr>
      <w:r w:rsidRPr="00B713AD">
        <w:rPr>
          <w:rFonts w:ascii="Arial" w:hAnsi="Arial" w:cs="Arial"/>
          <w:b/>
          <w:bCs/>
          <w:color w:val="000000"/>
          <w:sz w:val="20"/>
          <w:szCs w:val="20"/>
          <w:shd w:val="clear" w:color="auto" w:fill="FFFFFF"/>
        </w:rPr>
        <w:fldChar w:fldCharType="end"/>
      </w:r>
    </w:p>
    <w:sectPr w:rsidR="008C257B" w:rsidRPr="00B12DA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ADEC4" w14:textId="77777777" w:rsidR="00DA466E" w:rsidRDefault="00DA466E" w:rsidP="008E324C">
      <w:pPr>
        <w:spacing w:after="0" w:line="240" w:lineRule="auto"/>
      </w:pPr>
      <w:r>
        <w:separator/>
      </w:r>
    </w:p>
  </w:endnote>
  <w:endnote w:type="continuationSeparator" w:id="0">
    <w:p w14:paraId="2536A0F3" w14:textId="77777777" w:rsidR="00DA466E" w:rsidRDefault="00DA466E" w:rsidP="008E3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895432"/>
      <w:docPartObj>
        <w:docPartGallery w:val="Page Numbers (Bottom of Page)"/>
        <w:docPartUnique/>
      </w:docPartObj>
    </w:sdtPr>
    <w:sdtEndPr>
      <w:rPr>
        <w:noProof/>
      </w:rPr>
    </w:sdtEndPr>
    <w:sdtContent>
      <w:p w14:paraId="7695CD31" w14:textId="27F81CBE" w:rsidR="008E324C" w:rsidRDefault="008E32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476CF5" w14:textId="77777777" w:rsidR="008E324C" w:rsidRDefault="008E324C">
    <w:pPr>
      <w:pStyle w:val="Footer"/>
    </w:pPr>
  </w:p>
  <w:p w14:paraId="55650BB0" w14:textId="77777777" w:rsidR="008605A6" w:rsidRDefault="008605A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13A7E" w14:textId="77777777" w:rsidR="00DA466E" w:rsidRDefault="00DA466E" w:rsidP="008E324C">
      <w:pPr>
        <w:spacing w:after="0" w:line="240" w:lineRule="auto"/>
      </w:pPr>
      <w:r>
        <w:separator/>
      </w:r>
    </w:p>
  </w:footnote>
  <w:footnote w:type="continuationSeparator" w:id="0">
    <w:p w14:paraId="735A6D2E" w14:textId="77777777" w:rsidR="00DA466E" w:rsidRDefault="00DA466E" w:rsidP="008E32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830"/>
    <w:multiLevelType w:val="hybridMultilevel"/>
    <w:tmpl w:val="223222E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0D1C62"/>
    <w:multiLevelType w:val="hybridMultilevel"/>
    <w:tmpl w:val="00E6F46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BE4CE3"/>
    <w:multiLevelType w:val="hybridMultilevel"/>
    <w:tmpl w:val="60D41322"/>
    <w:lvl w:ilvl="0" w:tplc="27566906">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C3345A"/>
    <w:multiLevelType w:val="hybridMultilevel"/>
    <w:tmpl w:val="59A47E72"/>
    <w:lvl w:ilvl="0" w:tplc="772C6364">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BB6C61"/>
    <w:multiLevelType w:val="hybridMultilevel"/>
    <w:tmpl w:val="46DA90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1737832">
    <w:abstractNumId w:val="4"/>
  </w:num>
  <w:num w:numId="2" w16cid:durableId="657000848">
    <w:abstractNumId w:val="2"/>
  </w:num>
  <w:num w:numId="3" w16cid:durableId="1406613280">
    <w:abstractNumId w:val="0"/>
  </w:num>
  <w:num w:numId="4" w16cid:durableId="1324892852">
    <w:abstractNumId w:val="3"/>
  </w:num>
  <w:num w:numId="5" w16cid:durableId="2045212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Marine Biolog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5sxvefgt9xslevs2mxzp97a5r5xpexertx&quot;&gt;Biblio Central-Converted&lt;record-ids&gt;&lt;item&gt;3948&lt;/item&gt;&lt;item&gt;3949&lt;/item&gt;&lt;item&gt;3950&lt;/item&gt;&lt;item&gt;3951&lt;/item&gt;&lt;item&gt;3952&lt;/item&gt;&lt;item&gt;3953&lt;/item&gt;&lt;item&gt;3954&lt;/item&gt;&lt;item&gt;4003&lt;/item&gt;&lt;/record-ids&gt;&lt;/item&gt;&lt;/Libraries&gt;"/>
  </w:docVars>
  <w:rsids>
    <w:rsidRoot w:val="00B17A51"/>
    <w:rsid w:val="00075EAF"/>
    <w:rsid w:val="000A569F"/>
    <w:rsid w:val="000D33A6"/>
    <w:rsid w:val="0016328C"/>
    <w:rsid w:val="00177E00"/>
    <w:rsid w:val="001819D7"/>
    <w:rsid w:val="001F03B8"/>
    <w:rsid w:val="0020175D"/>
    <w:rsid w:val="002821A2"/>
    <w:rsid w:val="002E52BE"/>
    <w:rsid w:val="00373150"/>
    <w:rsid w:val="003A1AF5"/>
    <w:rsid w:val="003F7078"/>
    <w:rsid w:val="00446B09"/>
    <w:rsid w:val="004867D4"/>
    <w:rsid w:val="005009A5"/>
    <w:rsid w:val="0050560E"/>
    <w:rsid w:val="005A54CD"/>
    <w:rsid w:val="00665A17"/>
    <w:rsid w:val="006A2AA6"/>
    <w:rsid w:val="007673CE"/>
    <w:rsid w:val="00775787"/>
    <w:rsid w:val="00793C56"/>
    <w:rsid w:val="007D1007"/>
    <w:rsid w:val="00834D3A"/>
    <w:rsid w:val="00857DDA"/>
    <w:rsid w:val="008605A6"/>
    <w:rsid w:val="00893ADE"/>
    <w:rsid w:val="008970B2"/>
    <w:rsid w:val="008C257B"/>
    <w:rsid w:val="008C346B"/>
    <w:rsid w:val="008D7992"/>
    <w:rsid w:val="008E324C"/>
    <w:rsid w:val="00933BFA"/>
    <w:rsid w:val="00975CA6"/>
    <w:rsid w:val="00A17B5D"/>
    <w:rsid w:val="00AA16B3"/>
    <w:rsid w:val="00AB3578"/>
    <w:rsid w:val="00AC2B62"/>
    <w:rsid w:val="00AD3BA3"/>
    <w:rsid w:val="00AF3B58"/>
    <w:rsid w:val="00B12DAE"/>
    <w:rsid w:val="00B13DAD"/>
    <w:rsid w:val="00B17A51"/>
    <w:rsid w:val="00B5670D"/>
    <w:rsid w:val="00B6232B"/>
    <w:rsid w:val="00B713AD"/>
    <w:rsid w:val="00C433EF"/>
    <w:rsid w:val="00C7324B"/>
    <w:rsid w:val="00CA34DF"/>
    <w:rsid w:val="00D16212"/>
    <w:rsid w:val="00D47228"/>
    <w:rsid w:val="00D5333D"/>
    <w:rsid w:val="00D60D23"/>
    <w:rsid w:val="00D62861"/>
    <w:rsid w:val="00D66C39"/>
    <w:rsid w:val="00D96BBF"/>
    <w:rsid w:val="00DA466E"/>
    <w:rsid w:val="00DD2395"/>
    <w:rsid w:val="00E12B0F"/>
    <w:rsid w:val="00E22285"/>
    <w:rsid w:val="00E2590D"/>
    <w:rsid w:val="00E27E4A"/>
    <w:rsid w:val="00E31983"/>
    <w:rsid w:val="00E35F3E"/>
    <w:rsid w:val="00E42643"/>
    <w:rsid w:val="00ED71E4"/>
    <w:rsid w:val="00F11258"/>
    <w:rsid w:val="00F2316D"/>
    <w:rsid w:val="00F663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402C8"/>
  <w15:chartTrackingRefBased/>
  <w15:docId w15:val="{3DE1DB68-54F5-4B62-B68A-24CBA6A59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A51"/>
    <w:pPr>
      <w:spacing w:line="259" w:lineRule="auto"/>
    </w:pPr>
    <w:rPr>
      <w:kern w:val="0"/>
      <w:sz w:val="22"/>
      <w:szCs w:val="22"/>
      <w14:ligatures w14:val="none"/>
    </w:rPr>
  </w:style>
  <w:style w:type="paragraph" w:styleId="Heading1">
    <w:name w:val="heading 1"/>
    <w:basedOn w:val="Normal"/>
    <w:next w:val="Normal"/>
    <w:link w:val="Heading1Char"/>
    <w:uiPriority w:val="9"/>
    <w:qFormat/>
    <w:rsid w:val="00B17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7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7A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A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7A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7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A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7A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7A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A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7A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7A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A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A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A51"/>
    <w:rPr>
      <w:rFonts w:eastAsiaTheme="majorEastAsia" w:cstheme="majorBidi"/>
      <w:color w:val="272727" w:themeColor="text1" w:themeTint="D8"/>
    </w:rPr>
  </w:style>
  <w:style w:type="paragraph" w:styleId="Title">
    <w:name w:val="Title"/>
    <w:basedOn w:val="Normal"/>
    <w:next w:val="Normal"/>
    <w:link w:val="TitleChar"/>
    <w:uiPriority w:val="10"/>
    <w:qFormat/>
    <w:rsid w:val="00B17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A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A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A51"/>
    <w:pPr>
      <w:spacing w:before="160"/>
      <w:jc w:val="center"/>
    </w:pPr>
    <w:rPr>
      <w:i/>
      <w:iCs/>
      <w:color w:val="404040" w:themeColor="text1" w:themeTint="BF"/>
    </w:rPr>
  </w:style>
  <w:style w:type="character" w:customStyle="1" w:styleId="QuoteChar">
    <w:name w:val="Quote Char"/>
    <w:basedOn w:val="DefaultParagraphFont"/>
    <w:link w:val="Quote"/>
    <w:uiPriority w:val="29"/>
    <w:rsid w:val="00B17A51"/>
    <w:rPr>
      <w:i/>
      <w:iCs/>
      <w:color w:val="404040" w:themeColor="text1" w:themeTint="BF"/>
    </w:rPr>
  </w:style>
  <w:style w:type="paragraph" w:styleId="ListParagraph">
    <w:name w:val="List Paragraph"/>
    <w:basedOn w:val="Normal"/>
    <w:uiPriority w:val="34"/>
    <w:qFormat/>
    <w:rsid w:val="00B17A51"/>
    <w:pPr>
      <w:ind w:left="720"/>
      <w:contextualSpacing/>
    </w:pPr>
  </w:style>
  <w:style w:type="character" w:styleId="IntenseEmphasis">
    <w:name w:val="Intense Emphasis"/>
    <w:basedOn w:val="DefaultParagraphFont"/>
    <w:uiPriority w:val="21"/>
    <w:qFormat/>
    <w:rsid w:val="00B17A51"/>
    <w:rPr>
      <w:i/>
      <w:iCs/>
      <w:color w:val="0F4761" w:themeColor="accent1" w:themeShade="BF"/>
    </w:rPr>
  </w:style>
  <w:style w:type="paragraph" w:styleId="IntenseQuote">
    <w:name w:val="Intense Quote"/>
    <w:basedOn w:val="Normal"/>
    <w:next w:val="Normal"/>
    <w:link w:val="IntenseQuoteChar"/>
    <w:uiPriority w:val="30"/>
    <w:qFormat/>
    <w:rsid w:val="00B17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7A51"/>
    <w:rPr>
      <w:i/>
      <w:iCs/>
      <w:color w:val="0F4761" w:themeColor="accent1" w:themeShade="BF"/>
    </w:rPr>
  </w:style>
  <w:style w:type="character" w:styleId="IntenseReference">
    <w:name w:val="Intense Reference"/>
    <w:basedOn w:val="DefaultParagraphFont"/>
    <w:uiPriority w:val="32"/>
    <w:qFormat/>
    <w:rsid w:val="00B17A51"/>
    <w:rPr>
      <w:b/>
      <w:bCs/>
      <w:smallCaps/>
      <w:color w:val="0F4761" w:themeColor="accent1" w:themeShade="BF"/>
      <w:spacing w:val="5"/>
    </w:rPr>
  </w:style>
  <w:style w:type="character" w:styleId="CommentReference">
    <w:name w:val="annotation reference"/>
    <w:basedOn w:val="DefaultParagraphFont"/>
    <w:uiPriority w:val="99"/>
    <w:semiHidden/>
    <w:unhideWhenUsed/>
    <w:rsid w:val="00B17A51"/>
    <w:rPr>
      <w:sz w:val="16"/>
      <w:szCs w:val="16"/>
    </w:rPr>
  </w:style>
  <w:style w:type="paragraph" w:styleId="CommentText">
    <w:name w:val="annotation text"/>
    <w:basedOn w:val="Normal"/>
    <w:link w:val="CommentTextChar"/>
    <w:uiPriority w:val="99"/>
    <w:unhideWhenUsed/>
    <w:rsid w:val="00B17A51"/>
    <w:pPr>
      <w:spacing w:line="240" w:lineRule="auto"/>
    </w:pPr>
    <w:rPr>
      <w:sz w:val="20"/>
      <w:szCs w:val="20"/>
    </w:rPr>
  </w:style>
  <w:style w:type="character" w:customStyle="1" w:styleId="CommentTextChar">
    <w:name w:val="Comment Text Char"/>
    <w:basedOn w:val="DefaultParagraphFont"/>
    <w:link w:val="CommentText"/>
    <w:uiPriority w:val="99"/>
    <w:rsid w:val="00B17A51"/>
    <w:rPr>
      <w:kern w:val="0"/>
      <w:sz w:val="20"/>
      <w:szCs w:val="20"/>
      <w14:ligatures w14:val="none"/>
    </w:rPr>
  </w:style>
  <w:style w:type="paragraph" w:styleId="NormalWeb">
    <w:name w:val="Normal (Web)"/>
    <w:basedOn w:val="Normal"/>
    <w:uiPriority w:val="99"/>
    <w:semiHidden/>
    <w:unhideWhenUsed/>
    <w:rsid w:val="008E324C"/>
    <w:rPr>
      <w:rFonts w:ascii="Times New Roman" w:hAnsi="Times New Roman" w:cs="Times New Roman"/>
      <w:sz w:val="24"/>
      <w:szCs w:val="24"/>
    </w:rPr>
  </w:style>
  <w:style w:type="paragraph" w:styleId="Header">
    <w:name w:val="header"/>
    <w:basedOn w:val="Normal"/>
    <w:link w:val="HeaderChar"/>
    <w:uiPriority w:val="99"/>
    <w:unhideWhenUsed/>
    <w:rsid w:val="008E32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24C"/>
    <w:rPr>
      <w:kern w:val="0"/>
      <w:sz w:val="22"/>
      <w:szCs w:val="22"/>
      <w14:ligatures w14:val="none"/>
    </w:rPr>
  </w:style>
  <w:style w:type="paragraph" w:styleId="Footer">
    <w:name w:val="footer"/>
    <w:basedOn w:val="Normal"/>
    <w:link w:val="FooterChar"/>
    <w:uiPriority w:val="99"/>
    <w:unhideWhenUsed/>
    <w:rsid w:val="008E32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24C"/>
    <w:rPr>
      <w:kern w:val="0"/>
      <w:sz w:val="22"/>
      <w:szCs w:val="22"/>
      <w14:ligatures w14:val="none"/>
    </w:rPr>
  </w:style>
  <w:style w:type="character" w:styleId="Hyperlink">
    <w:name w:val="Hyperlink"/>
    <w:basedOn w:val="DefaultParagraphFont"/>
    <w:uiPriority w:val="99"/>
    <w:unhideWhenUsed/>
    <w:rsid w:val="00AA16B3"/>
    <w:rPr>
      <w:color w:val="467886" w:themeColor="hyperlink"/>
      <w:u w:val="single"/>
    </w:rPr>
  </w:style>
  <w:style w:type="character" w:styleId="UnresolvedMention">
    <w:name w:val="Unresolved Mention"/>
    <w:basedOn w:val="DefaultParagraphFont"/>
    <w:uiPriority w:val="99"/>
    <w:semiHidden/>
    <w:unhideWhenUsed/>
    <w:rsid w:val="00AA16B3"/>
    <w:rPr>
      <w:color w:val="605E5C"/>
      <w:shd w:val="clear" w:color="auto" w:fill="E1DFDD"/>
    </w:rPr>
  </w:style>
  <w:style w:type="table" w:styleId="TableGrid">
    <w:name w:val="Table Grid"/>
    <w:basedOn w:val="TableNormal"/>
    <w:uiPriority w:val="39"/>
    <w:rsid w:val="007D1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C257B"/>
    <w:rPr>
      <w:b/>
      <w:bCs/>
    </w:rPr>
  </w:style>
  <w:style w:type="character" w:customStyle="1" w:styleId="CommentSubjectChar">
    <w:name w:val="Comment Subject Char"/>
    <w:basedOn w:val="CommentTextChar"/>
    <w:link w:val="CommentSubject"/>
    <w:uiPriority w:val="99"/>
    <w:semiHidden/>
    <w:rsid w:val="008C257B"/>
    <w:rPr>
      <w:b/>
      <w:bCs/>
      <w:kern w:val="0"/>
      <w:sz w:val="20"/>
      <w:szCs w:val="20"/>
      <w14:ligatures w14:val="none"/>
    </w:rPr>
  </w:style>
  <w:style w:type="paragraph" w:styleId="Revision">
    <w:name w:val="Revision"/>
    <w:hidden/>
    <w:uiPriority w:val="99"/>
    <w:semiHidden/>
    <w:rsid w:val="003A1AF5"/>
    <w:pPr>
      <w:spacing w:after="0" w:line="240" w:lineRule="auto"/>
    </w:pPr>
    <w:rPr>
      <w:kern w:val="0"/>
      <w:sz w:val="22"/>
      <w:szCs w:val="22"/>
      <w14:ligatures w14:val="none"/>
    </w:rPr>
  </w:style>
  <w:style w:type="paragraph" w:customStyle="1" w:styleId="EndNoteBibliographyTitle">
    <w:name w:val="EndNote Bibliography Title"/>
    <w:basedOn w:val="Normal"/>
    <w:link w:val="EndNoteBibliographyTitleChar"/>
    <w:rsid w:val="00B713AD"/>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B713AD"/>
    <w:rPr>
      <w:rFonts w:ascii="Aptos" w:hAnsi="Aptos"/>
      <w:noProof/>
      <w:kern w:val="0"/>
      <w:sz w:val="22"/>
      <w:szCs w:val="22"/>
      <w:lang w:val="en-US"/>
      <w14:ligatures w14:val="none"/>
    </w:rPr>
  </w:style>
  <w:style w:type="paragraph" w:customStyle="1" w:styleId="EndNoteBibliography">
    <w:name w:val="EndNote Bibliography"/>
    <w:basedOn w:val="Normal"/>
    <w:link w:val="EndNoteBibliographyChar"/>
    <w:rsid w:val="00B713AD"/>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B713AD"/>
    <w:rPr>
      <w:rFonts w:ascii="Aptos" w:hAnsi="Aptos"/>
      <w:noProof/>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3020">
      <w:bodyDiv w:val="1"/>
      <w:marLeft w:val="0"/>
      <w:marRight w:val="0"/>
      <w:marTop w:val="0"/>
      <w:marBottom w:val="0"/>
      <w:divBdr>
        <w:top w:val="none" w:sz="0" w:space="0" w:color="auto"/>
        <w:left w:val="none" w:sz="0" w:space="0" w:color="auto"/>
        <w:bottom w:val="none" w:sz="0" w:space="0" w:color="auto"/>
        <w:right w:val="none" w:sz="0" w:space="0" w:color="auto"/>
      </w:divBdr>
    </w:div>
    <w:div w:id="76874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2712</Words>
  <Characters>15465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Wilding</dc:creator>
  <cp:keywords/>
  <dc:description/>
  <cp:lastModifiedBy>Craig Wilding</cp:lastModifiedBy>
  <cp:revision>3</cp:revision>
  <dcterms:created xsi:type="dcterms:W3CDTF">2025-09-02T10:41:00Z</dcterms:created>
  <dcterms:modified xsi:type="dcterms:W3CDTF">2025-09-19T13:46:00Z</dcterms:modified>
</cp:coreProperties>
</file>