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476E76" w14:textId="77777777" w:rsidR="00AC28FB" w:rsidRDefault="00AC28FB" w:rsidP="00AC28FB">
      <w:pPr>
        <w:spacing w:line="480" w:lineRule="auto"/>
        <w:ind w:right="162"/>
        <w:rPr>
          <w:rFonts w:ascii="Tahoma" w:hAnsi="Tahoma" w:cs="Tahoma"/>
          <w:b/>
          <w:sz w:val="22"/>
          <w:szCs w:val="22"/>
        </w:rPr>
      </w:pPr>
      <w:r>
        <w:rPr>
          <w:rFonts w:ascii="Tahoma" w:hAnsi="Tahoma" w:cs="Tahoma"/>
          <w:b/>
          <w:sz w:val="22"/>
          <w:szCs w:val="22"/>
        </w:rPr>
        <w:t>European Journal of Clinical Pharmacology</w:t>
      </w:r>
    </w:p>
    <w:p w14:paraId="586560F5" w14:textId="77777777" w:rsidR="00AC28FB" w:rsidRDefault="00AC28FB" w:rsidP="00AC28FB">
      <w:pPr>
        <w:spacing w:line="480" w:lineRule="auto"/>
        <w:ind w:right="162"/>
        <w:rPr>
          <w:rFonts w:ascii="Tahoma" w:hAnsi="Tahoma" w:cs="Tahoma"/>
          <w:b/>
          <w:sz w:val="22"/>
          <w:szCs w:val="22"/>
        </w:rPr>
      </w:pPr>
    </w:p>
    <w:p w14:paraId="44458AC5" w14:textId="77777777" w:rsidR="00AC28FB" w:rsidRPr="00900681" w:rsidRDefault="00AC28FB" w:rsidP="00AC28FB">
      <w:pPr>
        <w:spacing w:line="480" w:lineRule="auto"/>
        <w:ind w:right="162"/>
        <w:rPr>
          <w:b/>
          <w:sz w:val="22"/>
          <w:szCs w:val="22"/>
        </w:rPr>
      </w:pPr>
      <w:r w:rsidRPr="00900681">
        <w:rPr>
          <w:rFonts w:ascii="Tahoma" w:hAnsi="Tahoma" w:cs="Tahoma"/>
          <w:b/>
          <w:sz w:val="22"/>
          <w:szCs w:val="22"/>
        </w:rPr>
        <w:t>The Pharmacokinetic</w:t>
      </w:r>
      <w:r>
        <w:rPr>
          <w:rFonts w:ascii="Tahoma" w:hAnsi="Tahoma" w:cs="Tahoma"/>
          <w:b/>
          <w:sz w:val="22"/>
          <w:szCs w:val="22"/>
        </w:rPr>
        <w:t>s</w:t>
      </w:r>
      <w:r w:rsidRPr="00900681">
        <w:rPr>
          <w:rFonts w:ascii="Tahoma" w:hAnsi="Tahoma" w:cs="Tahoma"/>
          <w:b/>
          <w:sz w:val="22"/>
          <w:szCs w:val="22"/>
        </w:rPr>
        <w:t xml:space="preserve"> and Pharmacodynamics of </w:t>
      </w:r>
      <w:proofErr w:type="spellStart"/>
      <w:r w:rsidRPr="00900681">
        <w:rPr>
          <w:rFonts w:ascii="Tahoma" w:hAnsi="Tahoma" w:cs="Tahoma"/>
          <w:b/>
          <w:sz w:val="22"/>
          <w:szCs w:val="22"/>
        </w:rPr>
        <w:t>Alogliptin</w:t>
      </w:r>
      <w:proofErr w:type="spellEnd"/>
      <w:r w:rsidRPr="00900681">
        <w:rPr>
          <w:rFonts w:ascii="Tahoma" w:hAnsi="Tahoma" w:cs="Tahoma"/>
          <w:b/>
          <w:sz w:val="22"/>
          <w:szCs w:val="22"/>
        </w:rPr>
        <w:t xml:space="preserve"> in Children, Adolescents, and Adults with Type 2 Diabetes Mellitus</w:t>
      </w:r>
    </w:p>
    <w:p w14:paraId="3AE97365" w14:textId="77777777" w:rsidR="00AC28FB" w:rsidRDefault="00AC28FB" w:rsidP="00AC28FB">
      <w:pPr>
        <w:spacing w:after="200" w:line="276" w:lineRule="auto"/>
        <w:rPr>
          <w:rFonts w:ascii="Tahoma" w:hAnsi="Tahoma" w:cs="Tahoma"/>
          <w:sz w:val="22"/>
          <w:szCs w:val="22"/>
        </w:rPr>
      </w:pPr>
    </w:p>
    <w:p w14:paraId="28FCBCA4" w14:textId="77777777" w:rsidR="00AC28FB" w:rsidRDefault="00AC28FB" w:rsidP="00AC28FB">
      <w:pPr>
        <w:spacing w:line="276" w:lineRule="auto"/>
        <w:ind w:right="162"/>
        <w:outlineLvl w:val="0"/>
        <w:rPr>
          <w:rFonts w:ascii="Tahoma" w:hAnsi="Tahoma" w:cs="Tahoma"/>
        </w:rPr>
      </w:pPr>
      <w:r w:rsidRPr="00CB6F81">
        <w:rPr>
          <w:rFonts w:ascii="Tahoma" w:hAnsi="Tahoma" w:cs="Tahoma"/>
          <w:sz w:val="22"/>
          <w:szCs w:val="22"/>
        </w:rPr>
        <w:t xml:space="preserve">Caroline Dudkowski, Max Tsai, </w:t>
      </w:r>
      <w:r>
        <w:rPr>
          <w:rFonts w:ascii="Tahoma" w:hAnsi="Tahoma" w:cs="Tahoma"/>
          <w:sz w:val="22"/>
          <w:szCs w:val="22"/>
        </w:rPr>
        <w:t>Jie</w:t>
      </w:r>
      <w:r w:rsidRPr="00CB6F81">
        <w:rPr>
          <w:rFonts w:ascii="Tahoma" w:hAnsi="Tahoma" w:cs="Tahoma"/>
          <w:sz w:val="22"/>
          <w:szCs w:val="22"/>
        </w:rPr>
        <w:t xml:space="preserve"> Liu, Zhen Zhao, </w:t>
      </w:r>
      <w:r>
        <w:rPr>
          <w:rFonts w:ascii="Tahoma" w:hAnsi="Tahoma" w:cs="Tahoma"/>
          <w:sz w:val="22"/>
          <w:szCs w:val="22"/>
        </w:rPr>
        <w:t xml:space="preserve">Eric Schmidt, </w:t>
      </w:r>
      <w:r w:rsidRPr="00CB6F81">
        <w:rPr>
          <w:rFonts w:ascii="Tahoma" w:hAnsi="Tahoma" w:cs="Tahoma"/>
          <w:sz w:val="22"/>
          <w:szCs w:val="22"/>
        </w:rPr>
        <w:t xml:space="preserve">Jeannie Xie </w:t>
      </w:r>
    </w:p>
    <w:p w14:paraId="02DD95FB" w14:textId="77777777" w:rsidR="00AC28FB" w:rsidRPr="00F059C0" w:rsidRDefault="00AC28FB" w:rsidP="00AC28FB">
      <w:pPr>
        <w:spacing w:after="200" w:line="276" w:lineRule="auto"/>
        <w:rPr>
          <w:rFonts w:ascii="Tahoma" w:hAnsi="Tahoma" w:cs="Tahoma"/>
          <w:strike/>
          <w:sz w:val="22"/>
          <w:szCs w:val="22"/>
        </w:rPr>
      </w:pPr>
    </w:p>
    <w:p w14:paraId="09CF6CB8" w14:textId="77777777" w:rsidR="00AC28FB" w:rsidRDefault="00AC28FB" w:rsidP="00AC28FB">
      <w:pPr>
        <w:spacing w:after="200" w:line="276" w:lineRule="auto"/>
        <w:rPr>
          <w:rFonts w:ascii="Tahoma" w:hAnsi="Tahoma" w:cs="Tahoma"/>
          <w:sz w:val="22"/>
          <w:szCs w:val="22"/>
        </w:rPr>
      </w:pPr>
      <w:r w:rsidRPr="00371F6A">
        <w:rPr>
          <w:rFonts w:ascii="Tahoma" w:hAnsi="Tahoma" w:cs="Tahoma"/>
          <w:sz w:val="22"/>
          <w:szCs w:val="22"/>
        </w:rPr>
        <w:t>Takeda Development Center Americas</w:t>
      </w:r>
      <w:r>
        <w:rPr>
          <w:rFonts w:ascii="Tahoma" w:hAnsi="Tahoma" w:cs="Tahoma"/>
          <w:sz w:val="22"/>
          <w:szCs w:val="22"/>
        </w:rPr>
        <w:t>, Inc.</w:t>
      </w:r>
    </w:p>
    <w:p w14:paraId="758A7A9A" w14:textId="77777777" w:rsidR="00AC28FB" w:rsidRDefault="00AC28FB" w:rsidP="00AC28FB">
      <w:pPr>
        <w:spacing w:after="200" w:line="276" w:lineRule="auto"/>
        <w:rPr>
          <w:rFonts w:ascii="Tahoma" w:hAnsi="Tahoma" w:cs="Tahoma"/>
          <w:sz w:val="22"/>
          <w:szCs w:val="22"/>
        </w:rPr>
      </w:pPr>
      <w:r>
        <w:rPr>
          <w:rFonts w:ascii="Tahoma" w:hAnsi="Tahoma" w:cs="Tahoma"/>
          <w:sz w:val="22"/>
          <w:szCs w:val="22"/>
        </w:rPr>
        <w:t>One Takeda Parkway</w:t>
      </w:r>
    </w:p>
    <w:p w14:paraId="5C8E59C6" w14:textId="77777777" w:rsidR="00AC28FB" w:rsidRDefault="00AC28FB" w:rsidP="00AC28FB">
      <w:pPr>
        <w:spacing w:after="200" w:line="276" w:lineRule="auto"/>
        <w:rPr>
          <w:rFonts w:ascii="Tahoma" w:hAnsi="Tahoma" w:cs="Tahoma"/>
          <w:sz w:val="22"/>
          <w:szCs w:val="22"/>
        </w:rPr>
      </w:pPr>
      <w:r>
        <w:rPr>
          <w:rFonts w:ascii="Tahoma" w:hAnsi="Tahoma" w:cs="Tahoma"/>
          <w:sz w:val="22"/>
          <w:szCs w:val="22"/>
        </w:rPr>
        <w:t>Deerfield, IL 60015</w:t>
      </w:r>
    </w:p>
    <w:p w14:paraId="5C16EAF4" w14:textId="77777777" w:rsidR="00AC28FB" w:rsidRDefault="00AC28FB" w:rsidP="00AC28FB">
      <w:pPr>
        <w:spacing w:after="200" w:line="276" w:lineRule="auto"/>
        <w:rPr>
          <w:rFonts w:ascii="Tahoma" w:hAnsi="Tahoma" w:cs="Tahoma"/>
          <w:sz w:val="22"/>
          <w:szCs w:val="22"/>
        </w:rPr>
      </w:pPr>
    </w:p>
    <w:p w14:paraId="76406D4D" w14:textId="77777777" w:rsidR="00AC28FB" w:rsidRDefault="00AC28FB" w:rsidP="00AC28FB">
      <w:pPr>
        <w:spacing w:after="200" w:line="276" w:lineRule="auto"/>
        <w:rPr>
          <w:rFonts w:ascii="Tahoma" w:hAnsi="Tahoma" w:cs="Tahoma"/>
          <w:sz w:val="22"/>
          <w:szCs w:val="22"/>
        </w:rPr>
      </w:pPr>
    </w:p>
    <w:p w14:paraId="20AE1AEF" w14:textId="77777777" w:rsidR="00AC28FB" w:rsidRDefault="00AC28FB" w:rsidP="00AC28FB">
      <w:pPr>
        <w:spacing w:after="200" w:line="276" w:lineRule="auto"/>
        <w:rPr>
          <w:rFonts w:ascii="Tahoma" w:hAnsi="Tahoma" w:cs="Tahoma"/>
          <w:sz w:val="22"/>
          <w:szCs w:val="22"/>
        </w:rPr>
      </w:pPr>
    </w:p>
    <w:p w14:paraId="524C1552" w14:textId="77777777" w:rsidR="00AC28FB" w:rsidRDefault="00AC28FB" w:rsidP="00AC28FB">
      <w:pPr>
        <w:spacing w:after="200" w:line="276" w:lineRule="auto"/>
        <w:rPr>
          <w:rFonts w:ascii="Tahoma" w:hAnsi="Tahoma" w:cs="Tahoma"/>
          <w:sz w:val="22"/>
          <w:szCs w:val="22"/>
        </w:rPr>
      </w:pPr>
      <w:r>
        <w:rPr>
          <w:rFonts w:ascii="Tahoma" w:hAnsi="Tahoma" w:cs="Tahoma"/>
          <w:sz w:val="22"/>
          <w:szCs w:val="22"/>
        </w:rPr>
        <w:t>Corresponding author:</w:t>
      </w:r>
    </w:p>
    <w:p w14:paraId="4BDAC41A" w14:textId="77777777" w:rsidR="00AC28FB" w:rsidRDefault="00AC28FB" w:rsidP="00AC28FB">
      <w:pPr>
        <w:spacing w:after="200" w:line="276" w:lineRule="auto"/>
        <w:rPr>
          <w:rFonts w:ascii="Tahoma" w:hAnsi="Tahoma" w:cs="Tahoma"/>
          <w:sz w:val="22"/>
          <w:szCs w:val="22"/>
        </w:rPr>
      </w:pPr>
      <w:r>
        <w:rPr>
          <w:rFonts w:ascii="Tahoma" w:hAnsi="Tahoma" w:cs="Tahoma"/>
          <w:sz w:val="22"/>
          <w:szCs w:val="22"/>
        </w:rPr>
        <w:t>Caroline Dudkowski</w:t>
      </w:r>
    </w:p>
    <w:p w14:paraId="22A20711" w14:textId="77777777" w:rsidR="00AC28FB" w:rsidRPr="005E7A68" w:rsidRDefault="00AC28FB" w:rsidP="00AC28FB">
      <w:pPr>
        <w:spacing w:after="200" w:line="276" w:lineRule="auto"/>
        <w:rPr>
          <w:rFonts w:ascii="Tahoma" w:hAnsi="Tahoma" w:cs="Tahoma"/>
          <w:sz w:val="22"/>
          <w:szCs w:val="22"/>
        </w:rPr>
      </w:pPr>
      <w:r w:rsidRPr="005E7A68">
        <w:rPr>
          <w:rFonts w:ascii="Tahoma" w:hAnsi="Tahoma" w:cs="Tahoma"/>
          <w:sz w:val="22"/>
          <w:szCs w:val="22"/>
        </w:rPr>
        <w:t>Takeda Pharmaceuticals U.S.A</w:t>
      </w:r>
      <w:r>
        <w:rPr>
          <w:rFonts w:ascii="Tahoma" w:hAnsi="Tahoma" w:cs="Tahoma"/>
          <w:sz w:val="22"/>
          <w:szCs w:val="22"/>
        </w:rPr>
        <w:t>., Inc.</w:t>
      </w:r>
    </w:p>
    <w:p w14:paraId="3CF5E70D" w14:textId="77777777" w:rsidR="00AC28FB" w:rsidRPr="005E7A68" w:rsidRDefault="00AC28FB" w:rsidP="00AC28FB">
      <w:pPr>
        <w:spacing w:after="200" w:line="276" w:lineRule="auto"/>
        <w:rPr>
          <w:rFonts w:ascii="Tahoma" w:hAnsi="Tahoma" w:cs="Tahoma"/>
          <w:sz w:val="22"/>
          <w:szCs w:val="22"/>
        </w:rPr>
      </w:pPr>
      <w:r>
        <w:rPr>
          <w:rFonts w:ascii="Tahoma" w:hAnsi="Tahoma" w:cs="Tahoma"/>
          <w:sz w:val="22"/>
          <w:szCs w:val="22"/>
        </w:rPr>
        <w:t>One Takeda Parkway</w:t>
      </w:r>
    </w:p>
    <w:p w14:paraId="40ADA953" w14:textId="77777777" w:rsidR="00AC28FB" w:rsidRDefault="00AC28FB" w:rsidP="00AC28FB">
      <w:pPr>
        <w:spacing w:after="200" w:line="276" w:lineRule="auto"/>
        <w:rPr>
          <w:rFonts w:ascii="Tahoma" w:hAnsi="Tahoma" w:cs="Tahoma"/>
          <w:sz w:val="22"/>
          <w:szCs w:val="22"/>
        </w:rPr>
      </w:pPr>
      <w:r w:rsidRPr="005E7A68">
        <w:rPr>
          <w:rFonts w:ascii="Tahoma" w:hAnsi="Tahoma" w:cs="Tahoma"/>
          <w:sz w:val="22"/>
          <w:szCs w:val="22"/>
        </w:rPr>
        <w:t>Deerfield, IL 60015</w:t>
      </w:r>
    </w:p>
    <w:p w14:paraId="6145B98E" w14:textId="77777777" w:rsidR="00AC28FB" w:rsidRPr="004F6FC8" w:rsidRDefault="00AC28FB" w:rsidP="00AC28FB">
      <w:pPr>
        <w:spacing w:after="200" w:line="276" w:lineRule="auto"/>
        <w:rPr>
          <w:rFonts w:ascii="Tahoma" w:hAnsi="Tahoma" w:cs="Tahoma"/>
          <w:sz w:val="22"/>
          <w:szCs w:val="22"/>
        </w:rPr>
      </w:pPr>
      <w:r w:rsidRPr="004F6FC8">
        <w:rPr>
          <w:rFonts w:ascii="Tahoma" w:hAnsi="Tahoma" w:cs="Tahoma"/>
          <w:sz w:val="22"/>
          <w:szCs w:val="22"/>
        </w:rPr>
        <w:t xml:space="preserve">Email: caroline.dudkowski@takeda.com </w:t>
      </w:r>
    </w:p>
    <w:p w14:paraId="4AEC65B6" w14:textId="77777777" w:rsidR="00AC28FB" w:rsidRPr="004F6FC8" w:rsidRDefault="00AC28FB" w:rsidP="00AC28FB">
      <w:pPr>
        <w:spacing w:after="200" w:line="276" w:lineRule="auto"/>
        <w:rPr>
          <w:rFonts w:ascii="Tahoma" w:hAnsi="Tahoma" w:cs="Tahoma"/>
          <w:sz w:val="22"/>
          <w:szCs w:val="22"/>
        </w:rPr>
      </w:pPr>
      <w:r w:rsidRPr="004F6FC8">
        <w:rPr>
          <w:rFonts w:ascii="Tahoma" w:hAnsi="Tahoma" w:cs="Tahoma"/>
          <w:sz w:val="22"/>
          <w:szCs w:val="22"/>
        </w:rPr>
        <w:t>Telephone:</w:t>
      </w:r>
      <w:r>
        <w:rPr>
          <w:rFonts w:ascii="Tahoma" w:hAnsi="Tahoma" w:cs="Tahoma"/>
          <w:sz w:val="22"/>
          <w:szCs w:val="22"/>
        </w:rPr>
        <w:t xml:space="preserve"> 224-554-2005</w:t>
      </w:r>
    </w:p>
    <w:p w14:paraId="6A06CAE3" w14:textId="77777777" w:rsidR="00AC28FB" w:rsidRDefault="00AC28FB" w:rsidP="00AC28FB">
      <w:pPr>
        <w:spacing w:after="200" w:line="276" w:lineRule="auto"/>
        <w:rPr>
          <w:rFonts w:ascii="Tahoma" w:hAnsi="Tahoma" w:cs="Tahoma"/>
          <w:sz w:val="22"/>
          <w:szCs w:val="22"/>
        </w:rPr>
      </w:pPr>
      <w:r>
        <w:rPr>
          <w:rFonts w:ascii="Tahoma" w:hAnsi="Tahoma" w:cs="Tahoma"/>
          <w:sz w:val="22"/>
          <w:szCs w:val="22"/>
        </w:rPr>
        <w:t>Fax: 224-554-7933</w:t>
      </w:r>
    </w:p>
    <w:p w14:paraId="21A24327" w14:textId="77777777" w:rsidR="00AC28FB" w:rsidRDefault="00AC28FB" w:rsidP="005F0EAC">
      <w:pPr>
        <w:spacing w:after="160" w:line="480" w:lineRule="auto"/>
        <w:rPr>
          <w:rFonts w:ascii="Tahoma" w:eastAsiaTheme="minorHAnsi" w:hAnsi="Tahoma" w:cs="Tahoma"/>
          <w:b/>
          <w:sz w:val="22"/>
          <w:szCs w:val="22"/>
        </w:rPr>
      </w:pPr>
      <w:r>
        <w:rPr>
          <w:rFonts w:ascii="Tahoma" w:eastAsiaTheme="minorHAnsi" w:hAnsi="Tahoma" w:cs="Tahoma"/>
          <w:b/>
          <w:sz w:val="22"/>
          <w:szCs w:val="22"/>
        </w:rPr>
        <w:br w:type="page"/>
      </w:r>
      <w:r w:rsidR="0085386E">
        <w:rPr>
          <w:rFonts w:ascii="Tahoma" w:eastAsiaTheme="minorHAnsi" w:hAnsi="Tahoma" w:cs="Tahoma"/>
          <w:b/>
          <w:sz w:val="22"/>
          <w:szCs w:val="22"/>
        </w:rPr>
        <w:lastRenderedPageBreak/>
        <w:t>Subject enrollment criteria</w:t>
      </w:r>
    </w:p>
    <w:p w14:paraId="68F6FD17" w14:textId="7A7E26F1" w:rsidR="0085386E" w:rsidRPr="0085386E" w:rsidRDefault="0085386E" w:rsidP="005F0EAC">
      <w:pPr>
        <w:spacing w:after="160" w:line="480" w:lineRule="auto"/>
        <w:ind w:firstLine="720"/>
        <w:rPr>
          <w:rFonts w:ascii="Tahoma" w:eastAsiaTheme="minorHAnsi" w:hAnsi="Tahoma" w:cs="Tahoma"/>
          <w:sz w:val="22"/>
          <w:szCs w:val="22"/>
        </w:rPr>
      </w:pPr>
      <w:r w:rsidRPr="0085386E">
        <w:rPr>
          <w:rFonts w:ascii="Tahoma" w:eastAsiaTheme="minorHAnsi" w:hAnsi="Tahoma" w:cs="Tahoma"/>
          <w:sz w:val="22"/>
          <w:szCs w:val="22"/>
        </w:rPr>
        <w:t xml:space="preserve">All subjects were required to have a diagnosis of non–insulin-dependent </w:t>
      </w:r>
      <w:r w:rsidR="002F2645">
        <w:rPr>
          <w:rFonts w:ascii="Tahoma" w:eastAsiaTheme="minorHAnsi" w:hAnsi="Tahoma" w:cs="Tahoma"/>
          <w:sz w:val="22"/>
          <w:szCs w:val="22"/>
        </w:rPr>
        <w:t>type 2 diabetes mellitus (</w:t>
      </w:r>
      <w:r w:rsidRPr="0085386E">
        <w:rPr>
          <w:rFonts w:ascii="Tahoma" w:eastAsiaTheme="minorHAnsi" w:hAnsi="Tahoma" w:cs="Tahoma"/>
          <w:sz w:val="22"/>
          <w:szCs w:val="22"/>
        </w:rPr>
        <w:t>T2DM</w:t>
      </w:r>
      <w:r w:rsidR="002F2645">
        <w:rPr>
          <w:rFonts w:ascii="Tahoma" w:eastAsiaTheme="minorHAnsi" w:hAnsi="Tahoma" w:cs="Tahoma"/>
          <w:sz w:val="22"/>
          <w:szCs w:val="22"/>
        </w:rPr>
        <w:t>)</w:t>
      </w:r>
      <w:r w:rsidRPr="0085386E">
        <w:rPr>
          <w:rFonts w:ascii="Tahoma" w:eastAsiaTheme="minorHAnsi" w:hAnsi="Tahoma" w:cs="Tahoma"/>
          <w:sz w:val="22"/>
          <w:szCs w:val="22"/>
        </w:rPr>
        <w:t xml:space="preserve"> based on the diagnostic criteria of the American Diabetes Association (further confi</w:t>
      </w:r>
      <w:r w:rsidR="00BF0770">
        <w:rPr>
          <w:rFonts w:ascii="Tahoma" w:eastAsiaTheme="minorHAnsi" w:hAnsi="Tahoma" w:cs="Tahoma"/>
          <w:sz w:val="22"/>
          <w:szCs w:val="22"/>
        </w:rPr>
        <w:t xml:space="preserve">rmed by C-peptide measurement) </w:t>
      </w:r>
      <w:r w:rsidRPr="0085386E">
        <w:rPr>
          <w:rFonts w:ascii="Tahoma" w:eastAsiaTheme="minorHAnsi" w:hAnsi="Tahoma" w:cs="Tahoma"/>
          <w:sz w:val="22"/>
          <w:szCs w:val="22"/>
        </w:rPr>
        <w:t>and were allowed to take concomitant metformin if the dose was stable</w:t>
      </w:r>
      <w:r w:rsidR="005F0EAC">
        <w:rPr>
          <w:rFonts w:ascii="Tahoma" w:eastAsiaTheme="minorHAnsi" w:hAnsi="Tahoma" w:cs="Tahoma"/>
          <w:sz w:val="22"/>
          <w:szCs w:val="22"/>
        </w:rPr>
        <w:t xml:space="preserve"> for ≥30 days prior to day 1 [1</w:t>
      </w:r>
      <w:r w:rsidRPr="0085386E">
        <w:rPr>
          <w:rFonts w:ascii="Tahoma" w:eastAsiaTheme="minorHAnsi" w:hAnsi="Tahoma" w:cs="Tahoma"/>
          <w:sz w:val="22"/>
          <w:szCs w:val="22"/>
        </w:rPr>
        <w:t xml:space="preserve">]. In addition, included children and adolescent subjects weighed ≥36 kg (79 pounds), had a screening body mass index (BMI) of ≥18 kg/m2, and had a fasting serum C-peptide concentration ≥0.8 ng/mL (≥0.26 </w:t>
      </w:r>
      <w:proofErr w:type="spellStart"/>
      <w:r w:rsidRPr="0085386E">
        <w:rPr>
          <w:rFonts w:ascii="Tahoma" w:eastAsiaTheme="minorHAnsi" w:hAnsi="Tahoma" w:cs="Tahoma"/>
          <w:sz w:val="22"/>
          <w:szCs w:val="22"/>
        </w:rPr>
        <w:t>nmol</w:t>
      </w:r>
      <w:proofErr w:type="spellEnd"/>
      <w:r w:rsidRPr="0085386E">
        <w:rPr>
          <w:rFonts w:ascii="Tahoma" w:eastAsiaTheme="minorHAnsi" w:hAnsi="Tahoma" w:cs="Tahoma"/>
          <w:sz w:val="22"/>
          <w:szCs w:val="22"/>
        </w:rPr>
        <w:t xml:space="preserve">/L) at screening visit.  Included adult subjects weighed ≥50 kg (110 pounds), had a screening BMI between 23 and 45 kg/m2 (20–35 kg/m2 for Asian subjects), and could be taking statin or antihypertensive drugs if the dose was stable for ≥30 days prior to study day 1. </w:t>
      </w:r>
    </w:p>
    <w:p w14:paraId="665857F6" w14:textId="79B900DF" w:rsidR="0085386E" w:rsidRDefault="0085386E" w:rsidP="005F0EAC">
      <w:pPr>
        <w:spacing w:after="160" w:line="480" w:lineRule="auto"/>
        <w:ind w:firstLine="720"/>
        <w:rPr>
          <w:rFonts w:ascii="Tahoma" w:eastAsiaTheme="minorHAnsi" w:hAnsi="Tahoma" w:cs="Tahoma"/>
          <w:sz w:val="22"/>
          <w:szCs w:val="22"/>
        </w:rPr>
      </w:pPr>
      <w:r w:rsidRPr="0085386E">
        <w:rPr>
          <w:rFonts w:ascii="Tahoma" w:eastAsiaTheme="minorHAnsi" w:hAnsi="Tahoma" w:cs="Tahoma"/>
          <w:sz w:val="22"/>
          <w:szCs w:val="22"/>
        </w:rPr>
        <w:t xml:space="preserve">Individuals were not permitted to enroll if they had a hypersensitivity to </w:t>
      </w:r>
      <w:proofErr w:type="spellStart"/>
      <w:r w:rsidRPr="0085386E">
        <w:rPr>
          <w:rFonts w:ascii="Tahoma" w:eastAsiaTheme="minorHAnsi" w:hAnsi="Tahoma" w:cs="Tahoma"/>
          <w:sz w:val="22"/>
          <w:szCs w:val="22"/>
        </w:rPr>
        <w:t>alogliptin</w:t>
      </w:r>
      <w:proofErr w:type="spellEnd"/>
      <w:r w:rsidRPr="0085386E">
        <w:rPr>
          <w:rFonts w:ascii="Tahoma" w:eastAsiaTheme="minorHAnsi" w:hAnsi="Tahoma" w:cs="Tahoma"/>
          <w:sz w:val="22"/>
          <w:szCs w:val="22"/>
        </w:rPr>
        <w:t xml:space="preserve"> or related compounds; a history of type 1 diabetes or secondary forms of diabetes, including </w:t>
      </w:r>
      <w:r w:rsidR="00BF0770">
        <w:rPr>
          <w:rFonts w:ascii="Tahoma" w:eastAsiaTheme="minorHAnsi" w:hAnsi="Tahoma" w:cs="Tahoma"/>
          <w:sz w:val="22"/>
          <w:szCs w:val="22"/>
        </w:rPr>
        <w:t>m</w:t>
      </w:r>
      <w:r w:rsidR="00BF0770" w:rsidRPr="00BF0770">
        <w:rPr>
          <w:rFonts w:ascii="Tahoma" w:eastAsiaTheme="minorHAnsi" w:hAnsi="Tahoma" w:cs="Tahoma"/>
          <w:sz w:val="22"/>
          <w:szCs w:val="22"/>
        </w:rPr>
        <w:t>aturity onset diabetes of the young</w:t>
      </w:r>
      <w:r w:rsidRPr="0085386E">
        <w:rPr>
          <w:rFonts w:ascii="Tahoma" w:eastAsiaTheme="minorHAnsi" w:hAnsi="Tahoma" w:cs="Tahoma"/>
          <w:sz w:val="22"/>
          <w:szCs w:val="22"/>
        </w:rPr>
        <w:t>; hemoglobin value &lt;12 g/</w:t>
      </w:r>
      <w:proofErr w:type="spellStart"/>
      <w:r w:rsidRPr="0085386E">
        <w:rPr>
          <w:rFonts w:ascii="Tahoma" w:eastAsiaTheme="minorHAnsi" w:hAnsi="Tahoma" w:cs="Tahoma"/>
          <w:sz w:val="22"/>
          <w:szCs w:val="22"/>
        </w:rPr>
        <w:t>dL</w:t>
      </w:r>
      <w:proofErr w:type="spellEnd"/>
      <w:r w:rsidRPr="0085386E">
        <w:rPr>
          <w:rFonts w:ascii="Tahoma" w:eastAsiaTheme="minorHAnsi" w:hAnsi="Tahoma" w:cs="Tahoma"/>
          <w:sz w:val="22"/>
          <w:szCs w:val="22"/>
        </w:rPr>
        <w:t>; systolic blood pressure &gt;140 mm Hg or diastolic blood pressure &gt;90 mm Hg; alanine aminotransferase (ALT) or aspartate aminotransferase (AST) levels greater than 2 times (1.5 times for pediatric subjects) the upper limit of normal (ULN), active liver disease, or jaundice; serum creatinine level &gt;1.5 mg</w:t>
      </w:r>
      <w:r w:rsidR="002F2645">
        <w:rPr>
          <w:rFonts w:ascii="Tahoma" w:eastAsiaTheme="minorHAnsi" w:hAnsi="Tahoma" w:cs="Tahoma"/>
          <w:sz w:val="22"/>
          <w:szCs w:val="22"/>
        </w:rPr>
        <w:t>/</w:t>
      </w:r>
      <w:proofErr w:type="spellStart"/>
      <w:r w:rsidR="002F2645">
        <w:rPr>
          <w:rFonts w:ascii="Tahoma" w:eastAsiaTheme="minorHAnsi" w:hAnsi="Tahoma" w:cs="Tahoma"/>
          <w:sz w:val="22"/>
          <w:szCs w:val="22"/>
        </w:rPr>
        <w:t>dL</w:t>
      </w:r>
      <w:proofErr w:type="spellEnd"/>
      <w:r w:rsidR="002F2645">
        <w:rPr>
          <w:rFonts w:ascii="Tahoma" w:eastAsiaTheme="minorHAnsi" w:hAnsi="Tahoma" w:cs="Tahoma"/>
          <w:sz w:val="22"/>
          <w:szCs w:val="22"/>
        </w:rPr>
        <w:t>; creatinine clearance</w:t>
      </w:r>
      <w:r w:rsidRPr="0085386E">
        <w:rPr>
          <w:rFonts w:ascii="Tahoma" w:eastAsiaTheme="minorHAnsi" w:hAnsi="Tahoma" w:cs="Tahoma"/>
          <w:sz w:val="22"/>
          <w:szCs w:val="22"/>
        </w:rPr>
        <w:t xml:space="preserve"> &lt;50 mL/min; or treatment with ketoconazole, fluconazole, gemfibrozil, rifampin, or carbamazepine before or during the study.   </w:t>
      </w:r>
    </w:p>
    <w:p w14:paraId="663354D4" w14:textId="77777777" w:rsidR="0085386E" w:rsidRDefault="0085386E" w:rsidP="005F0EAC">
      <w:pPr>
        <w:spacing w:after="160" w:line="480" w:lineRule="auto"/>
        <w:rPr>
          <w:rFonts w:ascii="Tahoma" w:eastAsiaTheme="minorHAnsi" w:hAnsi="Tahoma" w:cs="Tahoma"/>
          <w:sz w:val="22"/>
          <w:szCs w:val="22"/>
        </w:rPr>
      </w:pPr>
    </w:p>
    <w:p w14:paraId="5A4A2866" w14:textId="77777777" w:rsidR="0085386E" w:rsidRDefault="0085386E" w:rsidP="005F0EAC">
      <w:pPr>
        <w:spacing w:after="160" w:line="480" w:lineRule="auto"/>
        <w:rPr>
          <w:rFonts w:ascii="Tahoma" w:eastAsiaTheme="minorHAnsi" w:hAnsi="Tahoma" w:cs="Tahoma"/>
          <w:b/>
          <w:sz w:val="22"/>
          <w:szCs w:val="22"/>
        </w:rPr>
      </w:pPr>
      <w:r>
        <w:rPr>
          <w:rFonts w:ascii="Tahoma" w:eastAsiaTheme="minorHAnsi" w:hAnsi="Tahoma" w:cs="Tahoma"/>
          <w:b/>
          <w:sz w:val="22"/>
          <w:szCs w:val="22"/>
        </w:rPr>
        <w:t>PK/PD analysis p</w:t>
      </w:r>
      <w:r w:rsidRPr="0085386E">
        <w:rPr>
          <w:rFonts w:ascii="Tahoma" w:eastAsiaTheme="minorHAnsi" w:hAnsi="Tahoma" w:cs="Tahoma"/>
          <w:b/>
          <w:sz w:val="22"/>
          <w:szCs w:val="22"/>
        </w:rPr>
        <w:t>recision and accuracy</w:t>
      </w:r>
    </w:p>
    <w:p w14:paraId="69FCB3A8" w14:textId="6262D518" w:rsidR="00065A52" w:rsidRDefault="00065A52" w:rsidP="005F0EAC">
      <w:pPr>
        <w:spacing w:after="160" w:line="480" w:lineRule="auto"/>
        <w:ind w:firstLine="720"/>
        <w:rPr>
          <w:rFonts w:ascii="Tahoma" w:eastAsiaTheme="minorHAnsi" w:hAnsi="Tahoma" w:cs="Tahoma"/>
          <w:sz w:val="22"/>
          <w:szCs w:val="22"/>
        </w:rPr>
      </w:pPr>
      <w:r w:rsidRPr="00065A52">
        <w:rPr>
          <w:rFonts w:ascii="Tahoma" w:eastAsiaTheme="minorHAnsi" w:hAnsi="Tahoma" w:cs="Tahoma"/>
          <w:sz w:val="22"/>
          <w:szCs w:val="22"/>
        </w:rPr>
        <w:t xml:space="preserve">For </w:t>
      </w:r>
      <w:proofErr w:type="spellStart"/>
      <w:r w:rsidRPr="00065A52">
        <w:rPr>
          <w:rFonts w:ascii="Tahoma" w:eastAsiaTheme="minorHAnsi" w:hAnsi="Tahoma" w:cs="Tahoma"/>
          <w:sz w:val="22"/>
          <w:szCs w:val="22"/>
        </w:rPr>
        <w:t>alogliptin</w:t>
      </w:r>
      <w:proofErr w:type="spellEnd"/>
      <w:r w:rsidRPr="00065A52">
        <w:rPr>
          <w:rFonts w:ascii="Tahoma" w:eastAsiaTheme="minorHAnsi" w:hAnsi="Tahoma" w:cs="Tahoma"/>
          <w:sz w:val="22"/>
          <w:szCs w:val="22"/>
        </w:rPr>
        <w:t xml:space="preserve"> </w:t>
      </w:r>
      <w:r>
        <w:rPr>
          <w:rFonts w:ascii="Tahoma" w:eastAsiaTheme="minorHAnsi" w:hAnsi="Tahoma" w:cs="Tahoma"/>
          <w:sz w:val="22"/>
          <w:szCs w:val="22"/>
        </w:rPr>
        <w:t xml:space="preserve">plasma </w:t>
      </w:r>
      <w:r w:rsidRPr="00065A52">
        <w:rPr>
          <w:rFonts w:ascii="Tahoma" w:eastAsiaTheme="minorHAnsi" w:hAnsi="Tahoma" w:cs="Tahoma"/>
          <w:sz w:val="22"/>
          <w:szCs w:val="22"/>
        </w:rPr>
        <w:t>concentration measurements</w:t>
      </w:r>
      <w:r>
        <w:rPr>
          <w:rFonts w:ascii="Tahoma" w:eastAsiaTheme="minorHAnsi" w:hAnsi="Tahoma" w:cs="Tahoma"/>
          <w:sz w:val="22"/>
          <w:szCs w:val="22"/>
        </w:rPr>
        <w:t>,</w:t>
      </w:r>
      <w:r w:rsidRPr="00065A52">
        <w:rPr>
          <w:rFonts w:ascii="Tahoma" w:eastAsiaTheme="minorHAnsi" w:hAnsi="Tahoma" w:cs="Tahoma"/>
          <w:sz w:val="22"/>
          <w:szCs w:val="22"/>
        </w:rPr>
        <w:t xml:space="preserve"> </w:t>
      </w:r>
      <w:r>
        <w:rPr>
          <w:rFonts w:ascii="Tahoma" w:eastAsiaTheme="minorHAnsi" w:hAnsi="Tahoma" w:cs="Tahoma"/>
          <w:sz w:val="22"/>
          <w:szCs w:val="22"/>
        </w:rPr>
        <w:t>t</w:t>
      </w:r>
      <w:r w:rsidRPr="00065A52">
        <w:rPr>
          <w:rFonts w:ascii="Tahoma" w:eastAsiaTheme="minorHAnsi" w:hAnsi="Tahoma" w:cs="Tahoma"/>
          <w:sz w:val="22"/>
          <w:szCs w:val="22"/>
        </w:rPr>
        <w:t xml:space="preserve">he quantification ranges for plasma and urine samples were 1.00 to 250 ng/mL and 5.00 </w:t>
      </w:r>
      <w:r>
        <w:rPr>
          <w:rFonts w:ascii="Tahoma" w:eastAsiaTheme="minorHAnsi" w:hAnsi="Tahoma" w:cs="Tahoma"/>
          <w:sz w:val="22"/>
          <w:szCs w:val="22"/>
        </w:rPr>
        <w:t xml:space="preserve">to 5000 ng/mL, respectively. </w:t>
      </w:r>
      <w:r w:rsidRPr="00065A52">
        <w:rPr>
          <w:rFonts w:ascii="Tahoma" w:eastAsiaTheme="minorHAnsi" w:hAnsi="Tahoma" w:cs="Tahoma"/>
          <w:sz w:val="22"/>
          <w:szCs w:val="22"/>
        </w:rPr>
        <w:t xml:space="preserve">Precision and accuracy were evaluated by replicate analyses of plasma or urine </w:t>
      </w:r>
      <w:r w:rsidR="00C01B47">
        <w:rPr>
          <w:rFonts w:ascii="Tahoma" w:eastAsiaTheme="minorHAnsi" w:hAnsi="Tahoma" w:cs="Tahoma"/>
          <w:sz w:val="22"/>
          <w:szCs w:val="22"/>
        </w:rPr>
        <w:t>quality control (</w:t>
      </w:r>
      <w:r w:rsidRPr="00065A52">
        <w:rPr>
          <w:rFonts w:ascii="Tahoma" w:eastAsiaTheme="minorHAnsi" w:hAnsi="Tahoma" w:cs="Tahoma"/>
          <w:sz w:val="22"/>
          <w:szCs w:val="22"/>
        </w:rPr>
        <w:t>QC</w:t>
      </w:r>
      <w:r w:rsidR="00C01B47">
        <w:rPr>
          <w:rFonts w:ascii="Tahoma" w:eastAsiaTheme="minorHAnsi" w:hAnsi="Tahoma" w:cs="Tahoma"/>
          <w:sz w:val="22"/>
          <w:szCs w:val="22"/>
        </w:rPr>
        <w:t>)</w:t>
      </w:r>
      <w:r w:rsidRPr="00065A52">
        <w:rPr>
          <w:rFonts w:ascii="Tahoma" w:eastAsiaTheme="minorHAnsi" w:hAnsi="Tahoma" w:cs="Tahoma"/>
          <w:sz w:val="22"/>
          <w:szCs w:val="22"/>
        </w:rPr>
        <w:t xml:space="preserve"> pools </w:t>
      </w:r>
      <w:r w:rsidRPr="00065A52">
        <w:rPr>
          <w:rFonts w:ascii="Tahoma" w:eastAsiaTheme="minorHAnsi" w:hAnsi="Tahoma" w:cs="Tahoma"/>
          <w:sz w:val="22"/>
          <w:szCs w:val="22"/>
        </w:rPr>
        <w:lastRenderedPageBreak/>
        <w:t>prepared at 5 concentrations spanning the calibration range. Precision was measured as the percent coefficient of variation (%CV) of the set of values for each pool. Accuracy was expressed as the percent difference of the mean value for each pool from the theoretical concentration.  For the plasma QC concentrations of 2.50 ng/mL, 5.00 ng/mL, 15.0 ng/mL, 45.0 ng/m</w:t>
      </w:r>
      <w:r>
        <w:rPr>
          <w:rFonts w:ascii="Tahoma" w:eastAsiaTheme="minorHAnsi" w:hAnsi="Tahoma" w:cs="Tahoma"/>
          <w:sz w:val="22"/>
          <w:szCs w:val="22"/>
        </w:rPr>
        <w:t xml:space="preserve">L, and 200 ng/mL, </w:t>
      </w:r>
      <w:r w:rsidRPr="00065A52">
        <w:rPr>
          <w:rFonts w:ascii="Tahoma" w:eastAsiaTheme="minorHAnsi" w:hAnsi="Tahoma" w:cs="Tahoma"/>
          <w:sz w:val="22"/>
          <w:szCs w:val="22"/>
        </w:rPr>
        <w:t>the correlating %CV were 7.53, 4.78, 4.13, 3.86, and 1.85, respectively; and the correlating percentages of difference from the theoretical concentrations were 4.34, 1.71, 1.10, 0.146, and −0.235, respectively.  For the urine QC concentrations of 12.5 ng/mL, 50 ng/mL, 250 ng/</w:t>
      </w:r>
      <w:r>
        <w:rPr>
          <w:rFonts w:ascii="Tahoma" w:eastAsiaTheme="minorHAnsi" w:hAnsi="Tahoma" w:cs="Tahoma"/>
          <w:sz w:val="22"/>
          <w:szCs w:val="22"/>
        </w:rPr>
        <w:t xml:space="preserve">mL, 800 ng/mL, and 4000 ng/mL, </w:t>
      </w:r>
      <w:r w:rsidRPr="00065A52">
        <w:rPr>
          <w:rFonts w:ascii="Tahoma" w:eastAsiaTheme="minorHAnsi" w:hAnsi="Tahoma" w:cs="Tahoma"/>
          <w:sz w:val="22"/>
          <w:szCs w:val="22"/>
        </w:rPr>
        <w:t xml:space="preserve">the correlating %CV were 4.03, 4.53, 3.67, 3.85, and 4.40, respectively; and the correlating percentages of difference from the theoretical concentrations were 1.84, −1.16, 0.689, −0.278, and −0.812, respectively.  </w:t>
      </w:r>
    </w:p>
    <w:p w14:paraId="1E8535BC" w14:textId="15701EA5" w:rsidR="000B365D" w:rsidRDefault="000B365D" w:rsidP="005F0EAC">
      <w:pPr>
        <w:spacing w:after="160" w:line="480" w:lineRule="auto"/>
        <w:ind w:firstLine="720"/>
        <w:rPr>
          <w:rFonts w:ascii="Tahoma" w:eastAsiaTheme="minorHAnsi" w:hAnsi="Tahoma" w:cs="Tahoma"/>
          <w:sz w:val="22"/>
          <w:szCs w:val="22"/>
        </w:rPr>
      </w:pPr>
      <w:r>
        <w:rPr>
          <w:rFonts w:ascii="Tahoma" w:eastAsiaTheme="minorHAnsi" w:hAnsi="Tahoma" w:cs="Tahoma"/>
          <w:sz w:val="22"/>
          <w:szCs w:val="22"/>
        </w:rPr>
        <w:t xml:space="preserve">For DPP-4 inhibition </w:t>
      </w:r>
      <w:r w:rsidRPr="000B365D">
        <w:rPr>
          <w:rFonts w:ascii="Tahoma" w:eastAsiaTheme="minorHAnsi" w:hAnsi="Tahoma" w:cs="Tahoma"/>
          <w:sz w:val="22"/>
          <w:szCs w:val="22"/>
        </w:rPr>
        <w:t>measurements</w:t>
      </w:r>
      <w:r>
        <w:rPr>
          <w:rFonts w:ascii="Tahoma" w:eastAsiaTheme="minorHAnsi" w:hAnsi="Tahoma" w:cs="Tahoma"/>
          <w:sz w:val="22"/>
          <w:szCs w:val="22"/>
        </w:rPr>
        <w:t>,</w:t>
      </w:r>
      <w:r w:rsidRPr="000B365D">
        <w:rPr>
          <w:rFonts w:ascii="Tahoma" w:eastAsiaTheme="minorHAnsi" w:hAnsi="Tahoma" w:cs="Tahoma"/>
          <w:sz w:val="22"/>
          <w:szCs w:val="22"/>
        </w:rPr>
        <w:t xml:space="preserve"> </w:t>
      </w:r>
      <w:r>
        <w:rPr>
          <w:rFonts w:ascii="Tahoma" w:eastAsiaTheme="minorHAnsi" w:hAnsi="Tahoma" w:cs="Tahoma"/>
          <w:sz w:val="22"/>
          <w:szCs w:val="22"/>
        </w:rPr>
        <w:t>t</w:t>
      </w:r>
      <w:r w:rsidRPr="000B365D">
        <w:rPr>
          <w:rFonts w:ascii="Tahoma" w:eastAsiaTheme="minorHAnsi" w:hAnsi="Tahoma" w:cs="Tahoma"/>
          <w:sz w:val="22"/>
          <w:szCs w:val="22"/>
        </w:rPr>
        <w:t xml:space="preserve">he QC samples were prepared as low-, medium-, and high-DPP-4 activity levels by fortifying blank matrix with </w:t>
      </w:r>
      <w:proofErr w:type="spellStart"/>
      <w:r w:rsidRPr="000B365D">
        <w:rPr>
          <w:rFonts w:ascii="Tahoma" w:eastAsiaTheme="minorHAnsi" w:hAnsi="Tahoma" w:cs="Tahoma"/>
          <w:sz w:val="22"/>
          <w:szCs w:val="22"/>
        </w:rPr>
        <w:t>alogliptin</w:t>
      </w:r>
      <w:proofErr w:type="spellEnd"/>
      <w:r w:rsidRPr="000B365D">
        <w:rPr>
          <w:rFonts w:ascii="Tahoma" w:eastAsiaTheme="minorHAnsi" w:hAnsi="Tahoma" w:cs="Tahoma"/>
          <w:sz w:val="22"/>
          <w:szCs w:val="22"/>
        </w:rPr>
        <w:t xml:space="preserve"> at concentrations of 500 </w:t>
      </w:r>
      <w:proofErr w:type="spellStart"/>
      <w:r w:rsidRPr="000B365D">
        <w:rPr>
          <w:rFonts w:ascii="Tahoma" w:eastAsiaTheme="minorHAnsi" w:hAnsi="Tahoma" w:cs="Tahoma"/>
          <w:sz w:val="22"/>
          <w:szCs w:val="22"/>
        </w:rPr>
        <w:t>nM</w:t>
      </w:r>
      <w:proofErr w:type="spellEnd"/>
      <w:r w:rsidRPr="000B365D">
        <w:rPr>
          <w:rFonts w:ascii="Tahoma" w:eastAsiaTheme="minorHAnsi" w:hAnsi="Tahoma" w:cs="Tahoma"/>
          <w:sz w:val="22"/>
          <w:szCs w:val="22"/>
        </w:rPr>
        <w:t xml:space="preserve">, 50.0 </w:t>
      </w:r>
      <w:proofErr w:type="spellStart"/>
      <w:r w:rsidRPr="000B365D">
        <w:rPr>
          <w:rFonts w:ascii="Tahoma" w:eastAsiaTheme="minorHAnsi" w:hAnsi="Tahoma" w:cs="Tahoma"/>
          <w:sz w:val="22"/>
          <w:szCs w:val="22"/>
        </w:rPr>
        <w:t>nM</w:t>
      </w:r>
      <w:proofErr w:type="spellEnd"/>
      <w:r w:rsidRPr="000B365D">
        <w:rPr>
          <w:rFonts w:ascii="Tahoma" w:eastAsiaTheme="minorHAnsi" w:hAnsi="Tahoma" w:cs="Tahoma"/>
          <w:sz w:val="22"/>
          <w:szCs w:val="22"/>
        </w:rPr>
        <w:t xml:space="preserve">, and 5.00 </w:t>
      </w:r>
      <w:proofErr w:type="spellStart"/>
      <w:r w:rsidRPr="000B365D">
        <w:rPr>
          <w:rFonts w:ascii="Tahoma" w:eastAsiaTheme="minorHAnsi" w:hAnsi="Tahoma" w:cs="Tahoma"/>
          <w:sz w:val="22"/>
          <w:szCs w:val="22"/>
        </w:rPr>
        <w:t>nM</w:t>
      </w:r>
      <w:proofErr w:type="spellEnd"/>
      <w:r w:rsidRPr="000B365D">
        <w:rPr>
          <w:rFonts w:ascii="Tahoma" w:eastAsiaTheme="minorHAnsi" w:hAnsi="Tahoma" w:cs="Tahoma"/>
          <w:sz w:val="22"/>
          <w:szCs w:val="22"/>
        </w:rPr>
        <w:t xml:space="preserve">, respectively.  Results for study samples are expressed as percent inhibition, while results for QCs are expressed as percent activity.  Precision was evaluated by analyzing for percent activity in a positive control (blank matrix), a negative control (blank buffer), and low-, medium-, and high-activity QCs. Precision was expressed as overall %CV for the replicate percent activity values at each control level.  For acceptable sets of DPP-4 inhibition measurements, the %CV correlating the positive control, the negative control, QC 5.00 </w:t>
      </w:r>
      <w:proofErr w:type="spellStart"/>
      <w:r w:rsidRPr="000B365D">
        <w:rPr>
          <w:rFonts w:ascii="Tahoma" w:eastAsiaTheme="minorHAnsi" w:hAnsi="Tahoma" w:cs="Tahoma"/>
          <w:sz w:val="22"/>
          <w:szCs w:val="22"/>
        </w:rPr>
        <w:t>nM</w:t>
      </w:r>
      <w:proofErr w:type="spellEnd"/>
      <w:r w:rsidRPr="000B365D">
        <w:rPr>
          <w:rFonts w:ascii="Tahoma" w:eastAsiaTheme="minorHAnsi" w:hAnsi="Tahoma" w:cs="Tahoma"/>
          <w:sz w:val="22"/>
          <w:szCs w:val="22"/>
        </w:rPr>
        <w:t xml:space="preserve">, QC 50.0 </w:t>
      </w:r>
      <w:proofErr w:type="spellStart"/>
      <w:r w:rsidRPr="000B365D">
        <w:rPr>
          <w:rFonts w:ascii="Tahoma" w:eastAsiaTheme="minorHAnsi" w:hAnsi="Tahoma" w:cs="Tahoma"/>
          <w:sz w:val="22"/>
          <w:szCs w:val="22"/>
        </w:rPr>
        <w:t>nM</w:t>
      </w:r>
      <w:proofErr w:type="spellEnd"/>
      <w:r w:rsidRPr="000B365D">
        <w:rPr>
          <w:rFonts w:ascii="Tahoma" w:eastAsiaTheme="minorHAnsi" w:hAnsi="Tahoma" w:cs="Tahoma"/>
          <w:sz w:val="22"/>
          <w:szCs w:val="22"/>
        </w:rPr>
        <w:t xml:space="preserve">, and QC 500 </w:t>
      </w:r>
      <w:proofErr w:type="spellStart"/>
      <w:r w:rsidRPr="000B365D">
        <w:rPr>
          <w:rFonts w:ascii="Tahoma" w:eastAsiaTheme="minorHAnsi" w:hAnsi="Tahoma" w:cs="Tahoma"/>
          <w:sz w:val="22"/>
          <w:szCs w:val="22"/>
        </w:rPr>
        <w:t>nM</w:t>
      </w:r>
      <w:proofErr w:type="spellEnd"/>
      <w:r w:rsidRPr="000B365D">
        <w:rPr>
          <w:rFonts w:ascii="Tahoma" w:eastAsiaTheme="minorHAnsi" w:hAnsi="Tahoma" w:cs="Tahoma"/>
          <w:sz w:val="22"/>
          <w:szCs w:val="22"/>
        </w:rPr>
        <w:t xml:space="preserve"> were 3.64, −1757, 8.33, 11.8, and 11.8, respectively</w:t>
      </w:r>
      <w:r w:rsidR="00C01B47">
        <w:rPr>
          <w:rFonts w:ascii="Tahoma" w:eastAsiaTheme="minorHAnsi" w:hAnsi="Tahoma" w:cs="Tahoma"/>
          <w:sz w:val="22"/>
          <w:szCs w:val="22"/>
        </w:rPr>
        <w:t xml:space="preserve">. </w:t>
      </w:r>
    </w:p>
    <w:p w14:paraId="1F5C1E9A" w14:textId="77777777" w:rsidR="006441EC" w:rsidRDefault="006441EC" w:rsidP="005F0EAC">
      <w:pPr>
        <w:spacing w:after="160" w:line="480" w:lineRule="auto"/>
        <w:rPr>
          <w:rFonts w:ascii="Tahoma" w:eastAsiaTheme="minorHAnsi" w:hAnsi="Tahoma" w:cs="Tahoma"/>
          <w:b/>
          <w:sz w:val="22"/>
          <w:szCs w:val="22"/>
        </w:rPr>
      </w:pPr>
    </w:p>
    <w:p w14:paraId="095453B8" w14:textId="09C68154" w:rsidR="005F0EAC" w:rsidRDefault="005F0EAC" w:rsidP="005F0EAC">
      <w:pPr>
        <w:spacing w:after="160" w:line="480" w:lineRule="auto"/>
        <w:rPr>
          <w:rFonts w:ascii="Tahoma" w:eastAsiaTheme="minorHAnsi" w:hAnsi="Tahoma" w:cs="Tahoma"/>
          <w:b/>
          <w:sz w:val="22"/>
          <w:szCs w:val="22"/>
        </w:rPr>
      </w:pPr>
      <w:r w:rsidRPr="005F0EAC">
        <w:rPr>
          <w:rFonts w:ascii="Tahoma" w:eastAsiaTheme="minorHAnsi" w:hAnsi="Tahoma" w:cs="Tahoma"/>
          <w:b/>
          <w:sz w:val="22"/>
          <w:szCs w:val="22"/>
        </w:rPr>
        <w:t>References</w:t>
      </w:r>
    </w:p>
    <w:p w14:paraId="6CD71D97" w14:textId="35263668" w:rsidR="005F0EAC" w:rsidRPr="006441EC" w:rsidRDefault="006441EC" w:rsidP="006441EC">
      <w:pPr>
        <w:pStyle w:val="ListParagraph"/>
        <w:numPr>
          <w:ilvl w:val="0"/>
          <w:numId w:val="1"/>
        </w:numPr>
        <w:spacing w:after="160" w:line="480" w:lineRule="auto"/>
        <w:rPr>
          <w:rFonts w:ascii="Tahoma" w:eastAsiaTheme="minorHAnsi" w:hAnsi="Tahoma" w:cs="Tahoma"/>
          <w:sz w:val="22"/>
          <w:szCs w:val="22"/>
        </w:rPr>
      </w:pPr>
      <w:bookmarkStart w:id="0" w:name="_GoBack"/>
      <w:bookmarkEnd w:id="0"/>
      <w:r w:rsidRPr="006441EC">
        <w:rPr>
          <w:rFonts w:ascii="Tahoma" w:eastAsiaTheme="minorHAnsi" w:hAnsi="Tahoma" w:cs="Tahoma"/>
          <w:sz w:val="22"/>
          <w:szCs w:val="22"/>
        </w:rPr>
        <w:t>American Diabetes Association. Standards of Medical Care in Diabetes—2009. Diabetes Care 32 (Supplement 1)</w:t>
      </w:r>
    </w:p>
    <w:sectPr w:rsidR="005F0EAC" w:rsidRPr="00644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163AB"/>
    <w:multiLevelType w:val="hybridMultilevel"/>
    <w:tmpl w:val="920A0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8FB"/>
    <w:rsid w:val="0003341C"/>
    <w:rsid w:val="00065A52"/>
    <w:rsid w:val="000959B2"/>
    <w:rsid w:val="000B365D"/>
    <w:rsid w:val="00135D60"/>
    <w:rsid w:val="002F2645"/>
    <w:rsid w:val="005F0EAC"/>
    <w:rsid w:val="006441EC"/>
    <w:rsid w:val="0085386E"/>
    <w:rsid w:val="00A15FEE"/>
    <w:rsid w:val="00AC28FB"/>
    <w:rsid w:val="00BF0770"/>
    <w:rsid w:val="00C01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5F200"/>
  <w15:chartTrackingRefBased/>
  <w15:docId w15:val="{E7F51DDB-8D08-459E-9B8E-2C11BA956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C28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C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35D60"/>
    <w:rPr>
      <w:sz w:val="16"/>
      <w:szCs w:val="16"/>
    </w:rPr>
  </w:style>
  <w:style w:type="paragraph" w:styleId="CommentText">
    <w:name w:val="annotation text"/>
    <w:basedOn w:val="Normal"/>
    <w:link w:val="CommentTextChar"/>
    <w:uiPriority w:val="99"/>
    <w:semiHidden/>
    <w:unhideWhenUsed/>
    <w:rsid w:val="00135D60"/>
    <w:rPr>
      <w:sz w:val="20"/>
      <w:szCs w:val="20"/>
    </w:rPr>
  </w:style>
  <w:style w:type="character" w:customStyle="1" w:styleId="CommentTextChar">
    <w:name w:val="Comment Text Char"/>
    <w:basedOn w:val="DefaultParagraphFont"/>
    <w:link w:val="CommentText"/>
    <w:uiPriority w:val="99"/>
    <w:semiHidden/>
    <w:rsid w:val="00135D6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5D60"/>
    <w:rPr>
      <w:b/>
      <w:bCs/>
    </w:rPr>
  </w:style>
  <w:style w:type="character" w:customStyle="1" w:styleId="CommentSubjectChar">
    <w:name w:val="Comment Subject Char"/>
    <w:basedOn w:val="CommentTextChar"/>
    <w:link w:val="CommentSubject"/>
    <w:uiPriority w:val="99"/>
    <w:semiHidden/>
    <w:rsid w:val="00135D6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35D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D60"/>
    <w:rPr>
      <w:rFonts w:ascii="Segoe UI" w:eastAsia="Times New Roman" w:hAnsi="Segoe UI" w:cs="Segoe UI"/>
      <w:sz w:val="18"/>
      <w:szCs w:val="18"/>
    </w:rPr>
  </w:style>
  <w:style w:type="paragraph" w:styleId="ListParagraph">
    <w:name w:val="List Paragraph"/>
    <w:basedOn w:val="Normal"/>
    <w:uiPriority w:val="34"/>
    <w:qFormat/>
    <w:rsid w:val="00644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Liqing Xiao</dc:creator>
  <cp:keywords/>
  <dc:description/>
  <cp:lastModifiedBy>Liqing Xiao</cp:lastModifiedBy>
  <cp:revision>11</cp:revision>
  <dcterms:created xsi:type="dcterms:W3CDTF">2016-08-31T15:49:00Z</dcterms:created>
  <dcterms:modified xsi:type="dcterms:W3CDTF">2016-09-07T17:21:00Z</dcterms:modified>
</cp:coreProperties>
</file>