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517" w:rsidRDefault="00FC1517" w:rsidP="00FC1517">
      <w:pPr>
        <w:spacing w:line="480" w:lineRule="auto"/>
        <w:ind w:right="162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European Journal of Clinical Pharmacology</w:t>
      </w:r>
    </w:p>
    <w:p w:rsidR="00FC1517" w:rsidRDefault="00FC1517" w:rsidP="00FC1517">
      <w:pPr>
        <w:spacing w:line="480" w:lineRule="auto"/>
        <w:ind w:right="162"/>
        <w:rPr>
          <w:rFonts w:ascii="Tahoma" w:hAnsi="Tahoma" w:cs="Tahoma"/>
          <w:b/>
          <w:sz w:val="22"/>
          <w:szCs w:val="22"/>
        </w:rPr>
      </w:pPr>
    </w:p>
    <w:p w:rsidR="00FC1517" w:rsidRPr="00900681" w:rsidRDefault="00FC1517" w:rsidP="00FC1517">
      <w:pPr>
        <w:spacing w:line="480" w:lineRule="auto"/>
        <w:ind w:right="162"/>
        <w:rPr>
          <w:b/>
          <w:sz w:val="22"/>
          <w:szCs w:val="22"/>
        </w:rPr>
      </w:pPr>
      <w:r w:rsidRPr="00900681">
        <w:rPr>
          <w:rFonts w:ascii="Tahoma" w:hAnsi="Tahoma" w:cs="Tahoma"/>
          <w:b/>
          <w:sz w:val="22"/>
          <w:szCs w:val="22"/>
        </w:rPr>
        <w:t>The Pharmacokinetic</w:t>
      </w:r>
      <w:r>
        <w:rPr>
          <w:rFonts w:ascii="Tahoma" w:hAnsi="Tahoma" w:cs="Tahoma"/>
          <w:b/>
          <w:sz w:val="22"/>
          <w:szCs w:val="22"/>
        </w:rPr>
        <w:t>s</w:t>
      </w:r>
      <w:r w:rsidRPr="00900681">
        <w:rPr>
          <w:rFonts w:ascii="Tahoma" w:hAnsi="Tahoma" w:cs="Tahoma"/>
          <w:b/>
          <w:sz w:val="22"/>
          <w:szCs w:val="22"/>
        </w:rPr>
        <w:t xml:space="preserve"> and Pharmacodynamics of Alogliptin in Children, Adolescents, and Adults with Type 2 Diabetes Mellitus</w:t>
      </w: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FC1517" w:rsidRDefault="00FC1517" w:rsidP="00FC1517">
      <w:pPr>
        <w:spacing w:line="276" w:lineRule="auto"/>
        <w:ind w:right="162"/>
        <w:outlineLvl w:val="0"/>
        <w:rPr>
          <w:rFonts w:ascii="Tahoma" w:hAnsi="Tahoma" w:cs="Tahoma"/>
        </w:rPr>
      </w:pPr>
      <w:r w:rsidRPr="00CB6F81">
        <w:rPr>
          <w:rFonts w:ascii="Tahoma" w:hAnsi="Tahoma" w:cs="Tahoma"/>
          <w:sz w:val="22"/>
          <w:szCs w:val="22"/>
        </w:rPr>
        <w:t xml:space="preserve">Caroline Dudkowski, Max Tsai, </w:t>
      </w:r>
      <w:r>
        <w:rPr>
          <w:rFonts w:ascii="Tahoma" w:hAnsi="Tahoma" w:cs="Tahoma"/>
          <w:sz w:val="22"/>
          <w:szCs w:val="22"/>
        </w:rPr>
        <w:t>Jie</w:t>
      </w:r>
      <w:r w:rsidRPr="00CB6F81">
        <w:rPr>
          <w:rFonts w:ascii="Tahoma" w:hAnsi="Tahoma" w:cs="Tahoma"/>
          <w:sz w:val="22"/>
          <w:szCs w:val="22"/>
        </w:rPr>
        <w:t xml:space="preserve"> Liu, Zhen Zhao, </w:t>
      </w:r>
      <w:r>
        <w:rPr>
          <w:rFonts w:ascii="Tahoma" w:hAnsi="Tahoma" w:cs="Tahoma"/>
          <w:sz w:val="22"/>
          <w:szCs w:val="22"/>
        </w:rPr>
        <w:t xml:space="preserve">Eric Schmidt, </w:t>
      </w:r>
      <w:r w:rsidRPr="00CB6F81">
        <w:rPr>
          <w:rFonts w:ascii="Tahoma" w:hAnsi="Tahoma" w:cs="Tahoma"/>
          <w:sz w:val="22"/>
          <w:szCs w:val="22"/>
        </w:rPr>
        <w:t xml:space="preserve">Jeannie Xie </w:t>
      </w:r>
    </w:p>
    <w:p w:rsidR="00FC1517" w:rsidRPr="00F059C0" w:rsidRDefault="00FC1517" w:rsidP="00FC1517">
      <w:pPr>
        <w:spacing w:after="200" w:line="276" w:lineRule="auto"/>
        <w:rPr>
          <w:rFonts w:ascii="Tahoma" w:hAnsi="Tahoma" w:cs="Tahoma"/>
          <w:strike/>
          <w:sz w:val="22"/>
          <w:szCs w:val="22"/>
        </w:rPr>
      </w:pP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371F6A">
        <w:rPr>
          <w:rFonts w:ascii="Tahoma" w:hAnsi="Tahoma" w:cs="Tahoma"/>
          <w:sz w:val="22"/>
          <w:szCs w:val="22"/>
        </w:rPr>
        <w:t>Takeda Development Center Americas</w:t>
      </w:r>
      <w:r>
        <w:rPr>
          <w:rFonts w:ascii="Tahoma" w:hAnsi="Tahoma" w:cs="Tahoma"/>
          <w:sz w:val="22"/>
          <w:szCs w:val="22"/>
        </w:rPr>
        <w:t>, Inc.</w:t>
      </w: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One Takeda Parkway</w:t>
      </w: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Deerfield, IL 60015</w:t>
      </w: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Corresponding author:</w:t>
      </w: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Caroline Dudkowski</w:t>
      </w:r>
    </w:p>
    <w:p w:rsidR="00FC1517" w:rsidRPr="005E7A68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5E7A68">
        <w:rPr>
          <w:rFonts w:ascii="Tahoma" w:hAnsi="Tahoma" w:cs="Tahoma"/>
          <w:sz w:val="22"/>
          <w:szCs w:val="22"/>
        </w:rPr>
        <w:t>Takeda Pharmaceuticals U.S.A</w:t>
      </w:r>
      <w:r>
        <w:rPr>
          <w:rFonts w:ascii="Tahoma" w:hAnsi="Tahoma" w:cs="Tahoma"/>
          <w:sz w:val="22"/>
          <w:szCs w:val="22"/>
        </w:rPr>
        <w:t>., Inc.</w:t>
      </w:r>
    </w:p>
    <w:p w:rsidR="00FC1517" w:rsidRPr="005E7A68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One Takeda Parkway</w:t>
      </w: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5E7A68">
        <w:rPr>
          <w:rFonts w:ascii="Tahoma" w:hAnsi="Tahoma" w:cs="Tahoma"/>
          <w:sz w:val="22"/>
          <w:szCs w:val="22"/>
        </w:rPr>
        <w:t>Deerfield, IL 60015</w:t>
      </w:r>
    </w:p>
    <w:p w:rsidR="00FC1517" w:rsidRPr="004F6FC8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4F6FC8">
        <w:rPr>
          <w:rFonts w:ascii="Tahoma" w:hAnsi="Tahoma" w:cs="Tahoma"/>
          <w:sz w:val="22"/>
          <w:szCs w:val="22"/>
        </w:rPr>
        <w:t xml:space="preserve">Email: caroline.dudkowski@takeda.com </w:t>
      </w:r>
    </w:p>
    <w:p w:rsidR="00FC1517" w:rsidRPr="004F6FC8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4F6FC8">
        <w:rPr>
          <w:rFonts w:ascii="Tahoma" w:hAnsi="Tahoma" w:cs="Tahoma"/>
          <w:sz w:val="22"/>
          <w:szCs w:val="22"/>
        </w:rPr>
        <w:t>Telephone:</w:t>
      </w:r>
      <w:r>
        <w:rPr>
          <w:rFonts w:ascii="Tahoma" w:hAnsi="Tahoma" w:cs="Tahoma"/>
          <w:sz w:val="22"/>
          <w:szCs w:val="22"/>
        </w:rPr>
        <w:t xml:space="preserve"> 224-554-2005</w:t>
      </w:r>
    </w:p>
    <w:p w:rsidR="00FC1517" w:rsidRDefault="00FC1517" w:rsidP="00FC151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Fax: 224-554-7933</w:t>
      </w:r>
    </w:p>
    <w:p w:rsidR="00FC1517" w:rsidRDefault="00FC1517">
      <w:pPr>
        <w:spacing w:after="160" w:line="259" w:lineRule="auto"/>
        <w:rPr>
          <w:rFonts w:ascii="Tahoma" w:eastAsiaTheme="minorHAnsi" w:hAnsi="Tahoma" w:cs="Tahoma"/>
          <w:b/>
          <w:sz w:val="22"/>
          <w:szCs w:val="22"/>
        </w:rPr>
      </w:pPr>
      <w:bookmarkStart w:id="0" w:name="_GoBack"/>
      <w:bookmarkEnd w:id="0"/>
      <w:r>
        <w:rPr>
          <w:rFonts w:ascii="Tahoma" w:eastAsiaTheme="minorHAnsi" w:hAnsi="Tahoma" w:cs="Tahoma"/>
          <w:b/>
          <w:sz w:val="22"/>
          <w:szCs w:val="22"/>
        </w:rPr>
        <w:br w:type="page"/>
      </w:r>
    </w:p>
    <w:p w:rsidR="00FC1517" w:rsidRDefault="00FC1517" w:rsidP="00FC1517">
      <w:pPr>
        <w:spacing w:after="200" w:line="360" w:lineRule="auto"/>
        <w:rPr>
          <w:rFonts w:ascii="Tahoma" w:eastAsiaTheme="minorHAnsi" w:hAnsi="Tahoma" w:cs="Tahoma"/>
          <w:sz w:val="22"/>
          <w:szCs w:val="22"/>
        </w:rPr>
      </w:pPr>
      <w:r>
        <w:rPr>
          <w:rFonts w:ascii="Tahoma" w:eastAsiaTheme="minorHAnsi" w:hAnsi="Tahoma" w:cs="Tahoma"/>
          <w:b/>
          <w:sz w:val="22"/>
          <w:szCs w:val="22"/>
        </w:rPr>
        <w:lastRenderedPageBreak/>
        <w:t>Supplemental Fig.</w:t>
      </w:r>
      <w:r w:rsidRPr="001B2A83">
        <w:rPr>
          <w:rFonts w:ascii="Tahoma" w:eastAsiaTheme="minorHAnsi" w:hAnsi="Tahoma" w:cs="Tahoma"/>
          <w:b/>
          <w:sz w:val="22"/>
          <w:szCs w:val="22"/>
        </w:rPr>
        <w:t xml:space="preserve"> 2</w:t>
      </w:r>
      <w:r>
        <w:rPr>
          <w:rFonts w:ascii="Tahoma" w:eastAsiaTheme="minorHAnsi" w:hAnsi="Tahoma" w:cs="Tahoma"/>
          <w:sz w:val="22"/>
          <w:szCs w:val="22"/>
        </w:rPr>
        <w:t xml:space="preserve"> </w:t>
      </w:r>
      <w:r w:rsidRPr="001B2A83">
        <w:rPr>
          <w:rFonts w:ascii="Tahoma" w:eastAsiaTheme="minorHAnsi" w:hAnsi="Tahoma" w:cs="Tahoma"/>
          <w:sz w:val="22"/>
          <w:szCs w:val="22"/>
        </w:rPr>
        <w:t xml:space="preserve">Visual Predictive Check for Final </w:t>
      </w:r>
      <w:r>
        <w:rPr>
          <w:rFonts w:ascii="Tahoma" w:eastAsiaTheme="minorHAnsi" w:hAnsi="Tahoma" w:cs="Tahoma"/>
          <w:sz w:val="22"/>
          <w:szCs w:val="22"/>
        </w:rPr>
        <w:t>Pharmacokinetic (left panel) and Pharmacodynamic</w:t>
      </w:r>
      <w:r w:rsidRPr="001B2A83">
        <w:rPr>
          <w:rFonts w:ascii="Tahoma" w:eastAsiaTheme="minorHAnsi" w:hAnsi="Tahoma" w:cs="Tahoma"/>
          <w:sz w:val="22"/>
          <w:szCs w:val="22"/>
        </w:rPr>
        <w:t xml:space="preserve"> (right panel) for </w:t>
      </w:r>
      <w:r>
        <w:rPr>
          <w:rFonts w:ascii="Tahoma" w:eastAsiaTheme="minorHAnsi" w:hAnsi="Tahoma" w:cs="Tahoma"/>
          <w:sz w:val="22"/>
          <w:szCs w:val="22"/>
        </w:rPr>
        <w:t xml:space="preserve">the </w:t>
      </w:r>
      <w:r w:rsidRPr="001B2A83">
        <w:rPr>
          <w:rFonts w:ascii="Tahoma" w:eastAsiaTheme="minorHAnsi" w:hAnsi="Tahoma" w:cs="Tahoma"/>
          <w:sz w:val="22"/>
          <w:szCs w:val="22"/>
        </w:rPr>
        <w:t>Model</w:t>
      </w:r>
      <w:r>
        <w:rPr>
          <w:rFonts w:ascii="Tahoma" w:eastAsiaTheme="minorHAnsi" w:hAnsi="Tahoma" w:cs="Tahoma"/>
          <w:sz w:val="22"/>
          <w:szCs w:val="22"/>
        </w:rPr>
        <w:t xml:space="preserve">. </w:t>
      </w:r>
      <w:r w:rsidRPr="001B2A83">
        <w:rPr>
          <w:rFonts w:ascii="Tahoma" w:eastAsiaTheme="minorHAnsi" w:hAnsi="Tahoma" w:cs="Tahoma"/>
          <w:sz w:val="22"/>
          <w:szCs w:val="22"/>
        </w:rPr>
        <w:t xml:space="preserve">PD, pharmacodynamic; </w:t>
      </w:r>
      <w:r>
        <w:rPr>
          <w:rFonts w:ascii="Tahoma" w:eastAsiaTheme="minorHAnsi" w:hAnsi="Tahoma" w:cs="Tahoma"/>
          <w:sz w:val="22"/>
          <w:szCs w:val="22"/>
        </w:rPr>
        <w:t xml:space="preserve">Peds, pediatrics; </w:t>
      </w:r>
      <w:r w:rsidRPr="001B2A83">
        <w:rPr>
          <w:rFonts w:ascii="Tahoma" w:eastAsiaTheme="minorHAnsi" w:hAnsi="Tahoma" w:cs="Tahoma"/>
          <w:sz w:val="22"/>
          <w:szCs w:val="22"/>
        </w:rPr>
        <w:t>PK, pharmacokinetic</w:t>
      </w:r>
    </w:p>
    <w:p w:rsidR="00FC1517" w:rsidRPr="00810ED1" w:rsidRDefault="00FC1517" w:rsidP="00FC1517">
      <w:pPr>
        <w:spacing w:after="200" w:line="276" w:lineRule="auto"/>
        <w:rPr>
          <w:rFonts w:ascii="Tahoma" w:eastAsiaTheme="minorHAnsi" w:hAnsi="Tahoma" w:cs="Tahoma"/>
          <w:sz w:val="22"/>
          <w:szCs w:val="22"/>
        </w:rPr>
      </w:pPr>
      <w:r>
        <w:rPr>
          <w:rFonts w:ascii="Tahoma" w:eastAsiaTheme="minorHAnsi" w:hAnsi="Tahoma" w:cs="Tahoma"/>
          <w:noProof/>
          <w:sz w:val="22"/>
          <w:szCs w:val="22"/>
        </w:rPr>
        <w:drawing>
          <wp:inline distT="0" distB="0" distL="0" distR="0" wp14:anchorId="784B5A8E" wp14:editId="7DDDF97C">
            <wp:extent cx="2743200" cy="1841988"/>
            <wp:effectExtent l="19050" t="0" r="0" b="0"/>
            <wp:docPr id="17" name="Picture 16" descr="vpc-r14328-direct_PKPD_pedsCL-KA_v1-t1-p380-s1-001_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pc-r14328-direct_PKPD_pedsCL-KA_v1-t1-p380-s1-001_l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Theme="minorHAnsi" w:hAnsi="Tahoma" w:cs="Tahoma"/>
          <w:noProof/>
          <w:sz w:val="22"/>
          <w:szCs w:val="22"/>
        </w:rPr>
        <w:drawing>
          <wp:inline distT="0" distB="0" distL="0" distR="0" wp14:anchorId="47B90CA6" wp14:editId="212706DC">
            <wp:extent cx="2743200" cy="1841988"/>
            <wp:effectExtent l="19050" t="0" r="0" b="0"/>
            <wp:docPr id="24" name="Picture 19" descr="vpc-r14328-direct_PKPD_pedsCL-KA_v1-t1-p380-s4-001_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pc-r14328-direct_PKPD_pedsCL-KA_v1-t1-p380-s4-001_l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Theme="minorHAnsi" w:hAnsi="Tahoma" w:cs="Tahoma"/>
          <w:noProof/>
          <w:sz w:val="22"/>
          <w:szCs w:val="22"/>
        </w:rPr>
        <w:drawing>
          <wp:inline distT="0" distB="0" distL="0" distR="0" wp14:anchorId="713EF57E" wp14:editId="175CDF3B">
            <wp:extent cx="2743200" cy="1841988"/>
            <wp:effectExtent l="19050" t="0" r="0" b="0"/>
            <wp:docPr id="28" name="Picture 17" descr="vpc-r14328-direct_PKPD_pedsCL-KA_v1-t1-p380-s2-001_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pc-r14328-direct_PKPD_pedsCL-KA_v1-t1-p380-s2-001_l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Theme="minorHAnsi" w:hAnsi="Tahoma" w:cs="Tahoma"/>
          <w:noProof/>
          <w:sz w:val="22"/>
          <w:szCs w:val="22"/>
        </w:rPr>
        <w:drawing>
          <wp:inline distT="0" distB="0" distL="0" distR="0" wp14:anchorId="60ECA908" wp14:editId="721D867F">
            <wp:extent cx="2743200" cy="1841988"/>
            <wp:effectExtent l="19050" t="0" r="0" b="0"/>
            <wp:docPr id="25" name="Picture 20" descr="vpc-r14328-direct_PKPD_pedsCL-KA_v1-t1-p380-s5-001_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pc-r14328-direct_PKPD_pedsCL-KA_v1-t1-p380-s5-001_l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Theme="minorHAnsi" w:hAnsi="Tahoma" w:cs="Tahoma"/>
          <w:noProof/>
          <w:sz w:val="22"/>
          <w:szCs w:val="22"/>
        </w:rPr>
        <w:drawing>
          <wp:inline distT="0" distB="0" distL="0" distR="0" wp14:anchorId="71BDBA3C" wp14:editId="169E72A1">
            <wp:extent cx="2743200" cy="1841988"/>
            <wp:effectExtent l="19050" t="0" r="0" b="0"/>
            <wp:docPr id="19" name="Picture 18" descr="vpc-r14328-direct_PKPD_pedsCL-KA_v1-t1-p380-s3-001_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pc-r14328-direct_PKPD_pedsCL-KA_v1-t1-p380-s3-001_l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Theme="minorHAnsi" w:hAnsi="Tahoma" w:cs="Tahoma"/>
          <w:noProof/>
          <w:sz w:val="22"/>
          <w:szCs w:val="22"/>
        </w:rPr>
        <w:drawing>
          <wp:inline distT="0" distB="0" distL="0" distR="0" wp14:anchorId="57A05471" wp14:editId="3CD4579B">
            <wp:extent cx="2743200" cy="1841988"/>
            <wp:effectExtent l="19050" t="0" r="0" b="0"/>
            <wp:docPr id="22" name="Picture 21" descr="vpc-r14328-direct_PKPD_pedsCL-KA_v1-t1-p380-s6-001_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pc-r14328-direct_PKPD_pedsCL-KA_v1-t1-p380-s6-001_l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9B2" w:rsidRDefault="000959B2"/>
    <w:sectPr w:rsidR="000959B2" w:rsidSect="00037F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17"/>
    <w:rsid w:val="000959B2"/>
    <w:rsid w:val="00FC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C574F-CF9E-4DC5-9924-E65F612D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C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Liqing Xiao</dc:creator>
  <cp:keywords/>
  <dc:description/>
  <cp:lastModifiedBy>Liqing Xiao</cp:lastModifiedBy>
  <cp:revision>1</cp:revision>
  <dcterms:created xsi:type="dcterms:W3CDTF">2016-05-26T18:09:00Z</dcterms:created>
  <dcterms:modified xsi:type="dcterms:W3CDTF">2016-05-26T18:11:00Z</dcterms:modified>
</cp:coreProperties>
</file>