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2DB" w:rsidRDefault="00E402DB" w:rsidP="00E402DB">
      <w:pPr>
        <w:spacing w:line="480" w:lineRule="auto"/>
        <w:rPr>
          <w:rFonts w:ascii="Arial" w:eastAsiaTheme="majorEastAsia" w:hAnsi="Arial" w:cs="Arial"/>
          <w:b/>
          <w:bCs/>
          <w:sz w:val="20"/>
          <w:szCs w:val="20"/>
          <w:lang w:val="en-US"/>
        </w:rPr>
      </w:pPr>
      <w:bookmarkStart w:id="0" w:name="_GoBack"/>
      <w:bookmarkEnd w:id="0"/>
      <w:r>
        <w:rPr>
          <w:rFonts w:ascii="Arial" w:eastAsiaTheme="majorEastAsia" w:hAnsi="Arial" w:cs="Arial"/>
          <w:b/>
          <w:bCs/>
          <w:sz w:val="20"/>
          <w:szCs w:val="20"/>
          <w:lang w:val="en-US"/>
        </w:rPr>
        <w:t>Supplementary material</w:t>
      </w:r>
    </w:p>
    <w:p w:rsidR="00E402DB" w:rsidRPr="00BD2869" w:rsidRDefault="00E402DB" w:rsidP="00E402DB">
      <w:pPr>
        <w:spacing w:line="480" w:lineRule="auto"/>
        <w:rPr>
          <w:rFonts w:ascii="Arial" w:eastAsiaTheme="majorEastAsia" w:hAnsi="Arial" w:cs="Arial"/>
          <w:b/>
          <w:bCs/>
          <w:sz w:val="20"/>
          <w:szCs w:val="20"/>
          <w:lang w:val="en-US"/>
        </w:rPr>
      </w:pPr>
      <w:r w:rsidRPr="00BD2869">
        <w:rPr>
          <w:rFonts w:ascii="Arial" w:eastAsiaTheme="majorEastAsia" w:hAnsi="Arial" w:cs="Arial"/>
          <w:b/>
          <w:bCs/>
          <w:sz w:val="20"/>
          <w:szCs w:val="20"/>
          <w:lang w:val="en-US"/>
        </w:rPr>
        <w:t xml:space="preserve">High tacrolimus blood concentrations early after lung transplantation and the risk of kidney injury </w:t>
      </w:r>
    </w:p>
    <w:p w:rsidR="00E402DB" w:rsidRPr="00247D00" w:rsidRDefault="00E402DB" w:rsidP="00E402DB">
      <w:pPr>
        <w:spacing w:line="480" w:lineRule="auto"/>
        <w:rPr>
          <w:rFonts w:ascii="Arial" w:eastAsiaTheme="majorEastAsia" w:hAnsi="Arial" w:cs="Arial"/>
          <w:b/>
          <w:bCs/>
          <w:sz w:val="20"/>
          <w:szCs w:val="20"/>
        </w:rPr>
      </w:pPr>
      <w:r w:rsidRPr="00247D00">
        <w:rPr>
          <w:rFonts w:ascii="Arial" w:eastAsiaTheme="majorEastAsia" w:hAnsi="Arial" w:cs="Arial"/>
          <w:b/>
          <w:bCs/>
          <w:sz w:val="20"/>
          <w:szCs w:val="20"/>
        </w:rPr>
        <w:t>M. A. Sikma</w:t>
      </w:r>
      <w:r w:rsidRPr="00247D00">
        <w:rPr>
          <w:rFonts w:ascii="Arial" w:eastAsiaTheme="majorEastAsia" w:hAnsi="Arial" w:cs="Arial"/>
          <w:b/>
          <w:bCs/>
          <w:sz w:val="20"/>
          <w:szCs w:val="20"/>
          <w:vertAlign w:val="superscript"/>
        </w:rPr>
        <w:t>1,2</w:t>
      </w:r>
      <w:r w:rsidRPr="00247D00">
        <w:rPr>
          <w:rFonts w:ascii="Arial" w:eastAsiaTheme="majorEastAsia" w:hAnsi="Arial" w:cs="Arial"/>
          <w:b/>
          <w:bCs/>
          <w:sz w:val="20"/>
          <w:szCs w:val="20"/>
        </w:rPr>
        <w:t>, C. C. Hunault</w:t>
      </w:r>
      <w:r w:rsidRPr="00247D00">
        <w:rPr>
          <w:rFonts w:ascii="Arial" w:eastAsiaTheme="majorEastAsia" w:hAnsi="Arial" w:cs="Arial"/>
          <w:b/>
          <w:bCs/>
          <w:sz w:val="20"/>
          <w:szCs w:val="20"/>
          <w:vertAlign w:val="superscript"/>
        </w:rPr>
        <w:t>2</w:t>
      </w:r>
      <w:r w:rsidRPr="00247D00">
        <w:rPr>
          <w:rFonts w:ascii="Arial" w:eastAsiaTheme="majorEastAsia" w:hAnsi="Arial" w:cs="Arial"/>
          <w:b/>
          <w:bCs/>
          <w:sz w:val="20"/>
          <w:szCs w:val="20"/>
        </w:rPr>
        <w:t>, E. A. van de Graaf</w:t>
      </w:r>
      <w:r w:rsidRPr="00247D00">
        <w:rPr>
          <w:rFonts w:ascii="Arial" w:eastAsiaTheme="majorEastAsia" w:hAnsi="Arial" w:cs="Arial"/>
          <w:b/>
          <w:bCs/>
          <w:sz w:val="20"/>
          <w:szCs w:val="20"/>
          <w:vertAlign w:val="superscript"/>
        </w:rPr>
        <w:t>3</w:t>
      </w:r>
      <w:r w:rsidRPr="00247D00">
        <w:rPr>
          <w:rFonts w:ascii="Arial" w:eastAsiaTheme="majorEastAsia" w:hAnsi="Arial" w:cs="Arial"/>
          <w:b/>
          <w:bCs/>
          <w:sz w:val="20"/>
          <w:szCs w:val="20"/>
        </w:rPr>
        <w:t>, M. C. Verhaar</w:t>
      </w:r>
      <w:r w:rsidRPr="00247D00">
        <w:rPr>
          <w:rFonts w:ascii="Arial" w:eastAsiaTheme="majorEastAsia" w:hAnsi="Arial" w:cs="Arial"/>
          <w:b/>
          <w:bCs/>
          <w:sz w:val="20"/>
          <w:szCs w:val="20"/>
          <w:vertAlign w:val="superscript"/>
        </w:rPr>
        <w:t>4</w:t>
      </w:r>
      <w:r w:rsidRPr="00247D00">
        <w:rPr>
          <w:rFonts w:ascii="Arial" w:eastAsiaTheme="majorEastAsia" w:hAnsi="Arial" w:cs="Arial"/>
          <w:b/>
          <w:bCs/>
          <w:sz w:val="20"/>
          <w:szCs w:val="20"/>
        </w:rPr>
        <w:t>, J. Kesecioglu</w:t>
      </w:r>
      <w:r w:rsidRPr="00247D00">
        <w:rPr>
          <w:rFonts w:ascii="Arial" w:eastAsiaTheme="majorEastAsia" w:hAnsi="Arial" w:cs="Arial"/>
          <w:b/>
          <w:bCs/>
          <w:sz w:val="20"/>
          <w:szCs w:val="20"/>
          <w:vertAlign w:val="superscript"/>
        </w:rPr>
        <w:t>1</w:t>
      </w:r>
      <w:r w:rsidRPr="00247D00">
        <w:rPr>
          <w:rFonts w:ascii="Arial" w:eastAsiaTheme="majorEastAsia" w:hAnsi="Arial" w:cs="Arial"/>
          <w:b/>
          <w:bCs/>
          <w:sz w:val="20"/>
          <w:szCs w:val="20"/>
        </w:rPr>
        <w:t>, D. W. de Lange</w:t>
      </w:r>
      <w:r w:rsidRPr="00247D00">
        <w:rPr>
          <w:rFonts w:ascii="Arial" w:eastAsiaTheme="majorEastAsia" w:hAnsi="Arial" w:cs="Arial"/>
          <w:b/>
          <w:bCs/>
          <w:sz w:val="20"/>
          <w:szCs w:val="20"/>
          <w:vertAlign w:val="superscript"/>
        </w:rPr>
        <w:t>1,2</w:t>
      </w:r>
      <w:r w:rsidRPr="00247D00">
        <w:rPr>
          <w:rFonts w:ascii="Arial" w:eastAsiaTheme="majorEastAsia" w:hAnsi="Arial" w:cs="Arial"/>
          <w:b/>
          <w:bCs/>
          <w:sz w:val="20"/>
          <w:szCs w:val="20"/>
        </w:rPr>
        <w:t>, J. Meulenbelt</w:t>
      </w:r>
      <w:r w:rsidRPr="00247D00">
        <w:rPr>
          <w:rFonts w:ascii="Arial" w:eastAsiaTheme="majorEastAsia" w:hAnsi="Arial" w:cs="Arial"/>
          <w:b/>
          <w:bCs/>
          <w:sz w:val="20"/>
          <w:szCs w:val="20"/>
          <w:vertAlign w:val="superscript"/>
        </w:rPr>
        <w:t>1,2,5</w:t>
      </w:r>
      <w:r w:rsidRPr="00247D00">
        <w:rPr>
          <w:rFonts w:ascii="Arial" w:eastAsiaTheme="majorEastAsia" w:hAnsi="Arial" w:cs="Arial"/>
          <w:b/>
          <w:bCs/>
          <w:sz w:val="20"/>
          <w:szCs w:val="20"/>
        </w:rPr>
        <w:t>†</w:t>
      </w:r>
    </w:p>
    <w:p w:rsidR="00E402DB" w:rsidRPr="00247D00" w:rsidRDefault="00E402DB" w:rsidP="00E402DB">
      <w:pPr>
        <w:spacing w:line="480" w:lineRule="auto"/>
        <w:rPr>
          <w:rFonts w:ascii="Arial" w:eastAsiaTheme="majorEastAsia" w:hAnsi="Arial" w:cs="Arial"/>
          <w:b/>
          <w:bCs/>
          <w:sz w:val="20"/>
          <w:szCs w:val="20"/>
        </w:rPr>
      </w:pPr>
    </w:p>
    <w:p w:rsidR="00E402DB" w:rsidRPr="00BD2869" w:rsidRDefault="00E402DB" w:rsidP="00E402DB">
      <w:pPr>
        <w:tabs>
          <w:tab w:val="left" w:pos="993"/>
          <w:tab w:val="left" w:pos="1418"/>
        </w:tabs>
        <w:spacing w:line="480" w:lineRule="auto"/>
        <w:ind w:left="709"/>
        <w:rPr>
          <w:rFonts w:ascii="Arial" w:eastAsiaTheme="majorEastAsia" w:hAnsi="Arial" w:cs="Arial"/>
          <w:b/>
          <w:bCs/>
          <w:sz w:val="20"/>
          <w:szCs w:val="20"/>
          <w:lang w:val="en-US"/>
        </w:rPr>
      </w:pPr>
      <w:r w:rsidRPr="00BD2869">
        <w:rPr>
          <w:rFonts w:ascii="Arial" w:eastAsiaTheme="majorEastAsia" w:hAnsi="Arial" w:cs="Arial"/>
          <w:b/>
          <w:bCs/>
          <w:sz w:val="20"/>
          <w:szCs w:val="20"/>
          <w:lang w:val="en-US"/>
        </w:rPr>
        <w:t>1.</w:t>
      </w:r>
      <w:r w:rsidRPr="00BD2869">
        <w:rPr>
          <w:rFonts w:ascii="Arial" w:eastAsiaTheme="majorEastAsia" w:hAnsi="Arial" w:cs="Arial"/>
          <w:b/>
          <w:bCs/>
          <w:sz w:val="20"/>
          <w:szCs w:val="20"/>
          <w:lang w:val="en-US"/>
        </w:rPr>
        <w:tab/>
        <w:t>Department of Intensive Care Medicine, University Medical Center Utrecht, Utrecht, The Netherlands</w:t>
      </w:r>
    </w:p>
    <w:p w:rsidR="00E402DB" w:rsidRPr="00BD2869" w:rsidRDefault="00E402DB" w:rsidP="00E402DB">
      <w:pPr>
        <w:tabs>
          <w:tab w:val="left" w:pos="993"/>
          <w:tab w:val="left" w:pos="1418"/>
        </w:tabs>
        <w:spacing w:line="480" w:lineRule="auto"/>
        <w:ind w:left="709"/>
        <w:rPr>
          <w:rFonts w:ascii="Arial" w:eastAsiaTheme="majorEastAsia" w:hAnsi="Arial" w:cs="Arial"/>
          <w:b/>
          <w:bCs/>
          <w:sz w:val="20"/>
          <w:szCs w:val="20"/>
          <w:lang w:val="en-US"/>
        </w:rPr>
      </w:pPr>
      <w:r w:rsidRPr="00BD2869">
        <w:rPr>
          <w:rFonts w:ascii="Arial" w:eastAsiaTheme="majorEastAsia" w:hAnsi="Arial" w:cs="Arial"/>
          <w:b/>
          <w:bCs/>
          <w:sz w:val="20"/>
          <w:szCs w:val="20"/>
          <w:lang w:val="en-US"/>
        </w:rPr>
        <w:t>2.</w:t>
      </w:r>
      <w:r w:rsidRPr="00BD2869">
        <w:rPr>
          <w:rFonts w:ascii="Arial" w:eastAsiaTheme="majorEastAsia" w:hAnsi="Arial" w:cs="Arial"/>
          <w:b/>
          <w:bCs/>
          <w:sz w:val="20"/>
          <w:szCs w:val="20"/>
          <w:lang w:val="en-US"/>
        </w:rPr>
        <w:tab/>
        <w:t>Dutch Poisons Information Center, University Medical Center Utrecht, Utrecht, The Netherlands</w:t>
      </w:r>
    </w:p>
    <w:p w:rsidR="00E402DB" w:rsidRPr="00BD2869" w:rsidRDefault="00E402DB" w:rsidP="00E402DB">
      <w:pPr>
        <w:tabs>
          <w:tab w:val="left" w:pos="993"/>
          <w:tab w:val="left" w:pos="1418"/>
        </w:tabs>
        <w:spacing w:line="480" w:lineRule="auto"/>
        <w:ind w:left="709"/>
        <w:rPr>
          <w:rFonts w:ascii="Arial" w:eastAsiaTheme="majorEastAsia" w:hAnsi="Arial" w:cs="Arial"/>
          <w:b/>
          <w:bCs/>
          <w:sz w:val="20"/>
          <w:szCs w:val="20"/>
          <w:lang w:val="en-US"/>
        </w:rPr>
      </w:pPr>
      <w:r w:rsidRPr="00BD2869">
        <w:rPr>
          <w:rFonts w:ascii="Arial" w:eastAsiaTheme="majorEastAsia" w:hAnsi="Arial" w:cs="Arial"/>
          <w:b/>
          <w:bCs/>
          <w:sz w:val="20"/>
          <w:szCs w:val="20"/>
          <w:lang w:val="en-US"/>
        </w:rPr>
        <w:t>3.</w:t>
      </w:r>
      <w:r w:rsidRPr="00BD2869">
        <w:rPr>
          <w:rFonts w:ascii="Arial" w:eastAsiaTheme="majorEastAsia" w:hAnsi="Arial" w:cs="Arial"/>
          <w:b/>
          <w:bCs/>
          <w:sz w:val="20"/>
          <w:szCs w:val="20"/>
          <w:lang w:val="en-US"/>
        </w:rPr>
        <w:tab/>
        <w:t>Department of Lung Transplantation, University Medical Center Utrecht, Utrecht, The Netherlands</w:t>
      </w:r>
    </w:p>
    <w:p w:rsidR="00E402DB" w:rsidRPr="00BD2869" w:rsidRDefault="00E402DB" w:rsidP="00E402DB">
      <w:pPr>
        <w:tabs>
          <w:tab w:val="left" w:pos="993"/>
          <w:tab w:val="left" w:pos="1418"/>
        </w:tabs>
        <w:spacing w:line="480" w:lineRule="auto"/>
        <w:ind w:left="709"/>
        <w:rPr>
          <w:rFonts w:ascii="Arial" w:eastAsiaTheme="majorEastAsia" w:hAnsi="Arial" w:cs="Arial"/>
          <w:b/>
          <w:bCs/>
          <w:sz w:val="20"/>
          <w:szCs w:val="20"/>
          <w:lang w:val="en-US"/>
        </w:rPr>
      </w:pPr>
      <w:r w:rsidRPr="00BD2869">
        <w:rPr>
          <w:rFonts w:ascii="Arial" w:eastAsiaTheme="majorEastAsia" w:hAnsi="Arial" w:cs="Arial"/>
          <w:b/>
          <w:bCs/>
          <w:sz w:val="20"/>
          <w:szCs w:val="20"/>
          <w:lang w:val="en-US"/>
        </w:rPr>
        <w:t>4.</w:t>
      </w:r>
      <w:r w:rsidRPr="00BD2869">
        <w:rPr>
          <w:rFonts w:ascii="Arial" w:eastAsiaTheme="majorEastAsia" w:hAnsi="Arial" w:cs="Arial"/>
          <w:b/>
          <w:bCs/>
          <w:sz w:val="20"/>
          <w:szCs w:val="20"/>
          <w:lang w:val="en-US"/>
        </w:rPr>
        <w:tab/>
        <w:t>Department of Nephrology and Hypertension, University Medical Center Utrecht, Utrecht, the Netherlands</w:t>
      </w:r>
    </w:p>
    <w:p w:rsidR="00E402DB" w:rsidRPr="00BD2869" w:rsidRDefault="00E402DB" w:rsidP="00E402DB">
      <w:pPr>
        <w:tabs>
          <w:tab w:val="left" w:pos="993"/>
          <w:tab w:val="left" w:pos="1418"/>
        </w:tabs>
        <w:spacing w:line="480" w:lineRule="auto"/>
        <w:ind w:left="709"/>
        <w:rPr>
          <w:rFonts w:ascii="Arial" w:eastAsiaTheme="majorEastAsia" w:hAnsi="Arial" w:cs="Arial"/>
          <w:b/>
          <w:bCs/>
          <w:sz w:val="20"/>
          <w:szCs w:val="20"/>
          <w:lang w:val="en-US"/>
        </w:rPr>
      </w:pPr>
      <w:r w:rsidRPr="00BD2869">
        <w:rPr>
          <w:rFonts w:ascii="Arial" w:eastAsiaTheme="majorEastAsia" w:hAnsi="Arial" w:cs="Arial"/>
          <w:b/>
          <w:bCs/>
          <w:sz w:val="20"/>
          <w:szCs w:val="20"/>
          <w:lang w:val="en-US"/>
        </w:rPr>
        <w:t>5.</w:t>
      </w:r>
      <w:r w:rsidRPr="00BD2869">
        <w:rPr>
          <w:rFonts w:ascii="Arial" w:eastAsiaTheme="majorEastAsia" w:hAnsi="Arial" w:cs="Arial"/>
          <w:b/>
          <w:bCs/>
          <w:sz w:val="20"/>
          <w:szCs w:val="20"/>
          <w:lang w:val="en-US"/>
        </w:rPr>
        <w:tab/>
        <w:t>Institute for Risk Assessment Sciences, University Medical Center Utrecht, The Netherlands</w:t>
      </w:r>
    </w:p>
    <w:p w:rsidR="00E402DB" w:rsidRPr="003F3335" w:rsidRDefault="00E402DB" w:rsidP="00E402DB">
      <w:pPr>
        <w:spacing w:line="480" w:lineRule="auto"/>
        <w:ind w:left="709"/>
        <w:rPr>
          <w:rFonts w:ascii="Arial" w:eastAsiaTheme="majorEastAsia" w:hAnsi="Arial" w:cs="Arial"/>
          <w:b/>
          <w:bCs/>
          <w:sz w:val="20"/>
          <w:szCs w:val="20"/>
          <w:lang w:val="en-US"/>
        </w:rPr>
      </w:pPr>
      <w:r w:rsidRPr="003F3335">
        <w:rPr>
          <w:rFonts w:ascii="Arial" w:eastAsiaTheme="majorEastAsia" w:hAnsi="Arial" w:cs="Arial"/>
          <w:b/>
          <w:bCs/>
          <w:sz w:val="20"/>
          <w:szCs w:val="20"/>
          <w:lang w:val="en-US"/>
        </w:rPr>
        <w:t xml:space="preserve">† Prof. J </w:t>
      </w:r>
      <w:proofErr w:type="spellStart"/>
      <w:r w:rsidRPr="003F3335">
        <w:rPr>
          <w:rFonts w:ascii="Arial" w:eastAsiaTheme="majorEastAsia" w:hAnsi="Arial" w:cs="Arial"/>
          <w:b/>
          <w:bCs/>
          <w:sz w:val="20"/>
          <w:szCs w:val="20"/>
          <w:lang w:val="en-US"/>
        </w:rPr>
        <w:t>Meulenbelt</w:t>
      </w:r>
      <w:proofErr w:type="spellEnd"/>
      <w:r w:rsidRPr="003F3335">
        <w:rPr>
          <w:rFonts w:ascii="Arial" w:eastAsiaTheme="majorEastAsia" w:hAnsi="Arial" w:cs="Arial"/>
          <w:b/>
          <w:bCs/>
          <w:sz w:val="20"/>
          <w:szCs w:val="20"/>
          <w:lang w:val="en-US"/>
        </w:rPr>
        <w:t>, MD, PhD died in December 2015</w:t>
      </w:r>
    </w:p>
    <w:p w:rsidR="000C0FCF" w:rsidRPr="003F3335" w:rsidRDefault="000C0FCF" w:rsidP="000C0FCF">
      <w:pPr>
        <w:rPr>
          <w:lang w:val="en-US"/>
        </w:rPr>
      </w:pPr>
    </w:p>
    <w:p w:rsidR="000C0FCF" w:rsidRPr="000C0FCF" w:rsidRDefault="000C0FCF" w:rsidP="000C0FCF">
      <w:pPr>
        <w:spacing w:line="480" w:lineRule="auto"/>
        <w:rPr>
          <w:rFonts w:ascii="Arial" w:hAnsi="Arial" w:cs="Arial"/>
          <w:sz w:val="20"/>
          <w:szCs w:val="20"/>
          <w:lang w:val="en-US"/>
        </w:rPr>
      </w:pPr>
      <w:r w:rsidRPr="000C0FCF">
        <w:rPr>
          <w:rFonts w:ascii="Arial" w:hAnsi="Arial" w:cs="Arial"/>
          <w:sz w:val="20"/>
          <w:szCs w:val="20"/>
          <w:lang w:val="en-US"/>
        </w:rPr>
        <w:t xml:space="preserve">This </w:t>
      </w:r>
      <w:proofErr w:type="spellStart"/>
      <w:r w:rsidRPr="000C0FCF">
        <w:rPr>
          <w:rFonts w:ascii="Arial" w:hAnsi="Arial" w:cs="Arial"/>
          <w:sz w:val="20"/>
          <w:szCs w:val="20"/>
          <w:lang w:val="en-US"/>
        </w:rPr>
        <w:t>webappendix</w:t>
      </w:r>
      <w:proofErr w:type="spellEnd"/>
      <w:r w:rsidRPr="000C0FCF">
        <w:rPr>
          <w:rFonts w:ascii="Arial" w:hAnsi="Arial" w:cs="Arial"/>
          <w:sz w:val="20"/>
          <w:szCs w:val="20"/>
          <w:lang w:val="en-US"/>
        </w:rPr>
        <w:t xml:space="preserve"> formed part of the original submission and has been peer reviewed.</w:t>
      </w:r>
    </w:p>
    <w:p w:rsidR="000C0FCF" w:rsidRPr="003F3335" w:rsidRDefault="000C0FCF" w:rsidP="000C0FCF">
      <w:pPr>
        <w:spacing w:line="480" w:lineRule="auto"/>
        <w:rPr>
          <w:rFonts w:ascii="Arial" w:hAnsi="Arial" w:cs="Arial"/>
          <w:sz w:val="20"/>
          <w:szCs w:val="20"/>
          <w:lang w:val="en-US"/>
        </w:rPr>
      </w:pPr>
      <w:r w:rsidRPr="003F3335">
        <w:rPr>
          <w:rFonts w:ascii="Arial" w:hAnsi="Arial" w:cs="Arial"/>
          <w:sz w:val="20"/>
          <w:szCs w:val="20"/>
          <w:lang w:val="en-US"/>
        </w:rPr>
        <w:t>We post it as supplied by all authors.</w:t>
      </w:r>
    </w:p>
    <w:p w:rsidR="00E402DB" w:rsidRPr="000C0FCF" w:rsidRDefault="00E402DB" w:rsidP="00E402DB">
      <w:pPr>
        <w:pStyle w:val="Kop1"/>
        <w:ind w:right="133"/>
        <w:rPr>
          <w:szCs w:val="20"/>
        </w:rPr>
      </w:pPr>
      <w:r w:rsidRPr="000C0FCF">
        <w:rPr>
          <w:szCs w:val="20"/>
        </w:rPr>
        <w:br w:type="page"/>
      </w:r>
    </w:p>
    <w:sdt>
      <w:sdtPr>
        <w:rPr>
          <w:rFonts w:asciiTheme="minorHAnsi" w:eastAsiaTheme="minorEastAsia" w:hAnsiTheme="minorHAnsi" w:cstheme="minorBidi"/>
          <w:b/>
          <w:bCs w:val="0"/>
          <w:color w:val="auto"/>
          <w:sz w:val="24"/>
          <w:szCs w:val="24"/>
        </w:rPr>
        <w:id w:val="1403798129"/>
        <w:docPartObj>
          <w:docPartGallery w:val="Table of Contents"/>
          <w:docPartUnique/>
        </w:docPartObj>
      </w:sdtPr>
      <w:sdtEndPr>
        <w:rPr>
          <w:b w:val="0"/>
        </w:rPr>
      </w:sdtEndPr>
      <w:sdtContent>
        <w:p w:rsidR="00795916" w:rsidRPr="000C0FCF" w:rsidRDefault="00795916">
          <w:pPr>
            <w:pStyle w:val="Kopvaninhoudsopgave"/>
            <w:rPr>
              <w:color w:val="auto"/>
            </w:rPr>
          </w:pPr>
          <w:r w:rsidRPr="000C0FCF">
            <w:rPr>
              <w:rFonts w:ascii="Arial" w:hAnsi="Arial" w:cs="Arial"/>
              <w:color w:val="auto"/>
            </w:rPr>
            <w:t>Index</w:t>
          </w:r>
        </w:p>
        <w:p w:rsidR="003F3335" w:rsidRDefault="00795916">
          <w:pPr>
            <w:pStyle w:val="Inhopg1"/>
            <w:tabs>
              <w:tab w:val="right" w:leader="dot" w:pos="9345"/>
            </w:tabs>
            <w:rPr>
              <w:noProof/>
              <w:sz w:val="22"/>
              <w:szCs w:val="22"/>
            </w:rPr>
          </w:pPr>
          <w:r>
            <w:fldChar w:fldCharType="begin"/>
          </w:r>
          <w:r>
            <w:instrText xml:space="preserve"> TOC \o "1-3" \h \z \u </w:instrText>
          </w:r>
          <w:r>
            <w:fldChar w:fldCharType="separate"/>
          </w:r>
          <w:hyperlink w:anchor="_Toc472322848" w:history="1">
            <w:r w:rsidR="003F3335" w:rsidRPr="00B616BA">
              <w:rPr>
                <w:rStyle w:val="Hyperlink"/>
                <w:noProof/>
              </w:rPr>
              <w:t>PATIENTS AND METHODS</w:t>
            </w:r>
            <w:r w:rsidR="003F3335">
              <w:rPr>
                <w:noProof/>
                <w:webHidden/>
              </w:rPr>
              <w:tab/>
            </w:r>
            <w:r w:rsidR="003F3335">
              <w:rPr>
                <w:noProof/>
                <w:webHidden/>
              </w:rPr>
              <w:fldChar w:fldCharType="begin"/>
            </w:r>
            <w:r w:rsidR="003F3335">
              <w:rPr>
                <w:noProof/>
                <w:webHidden/>
              </w:rPr>
              <w:instrText xml:space="preserve"> PAGEREF _Toc472322848 \h </w:instrText>
            </w:r>
            <w:r w:rsidR="003F3335">
              <w:rPr>
                <w:noProof/>
                <w:webHidden/>
              </w:rPr>
            </w:r>
            <w:r w:rsidR="003F3335">
              <w:rPr>
                <w:noProof/>
                <w:webHidden/>
              </w:rPr>
              <w:fldChar w:fldCharType="separate"/>
            </w:r>
            <w:r w:rsidR="003F3335">
              <w:rPr>
                <w:noProof/>
                <w:webHidden/>
              </w:rPr>
              <w:t>3</w:t>
            </w:r>
            <w:r w:rsidR="003F3335">
              <w:rPr>
                <w:noProof/>
                <w:webHidden/>
              </w:rPr>
              <w:fldChar w:fldCharType="end"/>
            </w:r>
          </w:hyperlink>
        </w:p>
        <w:p w:rsidR="003F3335" w:rsidRDefault="00834343">
          <w:pPr>
            <w:pStyle w:val="Inhopg2"/>
            <w:tabs>
              <w:tab w:val="right" w:leader="dot" w:pos="9345"/>
            </w:tabs>
            <w:rPr>
              <w:noProof/>
              <w:sz w:val="22"/>
              <w:szCs w:val="22"/>
            </w:rPr>
          </w:pPr>
          <w:hyperlink w:anchor="_Toc472322849" w:history="1">
            <w:r w:rsidR="003F3335" w:rsidRPr="00B616BA">
              <w:rPr>
                <w:rStyle w:val="Hyperlink"/>
                <w:rFonts w:cs="Arial"/>
                <w:noProof/>
                <w:lang w:val="en-US"/>
              </w:rPr>
              <w:t>Patients and therapy</w:t>
            </w:r>
            <w:r w:rsidR="003F3335">
              <w:rPr>
                <w:noProof/>
                <w:webHidden/>
              </w:rPr>
              <w:tab/>
            </w:r>
            <w:r w:rsidR="003F3335">
              <w:rPr>
                <w:noProof/>
                <w:webHidden/>
              </w:rPr>
              <w:fldChar w:fldCharType="begin"/>
            </w:r>
            <w:r w:rsidR="003F3335">
              <w:rPr>
                <w:noProof/>
                <w:webHidden/>
              </w:rPr>
              <w:instrText xml:space="preserve"> PAGEREF _Toc472322849 \h </w:instrText>
            </w:r>
            <w:r w:rsidR="003F3335">
              <w:rPr>
                <w:noProof/>
                <w:webHidden/>
              </w:rPr>
            </w:r>
            <w:r w:rsidR="003F3335">
              <w:rPr>
                <w:noProof/>
                <w:webHidden/>
              </w:rPr>
              <w:fldChar w:fldCharType="separate"/>
            </w:r>
            <w:r w:rsidR="003F3335">
              <w:rPr>
                <w:noProof/>
                <w:webHidden/>
              </w:rPr>
              <w:t>3</w:t>
            </w:r>
            <w:r w:rsidR="003F3335">
              <w:rPr>
                <w:noProof/>
                <w:webHidden/>
              </w:rPr>
              <w:fldChar w:fldCharType="end"/>
            </w:r>
          </w:hyperlink>
        </w:p>
        <w:p w:rsidR="003F3335" w:rsidRDefault="00834343">
          <w:pPr>
            <w:pStyle w:val="Inhopg2"/>
            <w:tabs>
              <w:tab w:val="right" w:leader="dot" w:pos="9345"/>
            </w:tabs>
            <w:rPr>
              <w:noProof/>
              <w:sz w:val="22"/>
              <w:szCs w:val="22"/>
            </w:rPr>
          </w:pPr>
          <w:hyperlink w:anchor="_Toc472322850" w:history="1">
            <w:r w:rsidR="003F3335" w:rsidRPr="00B616BA">
              <w:rPr>
                <w:rStyle w:val="Hyperlink"/>
                <w:rFonts w:cs="Arial"/>
                <w:noProof/>
                <w:lang w:val="en-US"/>
              </w:rPr>
              <w:t>Definitions of acute kidney injury (AKI) and chronic kidney disease (CKD) (See Table S1)</w:t>
            </w:r>
            <w:r w:rsidR="003F3335">
              <w:rPr>
                <w:noProof/>
                <w:webHidden/>
              </w:rPr>
              <w:tab/>
            </w:r>
            <w:r w:rsidR="003F3335">
              <w:rPr>
                <w:noProof/>
                <w:webHidden/>
              </w:rPr>
              <w:fldChar w:fldCharType="begin"/>
            </w:r>
            <w:r w:rsidR="003F3335">
              <w:rPr>
                <w:noProof/>
                <w:webHidden/>
              </w:rPr>
              <w:instrText xml:space="preserve"> PAGEREF _Toc472322850 \h </w:instrText>
            </w:r>
            <w:r w:rsidR="003F3335">
              <w:rPr>
                <w:noProof/>
                <w:webHidden/>
              </w:rPr>
            </w:r>
            <w:r w:rsidR="003F3335">
              <w:rPr>
                <w:noProof/>
                <w:webHidden/>
              </w:rPr>
              <w:fldChar w:fldCharType="separate"/>
            </w:r>
            <w:r w:rsidR="003F3335">
              <w:rPr>
                <w:noProof/>
                <w:webHidden/>
              </w:rPr>
              <w:t>4</w:t>
            </w:r>
            <w:r w:rsidR="003F3335">
              <w:rPr>
                <w:noProof/>
                <w:webHidden/>
              </w:rPr>
              <w:fldChar w:fldCharType="end"/>
            </w:r>
          </w:hyperlink>
        </w:p>
        <w:p w:rsidR="003F3335" w:rsidRDefault="00834343">
          <w:pPr>
            <w:pStyle w:val="Inhopg2"/>
            <w:tabs>
              <w:tab w:val="right" w:leader="dot" w:pos="9345"/>
            </w:tabs>
            <w:rPr>
              <w:noProof/>
              <w:sz w:val="22"/>
              <w:szCs w:val="22"/>
            </w:rPr>
          </w:pPr>
          <w:hyperlink w:anchor="_Toc472322851" w:history="1">
            <w:r w:rsidR="003F3335" w:rsidRPr="00B616BA">
              <w:rPr>
                <w:rStyle w:val="Hyperlink"/>
                <w:rFonts w:cs="Arial"/>
                <w:noProof/>
                <w:lang w:val="en-US"/>
              </w:rPr>
              <w:t>Definitions of the covariates (See Table S1)</w:t>
            </w:r>
            <w:r w:rsidR="003F3335">
              <w:rPr>
                <w:noProof/>
                <w:webHidden/>
              </w:rPr>
              <w:tab/>
            </w:r>
            <w:r w:rsidR="003F3335">
              <w:rPr>
                <w:noProof/>
                <w:webHidden/>
              </w:rPr>
              <w:fldChar w:fldCharType="begin"/>
            </w:r>
            <w:r w:rsidR="003F3335">
              <w:rPr>
                <w:noProof/>
                <w:webHidden/>
              </w:rPr>
              <w:instrText xml:space="preserve"> PAGEREF _Toc472322851 \h </w:instrText>
            </w:r>
            <w:r w:rsidR="003F3335">
              <w:rPr>
                <w:noProof/>
                <w:webHidden/>
              </w:rPr>
            </w:r>
            <w:r w:rsidR="003F3335">
              <w:rPr>
                <w:noProof/>
                <w:webHidden/>
              </w:rPr>
              <w:fldChar w:fldCharType="separate"/>
            </w:r>
            <w:r w:rsidR="003F3335">
              <w:rPr>
                <w:noProof/>
                <w:webHidden/>
              </w:rPr>
              <w:t>4</w:t>
            </w:r>
            <w:r w:rsidR="003F3335">
              <w:rPr>
                <w:noProof/>
                <w:webHidden/>
              </w:rPr>
              <w:fldChar w:fldCharType="end"/>
            </w:r>
          </w:hyperlink>
        </w:p>
        <w:p w:rsidR="003F3335" w:rsidRDefault="00834343">
          <w:pPr>
            <w:pStyle w:val="Inhopg2"/>
            <w:tabs>
              <w:tab w:val="right" w:leader="dot" w:pos="9345"/>
            </w:tabs>
            <w:rPr>
              <w:noProof/>
              <w:sz w:val="22"/>
              <w:szCs w:val="22"/>
            </w:rPr>
          </w:pPr>
          <w:hyperlink w:anchor="_Toc472322852" w:history="1">
            <w:r w:rsidR="003F3335" w:rsidRPr="00B616BA">
              <w:rPr>
                <w:rStyle w:val="Hyperlink"/>
                <w:noProof/>
                <w:lang w:val="en-US"/>
              </w:rPr>
              <w:t>Statistical analyses (See Figure S1 and Table S2)</w:t>
            </w:r>
            <w:r w:rsidR="003F3335">
              <w:rPr>
                <w:noProof/>
                <w:webHidden/>
              </w:rPr>
              <w:tab/>
            </w:r>
            <w:r w:rsidR="003F3335">
              <w:rPr>
                <w:noProof/>
                <w:webHidden/>
              </w:rPr>
              <w:fldChar w:fldCharType="begin"/>
            </w:r>
            <w:r w:rsidR="003F3335">
              <w:rPr>
                <w:noProof/>
                <w:webHidden/>
              </w:rPr>
              <w:instrText xml:space="preserve"> PAGEREF _Toc472322852 \h </w:instrText>
            </w:r>
            <w:r w:rsidR="003F3335">
              <w:rPr>
                <w:noProof/>
                <w:webHidden/>
              </w:rPr>
            </w:r>
            <w:r w:rsidR="003F3335">
              <w:rPr>
                <w:noProof/>
                <w:webHidden/>
              </w:rPr>
              <w:fldChar w:fldCharType="separate"/>
            </w:r>
            <w:r w:rsidR="003F3335">
              <w:rPr>
                <w:noProof/>
                <w:webHidden/>
              </w:rPr>
              <w:t>4</w:t>
            </w:r>
            <w:r w:rsidR="003F3335">
              <w:rPr>
                <w:noProof/>
                <w:webHidden/>
              </w:rPr>
              <w:fldChar w:fldCharType="end"/>
            </w:r>
          </w:hyperlink>
        </w:p>
        <w:p w:rsidR="003F3335" w:rsidRDefault="00834343">
          <w:pPr>
            <w:pStyle w:val="Inhopg2"/>
            <w:tabs>
              <w:tab w:val="right" w:leader="dot" w:pos="9345"/>
            </w:tabs>
            <w:rPr>
              <w:noProof/>
              <w:sz w:val="22"/>
              <w:szCs w:val="22"/>
            </w:rPr>
          </w:pPr>
          <w:hyperlink w:anchor="_Toc472322853" w:history="1">
            <w:r w:rsidR="003F3335" w:rsidRPr="00B616BA">
              <w:rPr>
                <w:rStyle w:val="Hyperlink"/>
                <w:noProof/>
                <w:lang w:val="en-US"/>
              </w:rPr>
              <w:t>Variables influencing the tacrolimus whole-blood trough concentrations</w:t>
            </w:r>
            <w:r w:rsidR="003F3335">
              <w:rPr>
                <w:noProof/>
                <w:webHidden/>
              </w:rPr>
              <w:tab/>
            </w:r>
            <w:r w:rsidR="003F3335">
              <w:rPr>
                <w:noProof/>
                <w:webHidden/>
              </w:rPr>
              <w:fldChar w:fldCharType="begin"/>
            </w:r>
            <w:r w:rsidR="003F3335">
              <w:rPr>
                <w:noProof/>
                <w:webHidden/>
              </w:rPr>
              <w:instrText xml:space="preserve"> PAGEREF _Toc472322853 \h </w:instrText>
            </w:r>
            <w:r w:rsidR="003F3335">
              <w:rPr>
                <w:noProof/>
                <w:webHidden/>
              </w:rPr>
            </w:r>
            <w:r w:rsidR="003F3335">
              <w:rPr>
                <w:noProof/>
                <w:webHidden/>
              </w:rPr>
              <w:fldChar w:fldCharType="separate"/>
            </w:r>
            <w:r w:rsidR="003F3335">
              <w:rPr>
                <w:noProof/>
                <w:webHidden/>
              </w:rPr>
              <w:t>5</w:t>
            </w:r>
            <w:r w:rsidR="003F3335">
              <w:rPr>
                <w:noProof/>
                <w:webHidden/>
              </w:rPr>
              <w:fldChar w:fldCharType="end"/>
            </w:r>
          </w:hyperlink>
        </w:p>
        <w:p w:rsidR="003F3335" w:rsidRDefault="00834343">
          <w:pPr>
            <w:pStyle w:val="Inhopg2"/>
            <w:tabs>
              <w:tab w:val="right" w:leader="dot" w:pos="9345"/>
            </w:tabs>
            <w:rPr>
              <w:noProof/>
              <w:sz w:val="22"/>
              <w:szCs w:val="22"/>
            </w:rPr>
          </w:pPr>
          <w:hyperlink w:anchor="_Toc472322854" w:history="1">
            <w:r w:rsidR="003F3335" w:rsidRPr="00B616BA">
              <w:rPr>
                <w:rStyle w:val="Hyperlink"/>
                <w:noProof/>
                <w:lang w:val="en-US"/>
              </w:rPr>
              <w:t>Variables influencing AKI</w:t>
            </w:r>
            <w:r w:rsidR="003F3335">
              <w:rPr>
                <w:noProof/>
                <w:webHidden/>
              </w:rPr>
              <w:tab/>
            </w:r>
            <w:r w:rsidR="003F3335">
              <w:rPr>
                <w:noProof/>
                <w:webHidden/>
              </w:rPr>
              <w:fldChar w:fldCharType="begin"/>
            </w:r>
            <w:r w:rsidR="003F3335">
              <w:rPr>
                <w:noProof/>
                <w:webHidden/>
              </w:rPr>
              <w:instrText xml:space="preserve"> PAGEREF _Toc472322854 \h </w:instrText>
            </w:r>
            <w:r w:rsidR="003F3335">
              <w:rPr>
                <w:noProof/>
                <w:webHidden/>
              </w:rPr>
            </w:r>
            <w:r w:rsidR="003F3335">
              <w:rPr>
                <w:noProof/>
                <w:webHidden/>
              </w:rPr>
              <w:fldChar w:fldCharType="separate"/>
            </w:r>
            <w:r w:rsidR="003F3335">
              <w:rPr>
                <w:noProof/>
                <w:webHidden/>
              </w:rPr>
              <w:t>5</w:t>
            </w:r>
            <w:r w:rsidR="003F3335">
              <w:rPr>
                <w:noProof/>
                <w:webHidden/>
              </w:rPr>
              <w:fldChar w:fldCharType="end"/>
            </w:r>
          </w:hyperlink>
        </w:p>
        <w:p w:rsidR="003F3335" w:rsidRDefault="00834343">
          <w:pPr>
            <w:pStyle w:val="Inhopg2"/>
            <w:tabs>
              <w:tab w:val="right" w:leader="dot" w:pos="9345"/>
            </w:tabs>
            <w:rPr>
              <w:noProof/>
              <w:sz w:val="22"/>
              <w:szCs w:val="22"/>
            </w:rPr>
          </w:pPr>
          <w:hyperlink w:anchor="_Toc472322855" w:history="1">
            <w:r w:rsidR="003F3335" w:rsidRPr="00B616BA">
              <w:rPr>
                <w:rStyle w:val="Hyperlink"/>
                <w:noProof/>
                <w:lang w:val="en-US"/>
              </w:rPr>
              <w:t>Relationship between AKI, recovery and CKD</w:t>
            </w:r>
            <w:r w:rsidR="003F3335">
              <w:rPr>
                <w:noProof/>
                <w:webHidden/>
              </w:rPr>
              <w:tab/>
            </w:r>
            <w:r w:rsidR="003F3335">
              <w:rPr>
                <w:noProof/>
                <w:webHidden/>
              </w:rPr>
              <w:fldChar w:fldCharType="begin"/>
            </w:r>
            <w:r w:rsidR="003F3335">
              <w:rPr>
                <w:noProof/>
                <w:webHidden/>
              </w:rPr>
              <w:instrText xml:space="preserve"> PAGEREF _Toc472322855 \h </w:instrText>
            </w:r>
            <w:r w:rsidR="003F3335">
              <w:rPr>
                <w:noProof/>
                <w:webHidden/>
              </w:rPr>
            </w:r>
            <w:r w:rsidR="003F3335">
              <w:rPr>
                <w:noProof/>
                <w:webHidden/>
              </w:rPr>
              <w:fldChar w:fldCharType="separate"/>
            </w:r>
            <w:r w:rsidR="003F3335">
              <w:rPr>
                <w:noProof/>
                <w:webHidden/>
              </w:rPr>
              <w:t>5</w:t>
            </w:r>
            <w:r w:rsidR="003F3335">
              <w:rPr>
                <w:noProof/>
                <w:webHidden/>
              </w:rPr>
              <w:fldChar w:fldCharType="end"/>
            </w:r>
          </w:hyperlink>
        </w:p>
        <w:p w:rsidR="003F3335" w:rsidRDefault="00834343">
          <w:pPr>
            <w:pStyle w:val="Inhopg1"/>
            <w:tabs>
              <w:tab w:val="right" w:leader="dot" w:pos="9345"/>
            </w:tabs>
            <w:rPr>
              <w:noProof/>
              <w:sz w:val="22"/>
              <w:szCs w:val="22"/>
            </w:rPr>
          </w:pPr>
          <w:hyperlink w:anchor="_Toc472322856" w:history="1">
            <w:r w:rsidR="003F3335" w:rsidRPr="00B616BA">
              <w:rPr>
                <w:rStyle w:val="Hyperlink"/>
                <w:rFonts w:eastAsia="Times New Roman"/>
                <w:noProof/>
              </w:rPr>
              <w:t>Figure S1</w:t>
            </w:r>
            <w:r w:rsidR="003F3335">
              <w:rPr>
                <w:noProof/>
                <w:webHidden/>
              </w:rPr>
              <w:tab/>
            </w:r>
            <w:r w:rsidR="003F3335">
              <w:rPr>
                <w:noProof/>
                <w:webHidden/>
              </w:rPr>
              <w:fldChar w:fldCharType="begin"/>
            </w:r>
            <w:r w:rsidR="003F3335">
              <w:rPr>
                <w:noProof/>
                <w:webHidden/>
              </w:rPr>
              <w:instrText xml:space="preserve"> PAGEREF _Toc472322856 \h </w:instrText>
            </w:r>
            <w:r w:rsidR="003F3335">
              <w:rPr>
                <w:noProof/>
                <w:webHidden/>
              </w:rPr>
            </w:r>
            <w:r w:rsidR="003F3335">
              <w:rPr>
                <w:noProof/>
                <w:webHidden/>
              </w:rPr>
              <w:fldChar w:fldCharType="separate"/>
            </w:r>
            <w:r w:rsidR="003F3335">
              <w:rPr>
                <w:noProof/>
                <w:webHidden/>
              </w:rPr>
              <w:t>6</w:t>
            </w:r>
            <w:r w:rsidR="003F3335">
              <w:rPr>
                <w:noProof/>
                <w:webHidden/>
              </w:rPr>
              <w:fldChar w:fldCharType="end"/>
            </w:r>
          </w:hyperlink>
        </w:p>
        <w:p w:rsidR="003F3335" w:rsidRDefault="00834343">
          <w:pPr>
            <w:pStyle w:val="Inhopg1"/>
            <w:tabs>
              <w:tab w:val="right" w:leader="dot" w:pos="9345"/>
            </w:tabs>
            <w:rPr>
              <w:noProof/>
              <w:sz w:val="22"/>
              <w:szCs w:val="22"/>
            </w:rPr>
          </w:pPr>
          <w:hyperlink w:anchor="_Toc472322857" w:history="1">
            <w:r w:rsidR="003F3335" w:rsidRPr="00B616BA">
              <w:rPr>
                <w:rStyle w:val="Hyperlink"/>
                <w:noProof/>
              </w:rPr>
              <w:t>Table S1</w:t>
            </w:r>
            <w:r w:rsidR="003F3335">
              <w:rPr>
                <w:noProof/>
                <w:webHidden/>
              </w:rPr>
              <w:tab/>
            </w:r>
            <w:r w:rsidR="003F3335">
              <w:rPr>
                <w:noProof/>
                <w:webHidden/>
              </w:rPr>
              <w:fldChar w:fldCharType="begin"/>
            </w:r>
            <w:r w:rsidR="003F3335">
              <w:rPr>
                <w:noProof/>
                <w:webHidden/>
              </w:rPr>
              <w:instrText xml:space="preserve"> PAGEREF _Toc472322857 \h </w:instrText>
            </w:r>
            <w:r w:rsidR="003F3335">
              <w:rPr>
                <w:noProof/>
                <w:webHidden/>
              </w:rPr>
            </w:r>
            <w:r w:rsidR="003F3335">
              <w:rPr>
                <w:noProof/>
                <w:webHidden/>
              </w:rPr>
              <w:fldChar w:fldCharType="separate"/>
            </w:r>
            <w:r w:rsidR="003F3335">
              <w:rPr>
                <w:noProof/>
                <w:webHidden/>
              </w:rPr>
              <w:t>8</w:t>
            </w:r>
            <w:r w:rsidR="003F3335">
              <w:rPr>
                <w:noProof/>
                <w:webHidden/>
              </w:rPr>
              <w:fldChar w:fldCharType="end"/>
            </w:r>
          </w:hyperlink>
        </w:p>
        <w:p w:rsidR="003F3335" w:rsidRDefault="00834343">
          <w:pPr>
            <w:pStyle w:val="Inhopg1"/>
            <w:tabs>
              <w:tab w:val="right" w:leader="dot" w:pos="9345"/>
            </w:tabs>
            <w:rPr>
              <w:noProof/>
              <w:sz w:val="22"/>
              <w:szCs w:val="22"/>
            </w:rPr>
          </w:pPr>
          <w:hyperlink w:anchor="_Toc472322858" w:history="1">
            <w:r w:rsidR="003F3335" w:rsidRPr="00B616BA">
              <w:rPr>
                <w:rStyle w:val="Hyperlink"/>
                <w:rFonts w:eastAsia="Times New Roman"/>
                <w:noProof/>
              </w:rPr>
              <w:t>Table S2</w:t>
            </w:r>
            <w:r w:rsidR="003F3335">
              <w:rPr>
                <w:noProof/>
                <w:webHidden/>
              </w:rPr>
              <w:tab/>
            </w:r>
            <w:r w:rsidR="003F3335">
              <w:rPr>
                <w:noProof/>
                <w:webHidden/>
              </w:rPr>
              <w:fldChar w:fldCharType="begin"/>
            </w:r>
            <w:r w:rsidR="003F3335">
              <w:rPr>
                <w:noProof/>
                <w:webHidden/>
              </w:rPr>
              <w:instrText xml:space="preserve"> PAGEREF _Toc472322858 \h </w:instrText>
            </w:r>
            <w:r w:rsidR="003F3335">
              <w:rPr>
                <w:noProof/>
                <w:webHidden/>
              </w:rPr>
            </w:r>
            <w:r w:rsidR="003F3335">
              <w:rPr>
                <w:noProof/>
                <w:webHidden/>
              </w:rPr>
              <w:fldChar w:fldCharType="separate"/>
            </w:r>
            <w:r w:rsidR="003F3335">
              <w:rPr>
                <w:noProof/>
                <w:webHidden/>
              </w:rPr>
              <w:t>9</w:t>
            </w:r>
            <w:r w:rsidR="003F3335">
              <w:rPr>
                <w:noProof/>
                <w:webHidden/>
              </w:rPr>
              <w:fldChar w:fldCharType="end"/>
            </w:r>
          </w:hyperlink>
        </w:p>
        <w:p w:rsidR="003F3335" w:rsidRDefault="00834343">
          <w:pPr>
            <w:pStyle w:val="Inhopg1"/>
            <w:tabs>
              <w:tab w:val="right" w:leader="dot" w:pos="9345"/>
            </w:tabs>
            <w:rPr>
              <w:noProof/>
              <w:sz w:val="22"/>
              <w:szCs w:val="22"/>
            </w:rPr>
          </w:pPr>
          <w:hyperlink w:anchor="_Toc472322859" w:history="1">
            <w:r w:rsidR="003F3335" w:rsidRPr="00B616BA">
              <w:rPr>
                <w:rStyle w:val="Hyperlink"/>
                <w:noProof/>
                <w:lang w:eastAsia="en-US"/>
              </w:rPr>
              <w:t>Table S3</w:t>
            </w:r>
            <w:r w:rsidR="003F3335">
              <w:rPr>
                <w:noProof/>
                <w:webHidden/>
              </w:rPr>
              <w:tab/>
            </w:r>
            <w:r w:rsidR="003F3335">
              <w:rPr>
                <w:noProof/>
                <w:webHidden/>
              </w:rPr>
              <w:fldChar w:fldCharType="begin"/>
            </w:r>
            <w:r w:rsidR="003F3335">
              <w:rPr>
                <w:noProof/>
                <w:webHidden/>
              </w:rPr>
              <w:instrText xml:space="preserve"> PAGEREF _Toc472322859 \h </w:instrText>
            </w:r>
            <w:r w:rsidR="003F3335">
              <w:rPr>
                <w:noProof/>
                <w:webHidden/>
              </w:rPr>
            </w:r>
            <w:r w:rsidR="003F3335">
              <w:rPr>
                <w:noProof/>
                <w:webHidden/>
              </w:rPr>
              <w:fldChar w:fldCharType="separate"/>
            </w:r>
            <w:r w:rsidR="003F3335">
              <w:rPr>
                <w:noProof/>
                <w:webHidden/>
              </w:rPr>
              <w:t>11</w:t>
            </w:r>
            <w:r w:rsidR="003F3335">
              <w:rPr>
                <w:noProof/>
                <w:webHidden/>
              </w:rPr>
              <w:fldChar w:fldCharType="end"/>
            </w:r>
          </w:hyperlink>
        </w:p>
        <w:p w:rsidR="00795916" w:rsidRDefault="00795916">
          <w:r>
            <w:rPr>
              <w:b/>
              <w:bCs/>
            </w:rPr>
            <w:fldChar w:fldCharType="end"/>
          </w:r>
        </w:p>
      </w:sdtContent>
    </w:sdt>
    <w:p w:rsidR="00795916" w:rsidRPr="00795916" w:rsidRDefault="00795916" w:rsidP="00795916">
      <w:pPr>
        <w:rPr>
          <w:lang w:val="en-US"/>
        </w:rPr>
      </w:pPr>
    </w:p>
    <w:p w:rsidR="00795916" w:rsidRDefault="00795916" w:rsidP="00E402DB">
      <w:pPr>
        <w:pStyle w:val="Kop1"/>
        <w:ind w:right="133"/>
        <w:rPr>
          <w:szCs w:val="20"/>
        </w:rPr>
      </w:pPr>
      <w:r>
        <w:rPr>
          <w:szCs w:val="20"/>
        </w:rPr>
        <w:br w:type="page"/>
      </w:r>
    </w:p>
    <w:p w:rsidR="00E402DB" w:rsidRPr="00184466" w:rsidRDefault="00E402DB" w:rsidP="00E402DB">
      <w:pPr>
        <w:pStyle w:val="Kop1"/>
        <w:ind w:right="133"/>
        <w:rPr>
          <w:szCs w:val="20"/>
        </w:rPr>
      </w:pPr>
      <w:bookmarkStart w:id="1" w:name="_Toc472322848"/>
      <w:r w:rsidRPr="00814649">
        <w:rPr>
          <w:szCs w:val="20"/>
        </w:rPr>
        <w:lastRenderedPageBreak/>
        <w:t>PATIENTS AND METHODS</w:t>
      </w:r>
      <w:bookmarkEnd w:id="1"/>
    </w:p>
    <w:p w:rsidR="00E402DB" w:rsidRPr="00814649" w:rsidRDefault="00E402DB" w:rsidP="00E402DB">
      <w:pPr>
        <w:spacing w:line="480" w:lineRule="auto"/>
        <w:ind w:right="133"/>
        <w:jc w:val="both"/>
        <w:rPr>
          <w:rFonts w:ascii="Arial" w:hAnsi="Arial" w:cs="Arial"/>
          <w:sz w:val="20"/>
          <w:szCs w:val="20"/>
          <w:lang w:val="en-US"/>
        </w:rPr>
      </w:pPr>
      <w:r w:rsidRPr="00814649">
        <w:rPr>
          <w:rFonts w:ascii="Arial" w:hAnsi="Arial" w:cs="Arial"/>
          <w:sz w:val="20"/>
          <w:szCs w:val="20"/>
          <w:lang w:val="en-US"/>
        </w:rPr>
        <w:t>The study was conducted in compliance with the 2008 Declaration of Helsinki and Good Clinical Practice guidelines and with local and national regulatory requirements and laws. The accredited review board for human studies of the UMCU approved the study (IRB protocol number 11-357/G-C).</w:t>
      </w:r>
    </w:p>
    <w:p w:rsidR="00E402DB" w:rsidRPr="00814649" w:rsidRDefault="00E402DB" w:rsidP="00E402DB">
      <w:pPr>
        <w:pStyle w:val="Kop2"/>
        <w:spacing w:line="480" w:lineRule="auto"/>
        <w:ind w:right="133"/>
        <w:jc w:val="both"/>
        <w:rPr>
          <w:rFonts w:cs="Arial"/>
          <w:szCs w:val="20"/>
          <w:lang w:val="en-US"/>
        </w:rPr>
      </w:pPr>
      <w:bookmarkStart w:id="2" w:name="_Toc472322849"/>
      <w:r w:rsidRPr="00814649">
        <w:rPr>
          <w:rFonts w:cs="Arial"/>
          <w:szCs w:val="20"/>
          <w:lang w:val="en-US"/>
        </w:rPr>
        <w:t>Patients and therapy</w:t>
      </w:r>
      <w:bookmarkEnd w:id="2"/>
    </w:p>
    <w:p w:rsidR="00E402DB" w:rsidRPr="00925A97" w:rsidRDefault="00E402DB" w:rsidP="00E402DB">
      <w:pPr>
        <w:spacing w:line="480" w:lineRule="auto"/>
        <w:ind w:right="133"/>
        <w:jc w:val="both"/>
        <w:rPr>
          <w:rFonts w:ascii="Arial" w:hAnsi="Arial" w:cs="Arial"/>
          <w:sz w:val="20"/>
          <w:szCs w:val="20"/>
          <w:lang w:val="en-US"/>
        </w:rPr>
      </w:pPr>
      <w:r w:rsidRPr="00814649">
        <w:rPr>
          <w:rFonts w:ascii="Arial" w:hAnsi="Arial" w:cs="Arial"/>
          <w:sz w:val="20"/>
          <w:szCs w:val="20"/>
          <w:lang w:val="en-US"/>
        </w:rPr>
        <w:t>All lung transplantation patients hospitalized at the UMCU from July 2001 to February 2011 were retrospectively studied. Patients were analyzed from the transplantation date until one year after transplantation. Tacrolimus was orally dosed twice daily from the first postoperative day</w:t>
      </w:r>
      <w:r>
        <w:rPr>
          <w:rFonts w:ascii="Arial" w:hAnsi="Arial" w:cs="Arial"/>
          <w:sz w:val="20"/>
          <w:szCs w:val="20"/>
          <w:lang w:val="en-US"/>
        </w:rPr>
        <w:t xml:space="preserve"> onwards</w:t>
      </w:r>
      <w:r w:rsidRPr="00814649">
        <w:rPr>
          <w:rFonts w:ascii="Arial" w:hAnsi="Arial" w:cs="Arial"/>
          <w:sz w:val="20"/>
          <w:szCs w:val="20"/>
          <w:lang w:val="en-US"/>
        </w:rPr>
        <w:t xml:space="preserve"> with a starting dose of 0.1 mg</w:t>
      </w:r>
      <w:r>
        <w:rPr>
          <w:rFonts w:ascii="Arial" w:hAnsi="Arial" w:cs="Arial"/>
          <w:sz w:val="20"/>
          <w:szCs w:val="20"/>
          <w:lang w:val="en-US"/>
        </w:rPr>
        <w:t>/</w:t>
      </w:r>
      <w:r w:rsidRPr="00814649">
        <w:rPr>
          <w:rFonts w:ascii="Arial" w:hAnsi="Arial" w:cs="Arial"/>
          <w:sz w:val="20"/>
          <w:szCs w:val="20"/>
          <w:lang w:val="en-US"/>
        </w:rPr>
        <w:t>kg. Adjustments on basis of interactions with other drugs</w:t>
      </w:r>
      <w:r>
        <w:rPr>
          <w:rFonts w:ascii="Arial" w:hAnsi="Arial" w:cs="Arial"/>
          <w:sz w:val="20"/>
          <w:szCs w:val="20"/>
          <w:lang w:val="en-US"/>
        </w:rPr>
        <w:t>, gut dysmotility</w:t>
      </w:r>
      <w:r w:rsidRPr="00814649">
        <w:rPr>
          <w:rFonts w:ascii="Arial" w:hAnsi="Arial" w:cs="Arial"/>
          <w:sz w:val="20"/>
          <w:szCs w:val="20"/>
          <w:lang w:val="en-US"/>
        </w:rPr>
        <w:t xml:space="preserve"> </w:t>
      </w:r>
      <w:r>
        <w:rPr>
          <w:rFonts w:ascii="Arial" w:hAnsi="Arial" w:cs="Arial"/>
          <w:sz w:val="20"/>
          <w:szCs w:val="20"/>
          <w:lang w:val="en-US"/>
        </w:rPr>
        <w:t xml:space="preserve">and liver injury </w:t>
      </w:r>
      <w:r w:rsidRPr="00814649">
        <w:rPr>
          <w:rFonts w:ascii="Arial" w:hAnsi="Arial" w:cs="Arial"/>
          <w:sz w:val="20"/>
          <w:szCs w:val="20"/>
          <w:lang w:val="en-US"/>
        </w:rPr>
        <w:t xml:space="preserve">were left to the discretion of the attending physician. Additional dosing was based on </w:t>
      </w:r>
      <w:r>
        <w:rPr>
          <w:rFonts w:ascii="Arial" w:hAnsi="Arial" w:cs="Arial"/>
          <w:sz w:val="20"/>
          <w:szCs w:val="20"/>
          <w:lang w:val="en-US"/>
        </w:rPr>
        <w:t xml:space="preserve">daily </w:t>
      </w:r>
      <w:r w:rsidRPr="00814649">
        <w:rPr>
          <w:rFonts w:ascii="Arial" w:hAnsi="Arial" w:cs="Arial"/>
          <w:sz w:val="20"/>
          <w:szCs w:val="20"/>
          <w:lang w:val="en-US"/>
        </w:rPr>
        <w:t>whole-blood tacrolimus trough concentrations</w:t>
      </w:r>
      <w:r w:rsidRPr="00BC5FFE">
        <w:rPr>
          <w:lang w:val="en-US"/>
        </w:rPr>
        <w:t xml:space="preserve"> </w:t>
      </w:r>
      <w:r>
        <w:rPr>
          <w:rFonts w:ascii="Arial" w:hAnsi="Arial" w:cs="Arial"/>
          <w:sz w:val="20"/>
          <w:szCs w:val="20"/>
          <w:lang w:val="en-US"/>
        </w:rPr>
        <w:t>at 6 am (C12h).</w:t>
      </w:r>
      <w:r w:rsidRPr="00791294">
        <w:rPr>
          <w:lang w:val="en-US"/>
        </w:rPr>
        <w:t xml:space="preserve"> </w:t>
      </w:r>
      <w:r w:rsidRPr="0013647B">
        <w:rPr>
          <w:rFonts w:ascii="Arial" w:hAnsi="Arial" w:cs="Arial"/>
          <w:sz w:val="20"/>
          <w:szCs w:val="20"/>
          <w:lang w:val="en-US"/>
        </w:rPr>
        <w:t>Dose adjustments were often made on a daily basis and</w:t>
      </w:r>
      <w:r w:rsidRPr="00814649">
        <w:rPr>
          <w:rFonts w:ascii="Arial" w:hAnsi="Arial" w:cs="Arial"/>
          <w:sz w:val="20"/>
          <w:szCs w:val="20"/>
          <w:lang w:val="en-US"/>
        </w:rPr>
        <w:t xml:space="preserve"> </w:t>
      </w:r>
      <w:r>
        <w:rPr>
          <w:rFonts w:ascii="Arial" w:hAnsi="Arial" w:cs="Arial"/>
          <w:sz w:val="20"/>
          <w:szCs w:val="20"/>
          <w:lang w:val="en-US"/>
        </w:rPr>
        <w:t>s</w:t>
      </w:r>
      <w:r w:rsidRPr="00814649">
        <w:rPr>
          <w:rFonts w:ascii="Arial" w:hAnsi="Arial" w:cs="Arial"/>
          <w:sz w:val="20"/>
          <w:szCs w:val="20"/>
          <w:lang w:val="en-US"/>
        </w:rPr>
        <w:t xml:space="preserve">teady state was not </w:t>
      </w:r>
      <w:r>
        <w:rPr>
          <w:rFonts w:ascii="Arial" w:hAnsi="Arial" w:cs="Arial"/>
          <w:sz w:val="20"/>
          <w:szCs w:val="20"/>
          <w:lang w:val="en-US"/>
        </w:rPr>
        <w:t xml:space="preserve">necessarily </w:t>
      </w:r>
      <w:r w:rsidRPr="00814649">
        <w:rPr>
          <w:rFonts w:ascii="Arial" w:hAnsi="Arial" w:cs="Arial"/>
          <w:sz w:val="20"/>
          <w:szCs w:val="20"/>
          <w:lang w:val="en-US"/>
        </w:rPr>
        <w:t xml:space="preserve">reached </w:t>
      </w:r>
      <w:r>
        <w:rPr>
          <w:rFonts w:ascii="Arial" w:hAnsi="Arial" w:cs="Arial"/>
          <w:sz w:val="20"/>
          <w:szCs w:val="20"/>
          <w:lang w:val="en-US"/>
        </w:rPr>
        <w:t>at the time of</w:t>
      </w:r>
      <w:r w:rsidRPr="00814649">
        <w:rPr>
          <w:rFonts w:ascii="Arial" w:hAnsi="Arial" w:cs="Arial"/>
          <w:sz w:val="20"/>
          <w:szCs w:val="20"/>
          <w:lang w:val="en-US"/>
        </w:rPr>
        <w:t xml:space="preserve"> dose adjustments. A whole-blood tacrolimus trough concentration between 9 and 15 ng</w:t>
      </w:r>
      <w:r>
        <w:rPr>
          <w:rFonts w:ascii="Arial" w:hAnsi="Arial" w:cs="Arial"/>
          <w:sz w:val="20"/>
          <w:szCs w:val="20"/>
          <w:lang w:val="en-US"/>
        </w:rPr>
        <w:t>/</w:t>
      </w:r>
      <w:r w:rsidRPr="00814649">
        <w:rPr>
          <w:rFonts w:ascii="Arial" w:hAnsi="Arial" w:cs="Arial"/>
          <w:sz w:val="20"/>
          <w:szCs w:val="20"/>
          <w:lang w:val="en-US"/>
        </w:rPr>
        <w:t>mL was considered therapeutic</w:t>
      </w:r>
      <w:r>
        <w:rPr>
          <w:rFonts w:ascii="Arial" w:hAnsi="Arial" w:cs="Arial"/>
          <w:sz w:val="20"/>
          <w:szCs w:val="20"/>
          <w:lang w:val="en-US"/>
        </w:rPr>
        <w:t xml:space="preserve"> </w:t>
      </w:r>
      <w:r>
        <w:rPr>
          <w:rFonts w:ascii="Arial" w:hAnsi="Arial" w:cs="Arial"/>
          <w:sz w:val="20"/>
          <w:szCs w:val="20"/>
          <w:lang w:val="en-US"/>
        </w:rPr>
        <w:fldChar w:fldCharType="begin"/>
      </w:r>
      <w:r w:rsidR="00D92FF4">
        <w:rPr>
          <w:rFonts w:ascii="Arial" w:hAnsi="Arial" w:cs="Arial"/>
          <w:sz w:val="20"/>
          <w:szCs w:val="20"/>
          <w:lang w:val="en-US"/>
        </w:rPr>
        <w:instrText xml:space="preserve"> ADDIN PAPERS2_CITATIONS &lt;citation&gt;&lt;uuid&gt;D193F746-7789-438C-8597-528012E33036&lt;/uuid&gt;&lt;priority&gt;0&lt;/priority&gt;&lt;publications&gt;&lt;publication&gt;&lt;uuid&gt;432720AF-B66B-4686-9586-136899D1E3C0&lt;/uuid&gt;&lt;volume&gt;48&lt;/volume&gt;&lt;doi&gt;10.2165/11317230-000000000-00000&lt;/doi&gt;&lt;startpage&gt;419&lt;/startpage&gt;&lt;publication_date&gt;99200900001200000000200000&lt;/publication_date&gt;&lt;url&gt;http://link.springer.com/10.2165/11317230-000000000-00000&lt;/url&gt;&lt;type&gt;400&lt;/type&gt;&lt;title&gt;Pharmacokinetic optimization of immunosuppressive therapy in thoracic transplantation: part I.&lt;/title&gt;&lt;publisher&gt;Springer International Publishing&lt;/publisher&gt;&lt;institution&gt;INSERM Unit 850, CHU Limoges, University of Limoges, Limoges, France.&lt;/institution&gt;&lt;number&gt;7&lt;/number&gt;&lt;subtype&gt;400&lt;/subtype&gt;&lt;endpage&gt;462&lt;/endpage&gt;&lt;bundle&gt;&lt;publication&gt;&lt;title&gt;Clinical Pharmacokinetics&lt;/title&gt;&lt;type&gt;-100&lt;/type&gt;&lt;subtype&gt;-100&lt;/subtype&gt;&lt;uuid&gt;9CD3C523-99F2-430A-A532-73A5280AA528&lt;/uuid&gt;&lt;/publication&gt;&lt;/bundle&gt;&lt;authors&gt;&lt;author&gt;&lt;firstName&gt;Caroline&lt;/firstName&gt;&lt;lastName&gt;Monchaud&lt;/lastName&gt;&lt;/author&gt;&lt;author&gt;&lt;firstName&gt;Pierre&lt;/firstName&gt;&lt;lastName&gt;Marquet&lt;/lastName&gt;&lt;/author&gt;&lt;/authors&gt;&lt;/publication&gt;&lt;/publications&gt;&lt;cites&gt;&lt;/cites&gt;&lt;/citation&gt;</w:instrText>
      </w:r>
      <w:r>
        <w:rPr>
          <w:rFonts w:ascii="Arial" w:hAnsi="Arial" w:cs="Arial"/>
          <w:sz w:val="20"/>
          <w:szCs w:val="20"/>
          <w:lang w:val="en-US"/>
        </w:rPr>
        <w:fldChar w:fldCharType="separate"/>
      </w:r>
      <w:r w:rsidR="00D92FF4">
        <w:rPr>
          <w:rFonts w:ascii="Arial" w:eastAsiaTheme="minorHAnsi" w:hAnsi="Arial" w:cs="Arial"/>
          <w:sz w:val="20"/>
          <w:szCs w:val="20"/>
          <w:lang w:val="en-US" w:eastAsia="en-US"/>
        </w:rPr>
        <w:t>[1]</w:t>
      </w:r>
      <w:r>
        <w:rPr>
          <w:rFonts w:ascii="Arial" w:hAnsi="Arial" w:cs="Arial"/>
          <w:sz w:val="20"/>
          <w:szCs w:val="20"/>
          <w:lang w:val="en-US"/>
        </w:rPr>
        <w:fldChar w:fldCharType="end"/>
      </w:r>
      <w:r w:rsidRPr="00814649">
        <w:rPr>
          <w:rFonts w:ascii="Arial" w:hAnsi="Arial" w:cs="Arial"/>
          <w:sz w:val="20"/>
          <w:szCs w:val="20"/>
          <w:lang w:val="en-US"/>
        </w:rPr>
        <w:t xml:space="preserve">. </w:t>
      </w:r>
      <w:r w:rsidRPr="00F76AA4">
        <w:rPr>
          <w:rFonts w:ascii="Arial" w:hAnsi="Arial" w:cs="Arial"/>
          <w:sz w:val="20"/>
          <w:szCs w:val="20"/>
          <w:lang w:val="en-US"/>
        </w:rPr>
        <w:t xml:space="preserve">Although tacrolimus trough concentrations were measured daily we included only the </w:t>
      </w:r>
      <w:r>
        <w:rPr>
          <w:rFonts w:ascii="Arial" w:hAnsi="Arial" w:cs="Arial"/>
          <w:sz w:val="20"/>
          <w:szCs w:val="20"/>
          <w:lang w:val="en-US"/>
        </w:rPr>
        <w:t>tacrolimus blood concentrations that were taken at day 1 to 14</w:t>
      </w:r>
      <w:r w:rsidRPr="00C723E5">
        <w:rPr>
          <w:rFonts w:ascii="Arial" w:hAnsi="Arial" w:cs="Arial"/>
          <w:sz w:val="20"/>
          <w:szCs w:val="20"/>
          <w:lang w:val="en-US"/>
        </w:rPr>
        <w:t xml:space="preserve"> and at 1, 3, 6 and 12 months after transplantation</w:t>
      </w:r>
      <w:r>
        <w:rPr>
          <w:rFonts w:ascii="Arial" w:hAnsi="Arial" w:cs="Arial"/>
          <w:sz w:val="20"/>
          <w:szCs w:val="20"/>
          <w:lang w:val="en-US"/>
        </w:rPr>
        <w:t xml:space="preserve">. </w:t>
      </w:r>
      <w:r w:rsidRPr="00F76AA4">
        <w:rPr>
          <w:rFonts w:ascii="Arial" w:hAnsi="Arial" w:cs="Arial"/>
          <w:sz w:val="20"/>
          <w:szCs w:val="20"/>
          <w:lang w:val="en-US"/>
        </w:rPr>
        <w:t>The tacrolimus blood concentrations were analyzed</w:t>
      </w:r>
      <w:r w:rsidRPr="00C723E5">
        <w:rPr>
          <w:rFonts w:ascii="Arial" w:hAnsi="Arial" w:cs="Arial"/>
          <w:sz w:val="20"/>
          <w:szCs w:val="20"/>
          <w:lang w:val="en-US"/>
        </w:rPr>
        <w:t xml:space="preserve"> </w:t>
      </w:r>
      <w:r w:rsidRPr="00B43F5F">
        <w:rPr>
          <w:rFonts w:ascii="Arial" w:hAnsi="Arial" w:cs="Arial"/>
          <w:sz w:val="20"/>
          <w:szCs w:val="20"/>
          <w:lang w:val="en-US"/>
        </w:rPr>
        <w:t xml:space="preserve">using </w:t>
      </w:r>
      <w:r>
        <w:rPr>
          <w:rFonts w:ascii="Arial" w:hAnsi="Arial" w:cs="Arial"/>
          <w:sz w:val="20"/>
          <w:szCs w:val="20"/>
          <w:lang w:val="en-US"/>
        </w:rPr>
        <w:t xml:space="preserve">a </w:t>
      </w:r>
      <w:r w:rsidRPr="00B43F5F">
        <w:rPr>
          <w:rFonts w:ascii="Arial" w:hAnsi="Arial" w:cs="Arial"/>
          <w:sz w:val="20"/>
          <w:szCs w:val="20"/>
          <w:lang w:val="en-US"/>
        </w:rPr>
        <w:t>micro</w:t>
      </w:r>
      <w:r>
        <w:rPr>
          <w:rFonts w:ascii="Arial" w:hAnsi="Arial" w:cs="Arial"/>
          <w:sz w:val="20"/>
          <w:szCs w:val="20"/>
          <w:lang w:val="en-US"/>
        </w:rPr>
        <w:t>-</w:t>
      </w:r>
      <w:r w:rsidRPr="00B43F5F">
        <w:rPr>
          <w:rFonts w:ascii="Arial" w:hAnsi="Arial" w:cs="Arial"/>
          <w:sz w:val="20"/>
          <w:szCs w:val="20"/>
          <w:lang w:val="en-US"/>
        </w:rPr>
        <w:t xml:space="preserve">particle enzyme immunoassay (Abbott </w:t>
      </w:r>
      <w:proofErr w:type="spellStart"/>
      <w:r w:rsidRPr="00B43F5F">
        <w:rPr>
          <w:rFonts w:ascii="Arial" w:hAnsi="Arial" w:cs="Arial"/>
          <w:sz w:val="20"/>
          <w:szCs w:val="20"/>
          <w:lang w:val="en-US"/>
        </w:rPr>
        <w:t>IMx</w:t>
      </w:r>
      <w:proofErr w:type="spellEnd"/>
      <w:r w:rsidRPr="00B43F5F">
        <w:rPr>
          <w:rFonts w:ascii="Arial" w:hAnsi="Arial" w:cs="Arial"/>
          <w:sz w:val="20"/>
          <w:szCs w:val="20"/>
          <w:lang w:val="en-US"/>
        </w:rPr>
        <w:t>™)</w:t>
      </w:r>
      <w:r>
        <w:rPr>
          <w:rFonts w:ascii="Arial" w:hAnsi="Arial" w:cs="Arial"/>
          <w:sz w:val="20"/>
          <w:szCs w:val="20"/>
          <w:lang w:val="en-US"/>
        </w:rPr>
        <w:t xml:space="preserve">. </w:t>
      </w:r>
      <w:r w:rsidRPr="00925A97">
        <w:rPr>
          <w:rFonts w:ascii="Arial" w:hAnsi="Arial" w:cs="Arial"/>
          <w:sz w:val="20"/>
          <w:szCs w:val="20"/>
          <w:lang w:val="en-US"/>
        </w:rPr>
        <w:t>The immunosuppressive regimen consisted further of basiliximab induction therapy on day 1 and 4 post-operative [20 mg intravenously], corticosteroids [prednisolon 25 mg per day qid intravenously and tapered off to 25 mg od orally after four days] and mycophenolate mofetil [starting dose 1500 mg orally bid, tapered off to 1000 mg bid].</w:t>
      </w:r>
      <w:r w:rsidRPr="00814649">
        <w:rPr>
          <w:rFonts w:ascii="Arial" w:hAnsi="Arial" w:cs="Arial"/>
          <w:sz w:val="20"/>
          <w:szCs w:val="20"/>
          <w:lang w:val="en-US"/>
        </w:rPr>
        <w:t xml:space="preserve"> </w:t>
      </w:r>
      <w:r w:rsidRPr="00925A97">
        <w:rPr>
          <w:rFonts w:ascii="Arial" w:hAnsi="Arial" w:cs="Arial"/>
          <w:sz w:val="20"/>
          <w:szCs w:val="20"/>
          <w:lang w:val="en-US"/>
        </w:rPr>
        <w:t xml:space="preserve">The administration of the following potentially </w:t>
      </w:r>
      <w:r>
        <w:rPr>
          <w:rFonts w:ascii="Arial" w:hAnsi="Arial" w:cs="Arial"/>
          <w:sz w:val="20"/>
          <w:szCs w:val="20"/>
          <w:lang w:val="en-US"/>
        </w:rPr>
        <w:t>nephrotoxic drugs other than tacrolimus</w:t>
      </w:r>
      <w:r w:rsidRPr="00925A97">
        <w:rPr>
          <w:rFonts w:ascii="Arial" w:hAnsi="Arial" w:cs="Arial"/>
          <w:sz w:val="20"/>
          <w:szCs w:val="20"/>
          <w:lang w:val="en-US"/>
        </w:rPr>
        <w:t xml:space="preserve"> was recorded</w:t>
      </w:r>
      <w:r>
        <w:rPr>
          <w:rFonts w:ascii="Arial" w:hAnsi="Arial" w:cs="Arial"/>
          <w:sz w:val="20"/>
          <w:szCs w:val="20"/>
          <w:lang w:val="en-US"/>
        </w:rPr>
        <w:t xml:space="preserve"> </w:t>
      </w:r>
      <w:r w:rsidRPr="00A9549F">
        <w:rPr>
          <w:rFonts w:ascii="Arial" w:hAnsi="Arial" w:cs="Arial"/>
          <w:sz w:val="20"/>
          <w:szCs w:val="20"/>
          <w:lang w:val="en-US"/>
        </w:rPr>
        <w:t>as a categorical va</w:t>
      </w:r>
      <w:r>
        <w:rPr>
          <w:rFonts w:ascii="Arial" w:hAnsi="Arial" w:cs="Arial"/>
          <w:sz w:val="20"/>
          <w:szCs w:val="20"/>
          <w:lang w:val="en-US"/>
        </w:rPr>
        <w:t xml:space="preserve">riable with more categories (0, </w:t>
      </w:r>
      <w:r w:rsidRPr="00A9549F">
        <w:rPr>
          <w:rFonts w:ascii="Arial" w:hAnsi="Arial" w:cs="Arial"/>
          <w:sz w:val="20"/>
          <w:szCs w:val="20"/>
          <w:lang w:val="en-US"/>
        </w:rPr>
        <w:t>1</w:t>
      </w:r>
      <w:r>
        <w:rPr>
          <w:rFonts w:ascii="Arial" w:hAnsi="Arial" w:cs="Arial"/>
          <w:sz w:val="20"/>
          <w:szCs w:val="20"/>
          <w:lang w:val="en-US"/>
        </w:rPr>
        <w:t>, 2</w:t>
      </w:r>
      <w:r w:rsidRPr="00A9549F">
        <w:rPr>
          <w:rFonts w:ascii="Arial" w:hAnsi="Arial" w:cs="Arial"/>
          <w:sz w:val="20"/>
          <w:szCs w:val="20"/>
          <w:lang w:val="en-US"/>
        </w:rPr>
        <w:t xml:space="preserve"> </w:t>
      </w:r>
      <w:r>
        <w:rPr>
          <w:rFonts w:ascii="Arial" w:hAnsi="Arial" w:cs="Arial"/>
          <w:sz w:val="20"/>
          <w:szCs w:val="20"/>
          <w:lang w:val="en-US"/>
        </w:rPr>
        <w:t>or ≥3</w:t>
      </w:r>
      <w:r w:rsidRPr="00A9549F">
        <w:rPr>
          <w:rFonts w:ascii="Arial" w:hAnsi="Arial" w:cs="Arial"/>
          <w:sz w:val="20"/>
          <w:szCs w:val="20"/>
          <w:lang w:val="en-US"/>
        </w:rPr>
        <w:t>)</w:t>
      </w:r>
      <w:r w:rsidRPr="00925A97">
        <w:rPr>
          <w:rFonts w:ascii="Arial" w:hAnsi="Arial" w:cs="Arial"/>
          <w:sz w:val="20"/>
          <w:szCs w:val="20"/>
          <w:lang w:val="en-US"/>
        </w:rPr>
        <w:t>: (val)acyclovir, (val)ganciclovir, tobramycin, gentamicin, furosemide, vancomycin and amphotericin B</w:t>
      </w:r>
      <w:r>
        <w:rPr>
          <w:rFonts w:ascii="Arial" w:hAnsi="Arial" w:cs="Arial"/>
          <w:sz w:val="20"/>
          <w:szCs w:val="20"/>
          <w:lang w:val="en-US"/>
        </w:rPr>
        <w:t>.</w:t>
      </w:r>
      <w:r w:rsidRPr="00A622A6">
        <w:rPr>
          <w:rFonts w:ascii="Arial" w:hAnsi="Arial" w:cs="Arial"/>
          <w:sz w:val="20"/>
          <w:szCs w:val="20"/>
          <w:lang w:val="en-US"/>
        </w:rPr>
        <w:t xml:space="preserve"> </w:t>
      </w:r>
      <w:r w:rsidRPr="00925A97">
        <w:rPr>
          <w:rFonts w:ascii="Arial" w:hAnsi="Arial" w:cs="Arial"/>
          <w:sz w:val="20"/>
          <w:szCs w:val="20"/>
          <w:lang w:val="en-US"/>
        </w:rPr>
        <w:t>Other factors potentially related to kidney injury were recorded as well, such as septic shock, systemic inflammatory response syndrome (SIRS), diagnosis of sarcoidosis, cystic fibrosis (CF), chronic obstructive pulmonary disease (COPD), or alpha-1-antitrypsin deficiency, diabetes, body mass index (BMI), pre-transplant renal function, perioperative</w:t>
      </w:r>
      <w:r w:rsidRPr="00925A97">
        <w:rPr>
          <w:lang w:val="en-US"/>
        </w:rPr>
        <w:t xml:space="preserve"> </w:t>
      </w:r>
      <w:r w:rsidRPr="00925A97">
        <w:rPr>
          <w:rFonts w:ascii="Arial" w:hAnsi="Arial" w:cs="Arial"/>
          <w:sz w:val="20"/>
          <w:szCs w:val="20"/>
          <w:lang w:val="en-US"/>
        </w:rPr>
        <w:t>extracorporeal membrane oxygenation (ECMO), double lung transplantation, and also postoperative profound bleeding for which reoperation was needed, infection</w:t>
      </w:r>
      <w:r>
        <w:rPr>
          <w:rFonts w:ascii="Arial" w:hAnsi="Arial" w:cs="Arial"/>
          <w:sz w:val="20"/>
          <w:szCs w:val="20"/>
          <w:lang w:val="en-US"/>
        </w:rPr>
        <w:t xml:space="preserve"> and </w:t>
      </w:r>
      <w:r w:rsidRPr="00925A97">
        <w:rPr>
          <w:rFonts w:ascii="Arial" w:hAnsi="Arial" w:cs="Arial"/>
          <w:sz w:val="20"/>
          <w:szCs w:val="20"/>
          <w:lang w:val="en-US"/>
        </w:rPr>
        <w:t xml:space="preserve">acute rejection </w:t>
      </w:r>
      <w:r w:rsidRPr="00925A97">
        <w:rPr>
          <w:rFonts w:ascii="Arial" w:hAnsi="Arial" w:cs="Arial"/>
          <w:sz w:val="20"/>
          <w:szCs w:val="20"/>
          <w:lang w:val="en-US"/>
        </w:rPr>
        <w:fldChar w:fldCharType="begin"/>
      </w:r>
      <w:r w:rsidR="00D92FF4">
        <w:rPr>
          <w:rFonts w:ascii="Arial" w:hAnsi="Arial" w:cs="Arial"/>
          <w:sz w:val="20"/>
          <w:szCs w:val="20"/>
          <w:lang w:val="en-US"/>
        </w:rPr>
        <w:instrText xml:space="preserve"> ADDIN PAPERS2_CITATIONS &lt;citation&gt;&lt;uuid&gt;00E9AFF7-C216-4EA8-A69F-2EFF60C13F2A&lt;/uuid&gt;&lt;priority&gt;0&lt;/priority&gt;&lt;publications&gt;&lt;publication&gt;&lt;uuid&gt;916764D1-4E01-4CF4-BE8B-70A1F9E00E58&lt;/uuid&gt;&lt;volume&gt;99&lt;/volume&gt;&lt;accepted_date&gt;99201407301200000000222000&lt;/accepted_date&gt;&lt;doi&gt;10.1016/j.athoracsur.2014.07.073&lt;/doi&gt;&lt;startpage&gt;251&lt;/startpage&gt;&lt;revision_date&gt;99201407271200000000222000&lt;/revision_date&gt;&lt;publication_date&gt;99201501001200000000220000&lt;/publication_date&gt;&lt;url&gt;http://eutils.ncbi.nlm.nih.gov/entrez/eutils/elink.fcgi?dbfrom=pubmed&amp;amp;id=25440281&amp;amp;retmode=ref&amp;amp;cmd=prlinks&lt;/url&gt;&lt;type&gt;400&lt;/type&gt;&lt;title&gt;A risk score to predict acute renal failure in adult patients after lung transplantation.&lt;/title&gt;&lt;submission_date&gt;99201405221200000000222000&lt;/submission_date&gt;&lt;number&gt;1&lt;/number&gt;&lt;institution&gt;Division of Cardiac Surgery, The Johns Hopkins Hospital, Baltimore, Maryland.&lt;/institution&gt;&lt;subtype&gt;400&lt;/subtype&gt;&lt;endpage&gt;257&lt;/endpage&gt;&lt;bundle&gt;&lt;publication&gt;&lt;title&gt;The Annals of thoracic surgery&lt;/title&gt;&lt;type&gt;-100&lt;/type&gt;&lt;subtype&gt;-100&lt;/subtype&gt;&lt;uuid&gt;74F0F174-49E4-49B2-AEFB-8068F5C477BD&lt;/uuid&gt;&lt;/publication&gt;&lt;/bundle&gt;&lt;authors&gt;&lt;author&gt;&lt;firstName&gt;Joshua&lt;/firstName&gt;&lt;middleNames&gt;C&lt;/middleNames&gt;&lt;lastName&gt;Grimm&lt;/lastName&gt;&lt;/author&gt;&lt;author&gt;&lt;firstName&gt;Cecillia&lt;/firstName&gt;&lt;lastName&gt;Lui&lt;/lastName&gt;&lt;/author&gt;&lt;author&gt;&lt;firstName&gt;Arman&lt;/firstName&gt;&lt;lastName&gt;Kilic&lt;/lastName&gt;&lt;/author&gt;&lt;author&gt;&lt;firstName&gt;Vicente&lt;/firstName&gt;&lt;lastName&gt;Valero&lt;/lastName&gt;&lt;/author&gt;&lt;author&gt;&lt;firstName&gt;Christopher&lt;/firstName&gt;&lt;middleNames&gt;M&lt;/middleNames&gt;&lt;lastName&gt;Sciortino&lt;/lastName&gt;&lt;/author&gt;&lt;author&gt;&lt;firstName&gt;Glenn&lt;/firstName&gt;&lt;middleNames&gt;J R&lt;/middleNames&gt;&lt;lastName&gt;Whitman&lt;/lastName&gt;&lt;/author&gt;&lt;author&gt;&lt;firstName&gt;Ashish&lt;/firstName&gt;&lt;middleNames&gt;S&lt;/middleNames&gt;&lt;lastName&gt;Shah&lt;/lastName&gt;&lt;/author&gt;&lt;/authors&gt;&lt;/publication&gt;&lt;/publications&gt;&lt;cites&gt;&lt;/cites&gt;&lt;/citation&gt;</w:instrText>
      </w:r>
      <w:r w:rsidRPr="00925A97">
        <w:rPr>
          <w:rFonts w:ascii="Arial" w:hAnsi="Arial" w:cs="Arial"/>
          <w:sz w:val="20"/>
          <w:szCs w:val="20"/>
          <w:lang w:val="en-US"/>
        </w:rPr>
        <w:fldChar w:fldCharType="separate"/>
      </w:r>
      <w:r w:rsidR="00D92FF4">
        <w:rPr>
          <w:rFonts w:ascii="Arial" w:eastAsiaTheme="minorHAnsi" w:hAnsi="Arial" w:cs="Arial"/>
          <w:sz w:val="20"/>
          <w:szCs w:val="20"/>
          <w:lang w:val="en-US" w:eastAsia="en-US"/>
        </w:rPr>
        <w:t>[2]</w:t>
      </w:r>
      <w:r w:rsidRPr="00925A97">
        <w:rPr>
          <w:rFonts w:ascii="Arial" w:hAnsi="Arial" w:cs="Arial"/>
          <w:sz w:val="20"/>
          <w:szCs w:val="20"/>
          <w:lang w:val="en-US"/>
        </w:rPr>
        <w:fldChar w:fldCharType="end"/>
      </w:r>
      <w:r w:rsidRPr="00925A97">
        <w:rPr>
          <w:rFonts w:ascii="Arial" w:hAnsi="Arial" w:cs="Arial"/>
          <w:sz w:val="20"/>
          <w:szCs w:val="20"/>
          <w:lang w:val="en-US"/>
        </w:rPr>
        <w:t>.</w:t>
      </w:r>
    </w:p>
    <w:p w:rsidR="00E402DB" w:rsidRPr="00925A97" w:rsidRDefault="00E402DB" w:rsidP="00E402DB">
      <w:pPr>
        <w:pStyle w:val="Kop2"/>
        <w:spacing w:line="480" w:lineRule="auto"/>
        <w:ind w:right="133"/>
        <w:jc w:val="both"/>
        <w:rPr>
          <w:rFonts w:cs="Arial"/>
          <w:szCs w:val="20"/>
          <w:lang w:val="en-US"/>
        </w:rPr>
      </w:pPr>
      <w:bookmarkStart w:id="3" w:name="_Toc472322850"/>
      <w:r w:rsidRPr="00814649">
        <w:rPr>
          <w:rFonts w:cs="Arial"/>
          <w:szCs w:val="20"/>
          <w:lang w:val="en-US"/>
        </w:rPr>
        <w:t xml:space="preserve">Definitions of acute kidney injury (AKI) and </w:t>
      </w:r>
      <w:r w:rsidRPr="00925A97">
        <w:rPr>
          <w:rFonts w:cs="Arial"/>
          <w:szCs w:val="20"/>
          <w:lang w:val="en-US"/>
        </w:rPr>
        <w:t xml:space="preserve">chronic kidney disease (CKD) (See Table </w:t>
      </w:r>
      <w:r>
        <w:rPr>
          <w:rFonts w:cs="Arial"/>
          <w:szCs w:val="20"/>
          <w:lang w:val="en-US"/>
        </w:rPr>
        <w:t>S1</w:t>
      </w:r>
      <w:r w:rsidRPr="00925A97">
        <w:rPr>
          <w:rFonts w:cs="Arial"/>
          <w:szCs w:val="20"/>
          <w:lang w:val="en-US"/>
        </w:rPr>
        <w:t>)</w:t>
      </w:r>
      <w:bookmarkEnd w:id="3"/>
    </w:p>
    <w:p w:rsidR="00E402DB" w:rsidRPr="00925A97" w:rsidRDefault="00E402DB" w:rsidP="00E402DB">
      <w:pPr>
        <w:spacing w:line="480" w:lineRule="auto"/>
        <w:ind w:right="133"/>
        <w:jc w:val="both"/>
        <w:rPr>
          <w:rFonts w:ascii="Arial" w:hAnsi="Arial" w:cs="Arial"/>
          <w:sz w:val="20"/>
          <w:szCs w:val="20"/>
          <w:lang w:val="en-US"/>
        </w:rPr>
      </w:pPr>
      <w:r w:rsidRPr="00925A97">
        <w:rPr>
          <w:rFonts w:ascii="Arial" w:hAnsi="Arial" w:cs="Arial"/>
          <w:sz w:val="20"/>
          <w:szCs w:val="20"/>
          <w:lang w:val="en-US"/>
        </w:rPr>
        <w:t>AKI was classified according to the “Kidney Disease: Improving Global Outcomes” (KDIGO) Clinical Practice Guideline, which distinguishes 3 stages</w:t>
      </w:r>
      <w:r w:rsidRPr="00814649">
        <w:rPr>
          <w:rFonts w:ascii="Arial" w:hAnsi="Arial" w:cs="Arial"/>
          <w:sz w:val="20"/>
          <w:szCs w:val="20"/>
          <w:lang w:val="en-US"/>
        </w:rPr>
        <w:t xml:space="preserve"> </w:t>
      </w:r>
      <w:r w:rsidRPr="00925A97">
        <w:rPr>
          <w:rFonts w:ascii="Arial" w:hAnsi="Arial" w:cs="Arial"/>
          <w:sz w:val="20"/>
          <w:szCs w:val="20"/>
          <w:lang w:val="en-US"/>
        </w:rPr>
        <w:fldChar w:fldCharType="begin"/>
      </w:r>
      <w:r w:rsidR="00D92FF4">
        <w:rPr>
          <w:rFonts w:ascii="Arial" w:hAnsi="Arial" w:cs="Arial"/>
          <w:sz w:val="20"/>
          <w:szCs w:val="20"/>
          <w:lang w:val="en-US"/>
        </w:rPr>
        <w:instrText xml:space="preserve"> ADDIN PAPERS2_CITATIONS &lt;citation&gt;&lt;uuid&gt;B344C448-E178-4686-9807-A05568D618CB&lt;/uuid&gt;&lt;priority&gt;0&lt;/priority&gt;&lt;publications&gt;&lt;publication&gt;&lt;volume&gt;17&lt;/volume&gt;&lt;publication_date&gt;99201300001200000000200000&lt;/publication_date&gt;&lt;number&gt;1&lt;/number&gt;&lt;doi&gt;10.1186/cc11454&lt;/doi&gt;&lt;startpage&gt;204&lt;/startpage&gt;&lt;title&gt;Diagnosis, evaluation, and management of acute kidney injury: a KDIGO summary (Part 1).&lt;/title&gt;&lt;uuid&gt;ECAD563B-CA20-4FDB-8A52-8552E70F430C&lt;/uuid&gt;&lt;subtype&gt;400&lt;/subtype&gt;&lt;publisher&gt;BioMed Central&lt;/publisher&gt;&lt;type&gt;400&lt;/type&gt;&lt;url&gt;http://ccforum.biomedcentral.com/articles/10.1186/cc11454&lt;/url&gt;&lt;bundle&gt;&lt;publication&gt;&lt;title&gt;Critical care (London, England)&lt;/title&gt;&lt;type&gt;-100&lt;/type&gt;&lt;subtype&gt;-100&lt;/subtype&gt;&lt;uuid&gt;DB394818-950E-4D29-95B3-6E85F1FB8EE1&lt;/uuid&gt;&lt;/publication&gt;&lt;/bundle&gt;&lt;authors&gt;&lt;author&gt;&lt;firstName&gt;John&lt;/firstName&gt;&lt;middleNames&gt;A&lt;/middleNames&gt;&lt;lastName&gt;Kellum&lt;/lastName&gt;&lt;/author&gt;&lt;author&gt;&lt;firstName&gt;Norbert&lt;/firstName&gt;&lt;lastName&gt;Lameire&lt;/lastName&gt;&lt;/author&gt;&lt;author&gt;&lt;lastName&gt;KDIGO AKI Guideline Work Group&lt;/lastName&gt;&lt;/author&gt;&lt;/authors&gt;&lt;/publication&gt;&lt;/publications&gt;&lt;cites&gt;&lt;/cites&gt;&lt;/citation&gt;</w:instrText>
      </w:r>
      <w:r w:rsidRPr="00925A97">
        <w:rPr>
          <w:rFonts w:ascii="Arial" w:hAnsi="Arial" w:cs="Arial"/>
          <w:sz w:val="20"/>
          <w:szCs w:val="20"/>
          <w:lang w:val="en-US"/>
        </w:rPr>
        <w:fldChar w:fldCharType="separate"/>
      </w:r>
      <w:r w:rsidR="00D92FF4">
        <w:rPr>
          <w:rFonts w:ascii="Arial" w:eastAsiaTheme="minorHAnsi" w:hAnsi="Arial" w:cs="Arial"/>
          <w:sz w:val="20"/>
          <w:szCs w:val="20"/>
          <w:lang w:val="en-US" w:eastAsia="en-US"/>
        </w:rPr>
        <w:t>[3]</w:t>
      </w:r>
      <w:r w:rsidRPr="00925A97">
        <w:rPr>
          <w:rFonts w:ascii="Arial" w:hAnsi="Arial" w:cs="Arial"/>
          <w:sz w:val="20"/>
          <w:szCs w:val="20"/>
          <w:lang w:val="en-US"/>
        </w:rPr>
        <w:fldChar w:fldCharType="end"/>
      </w:r>
      <w:r w:rsidRPr="00814649">
        <w:rPr>
          <w:rFonts w:ascii="Arial" w:hAnsi="Arial" w:cs="Arial"/>
          <w:sz w:val="20"/>
          <w:szCs w:val="20"/>
          <w:lang w:val="en-US"/>
        </w:rPr>
        <w:t xml:space="preserve">. </w:t>
      </w:r>
      <w:r w:rsidRPr="00925A97">
        <w:rPr>
          <w:rFonts w:ascii="Arial" w:hAnsi="Arial" w:cs="Arial"/>
          <w:sz w:val="20"/>
          <w:szCs w:val="20"/>
          <w:lang w:val="en-US"/>
        </w:rPr>
        <w:t>These stages</w:t>
      </w:r>
      <w:r w:rsidRPr="00814649">
        <w:rPr>
          <w:rFonts w:ascii="Arial" w:hAnsi="Arial" w:cs="Arial"/>
          <w:sz w:val="20"/>
          <w:szCs w:val="20"/>
          <w:lang w:val="en-US"/>
        </w:rPr>
        <w:t xml:space="preserve"> were </w:t>
      </w:r>
      <w:r w:rsidRPr="00925A97">
        <w:rPr>
          <w:rFonts w:ascii="Arial" w:hAnsi="Arial" w:cs="Arial"/>
          <w:sz w:val="20"/>
          <w:szCs w:val="20"/>
          <w:lang w:val="en-US"/>
        </w:rPr>
        <w:t xml:space="preserve">solely based on serum creatinine concentration because urine data were unavailable. </w:t>
      </w:r>
      <w:r>
        <w:rPr>
          <w:rFonts w:ascii="Arial" w:hAnsi="Arial" w:cs="Arial"/>
          <w:sz w:val="20"/>
          <w:szCs w:val="20"/>
          <w:lang w:val="en-US"/>
        </w:rPr>
        <w:t xml:space="preserve">Classification was determined by the most severe stage of AKI. Indications for renal replacement therapy were stage 3 combined with hyperkalemia, untreatable hypervolemia, uncorrectable metabolic acidosis and severe azotemia. </w:t>
      </w:r>
      <w:r w:rsidRPr="00925A97">
        <w:rPr>
          <w:rFonts w:ascii="Arial" w:hAnsi="Arial" w:cs="Arial"/>
          <w:sz w:val="20"/>
          <w:szCs w:val="20"/>
          <w:lang w:val="en-US"/>
        </w:rPr>
        <w:t xml:space="preserve">A serum creatinine lower or equal to the baseline creatinine + 5% indicated renal recovery after an AKI event. CKD was determined according to the estimated GFR using the “CKD Epidemiology Collaboration equation (CKD EPI)” </w:t>
      </w:r>
      <w:r w:rsidRPr="00925A97">
        <w:rPr>
          <w:rFonts w:ascii="Arial" w:hAnsi="Arial" w:cs="Arial"/>
          <w:sz w:val="20"/>
          <w:szCs w:val="20"/>
          <w:lang w:val="en-US"/>
        </w:rPr>
        <w:fldChar w:fldCharType="begin"/>
      </w:r>
      <w:r w:rsidR="00D92FF4">
        <w:rPr>
          <w:rFonts w:ascii="Arial" w:hAnsi="Arial" w:cs="Arial"/>
          <w:sz w:val="20"/>
          <w:szCs w:val="20"/>
          <w:lang w:val="en-US"/>
        </w:rPr>
        <w:instrText xml:space="preserve"> ADDIN PAPERS2_CITATIONS &lt;citation&gt;&lt;uuid&gt;A3D9208F-FC42-4A31-9FA6-8BA39E95A701&lt;/uuid&gt;&lt;priority&gt;0&lt;/priority&gt;&lt;publications&gt;&lt;publication&gt;&lt;uuid&gt;29D33F03-3B0F-49B3-A1CC-7EDEA3F46F93&lt;/uuid&gt;&lt;volume&gt;150&lt;/volume&gt;&lt;doi&gt;10.1097/GME.0000000000000416&lt;/doi&gt;&lt;startpage&gt;604&lt;/startpage&gt;&lt;publication_date&gt;99200905051200000000222000&lt;/publication_date&gt;&lt;url&gt;http://content.wkhealth.com/linkback/openurl?sid=WKPTLP:landingpage&amp;amp;an=00042192-900000000-98233&lt;/url&gt;&lt;type&gt;400&lt;/type&gt;&lt;title&gt;A new equation to estimate glomerular filtration rate.&lt;/title&gt;&lt;publisher&gt;NIH Public Access&lt;/publisher&gt;&lt;institution&gt;Tufts Medical Center, Boston, Massachusetts 02111, USA.&lt;/institution&gt;&lt;number&gt;9&lt;/number&gt;&lt;subtype&gt;400&lt;/subtype&gt;&lt;endpage&gt;612&lt;/endpage&gt;&lt;bundle&gt;&lt;publication&gt;&lt;title&gt;Annals of internal medicine&lt;/title&gt;&lt;type&gt;-100&lt;/type&gt;&lt;subtype&gt;-100&lt;/subtype&gt;&lt;uuid&gt;1B44FFC3-8A32-4D43-AAC8-3CC274100366&lt;/uuid&gt;&lt;/publication&gt;&lt;/bundle&gt;&lt;authors&gt;&lt;author&gt;&lt;firstName&gt;Andrew&lt;/firstName&gt;&lt;middleNames&gt;S&lt;/middleNames&gt;&lt;lastName&gt;Levey&lt;/lastName&gt;&lt;/author&gt;&lt;author&gt;&lt;firstName&gt;Lesley&lt;/firstName&gt;&lt;middleNames&gt;A&lt;/middleNames&gt;&lt;lastName&gt;Stevens&lt;/lastName&gt;&lt;/author&gt;&lt;author&gt;&lt;firstName&gt;Christopher&lt;/firstName&gt;&lt;middleNames&gt;H&lt;/middleNames&gt;&lt;lastName&gt;Schmid&lt;/lastName&gt;&lt;/author&gt;&lt;author&gt;&lt;firstName&gt;Yaping&lt;/firstName&gt;&lt;middleNames&gt;Lucy&lt;/middleNames&gt;&lt;lastName&gt;Zhang&lt;/lastName&gt;&lt;/author&gt;&lt;author&gt;&lt;firstName&gt;Alejandro&lt;/firstName&gt;&lt;middleNames&gt;F&lt;/middleNames&gt;&lt;lastName&gt;Castro&lt;/lastName&gt;&lt;/author&gt;&lt;author&gt;&lt;firstName&gt;Harold&lt;/firstName&gt;&lt;middleNames&gt;I&lt;/middleNames&gt;&lt;lastName&gt;Feldman&lt;/lastName&gt;&lt;/author&gt;&lt;author&gt;&lt;firstName&gt;John&lt;/firstName&gt;&lt;middleNames&gt;W&lt;/middleNames&gt;&lt;lastName&gt;Kusek&lt;/lastName&gt;&lt;/author&gt;&lt;author&gt;&lt;firstName&gt;Paul&lt;/firstName&gt;&lt;lastName&gt;Eggers&lt;/lastName&gt;&lt;/author&gt;&lt;author&gt;&lt;nonDroppingParticle&gt;Van&lt;/nonDroppingParticle&gt;&lt;firstName&gt;Frederick&lt;/firstName&gt;&lt;lastName&gt;Lente&lt;/lastName&gt;&lt;/author&gt;&lt;author&gt;&lt;firstName&gt;Tom&lt;/firstName&gt;&lt;lastName&gt;Greene&lt;/lastName&gt;&lt;/author&gt;&lt;author&gt;&lt;firstName&gt;Josef&lt;/firstName&gt;&lt;lastName&gt;Coresh&lt;/lastName&gt;&lt;/author&gt;&lt;author&gt;&lt;lastName&gt;CKD-EPI (Chronic Kidney Disease Epidemiology Collaboration)&lt;/lastName&gt;&lt;/author&gt;&lt;/authors&gt;&lt;/publication&gt;&lt;/publications&gt;&lt;cites&gt;&lt;/cites&gt;&lt;/citation&gt;</w:instrText>
      </w:r>
      <w:r w:rsidRPr="00925A97">
        <w:rPr>
          <w:rFonts w:ascii="Arial" w:hAnsi="Arial" w:cs="Arial"/>
          <w:sz w:val="20"/>
          <w:szCs w:val="20"/>
          <w:lang w:val="en-US"/>
        </w:rPr>
        <w:fldChar w:fldCharType="separate"/>
      </w:r>
      <w:r w:rsidR="00D92FF4">
        <w:rPr>
          <w:rFonts w:ascii="Arial" w:eastAsiaTheme="minorHAnsi" w:hAnsi="Arial" w:cs="Arial"/>
          <w:sz w:val="20"/>
          <w:szCs w:val="20"/>
          <w:lang w:val="en-US" w:eastAsia="en-US"/>
        </w:rPr>
        <w:t>[4]</w:t>
      </w:r>
      <w:r w:rsidRPr="00925A97">
        <w:rPr>
          <w:rFonts w:ascii="Arial" w:hAnsi="Arial" w:cs="Arial"/>
          <w:sz w:val="20"/>
          <w:szCs w:val="20"/>
          <w:lang w:val="en-US"/>
        </w:rPr>
        <w:fldChar w:fldCharType="end"/>
      </w:r>
      <w:r w:rsidRPr="00925A97">
        <w:rPr>
          <w:rFonts w:ascii="Arial" w:hAnsi="Arial" w:cs="Arial"/>
          <w:sz w:val="20"/>
          <w:szCs w:val="20"/>
          <w:lang w:val="en-US"/>
        </w:rPr>
        <w:t>. Albuminuria was not known.</w:t>
      </w:r>
      <w:r w:rsidRPr="00814649">
        <w:rPr>
          <w:rFonts w:ascii="Arial" w:hAnsi="Arial" w:cs="Arial"/>
          <w:sz w:val="20"/>
          <w:szCs w:val="20"/>
          <w:lang w:val="en-US"/>
        </w:rPr>
        <w:t xml:space="preserve"> Therefore, only serum </w:t>
      </w:r>
      <w:r w:rsidRPr="00925A97">
        <w:rPr>
          <w:rFonts w:ascii="Arial" w:hAnsi="Arial" w:cs="Arial"/>
          <w:sz w:val="20"/>
          <w:szCs w:val="20"/>
          <w:lang w:val="en-US"/>
        </w:rPr>
        <w:t>creatinine was used for categorizing CKD. Severe CKD was defined as having a stage 4 or 5 and was evaluated after 3 and 6 months and 1 year.</w:t>
      </w:r>
    </w:p>
    <w:p w:rsidR="00E402DB" w:rsidRPr="00925A97" w:rsidRDefault="00E402DB" w:rsidP="00E402DB">
      <w:pPr>
        <w:pStyle w:val="Kop2"/>
        <w:spacing w:line="480" w:lineRule="auto"/>
        <w:ind w:right="133"/>
        <w:jc w:val="both"/>
        <w:rPr>
          <w:rFonts w:cs="Arial"/>
          <w:szCs w:val="20"/>
          <w:lang w:val="en-US"/>
        </w:rPr>
      </w:pPr>
      <w:bookmarkStart w:id="4" w:name="_Toc472322851"/>
      <w:r w:rsidRPr="00925A97">
        <w:rPr>
          <w:rFonts w:cs="Arial"/>
          <w:szCs w:val="20"/>
          <w:lang w:val="en-US"/>
        </w:rPr>
        <w:t xml:space="preserve">Definitions of the covariates (See Table </w:t>
      </w:r>
      <w:r>
        <w:rPr>
          <w:rFonts w:cs="Arial"/>
          <w:szCs w:val="20"/>
          <w:lang w:val="en-US"/>
        </w:rPr>
        <w:t>S1</w:t>
      </w:r>
      <w:r w:rsidRPr="00925A97">
        <w:rPr>
          <w:rFonts w:cs="Arial"/>
          <w:szCs w:val="20"/>
          <w:lang w:val="en-US"/>
        </w:rPr>
        <w:t>)</w:t>
      </w:r>
      <w:bookmarkEnd w:id="4"/>
    </w:p>
    <w:p w:rsidR="00E402DB" w:rsidRPr="00925A97" w:rsidRDefault="00E402DB" w:rsidP="00E402DB">
      <w:pPr>
        <w:spacing w:line="480" w:lineRule="auto"/>
        <w:ind w:right="133"/>
        <w:jc w:val="both"/>
        <w:rPr>
          <w:rFonts w:ascii="Arial" w:hAnsi="Arial" w:cs="Arial"/>
          <w:sz w:val="20"/>
          <w:szCs w:val="20"/>
          <w:lang w:val="en-US"/>
        </w:rPr>
      </w:pPr>
      <w:r w:rsidRPr="00925A97">
        <w:rPr>
          <w:rFonts w:ascii="Arial" w:hAnsi="Arial" w:cs="Arial"/>
          <w:sz w:val="20"/>
          <w:szCs w:val="20"/>
          <w:lang w:val="en-US"/>
        </w:rPr>
        <w:t xml:space="preserve">SIRS has been defined according to the definition of the American College of Chest Physicians (ACCP) and the Society of Critical Care Medicine Consensus Conference (SCCM) </w:t>
      </w:r>
      <w:r w:rsidRPr="00925A97">
        <w:rPr>
          <w:rFonts w:ascii="Arial" w:hAnsi="Arial" w:cs="Arial"/>
          <w:sz w:val="20"/>
          <w:szCs w:val="20"/>
          <w:lang w:val="en-US"/>
        </w:rPr>
        <w:fldChar w:fldCharType="begin"/>
      </w:r>
      <w:r w:rsidR="00D92FF4">
        <w:rPr>
          <w:rFonts w:ascii="Arial" w:hAnsi="Arial" w:cs="Arial"/>
          <w:sz w:val="20"/>
          <w:szCs w:val="20"/>
          <w:lang w:val="en-US"/>
        </w:rPr>
        <w:instrText xml:space="preserve"> ADDIN PAPERS2_CITATIONS &lt;citation&gt;&lt;uuid&gt;18E8222F-424A-4F9D-8F7F-02D9A0D6D034&lt;/uuid&gt;&lt;priority&gt;0&lt;/priority&gt;&lt;publications&gt;&lt;publication&gt;&lt;volume&gt;101&lt;/volume&gt;&lt;publication_date&gt;99199206001200000000220000&lt;/publication_date&gt;&lt;number&gt;6&lt;/number&gt;&lt;institution&gt;Rush-Presbyterian St. Luke's Medical Center, Chicago 60612.&lt;/institution&gt;&lt;startpage&gt;1644&lt;/startpage&gt;&lt;title&gt;Definitions for sepsis and organ failure and guidelines for the use of innovative therapies in sepsis. The ACCP/SCCM Consensus Conference Committee. American College of Chest Physicians/Society of Critical Care Medicine.&lt;/title&gt;&lt;uuid&gt;78F80B61-8717-47D8-A5A1-BFFA3940EF39&lt;/uuid&gt;&lt;subtype&gt;420&lt;/subtype&gt;&lt;endpage&gt;1655&lt;/endpage&gt;&lt;type&gt;400&lt;/type&gt;&lt;url&gt;http://eutils.ncbi.nlm.nih.gov/entrez/eutils/elink.fcgi?dbfrom=pubmed&amp;amp;id=1303622&amp;amp;retmode=ref&amp;amp;cmd=prlinks&lt;/url&gt;&lt;bundle&gt;&lt;publication&gt;&lt;title&gt;Chest&lt;/title&gt;&lt;type&gt;-200&lt;/type&gt;&lt;subtype&gt;-200&lt;/subtype&gt;&lt;uuid&gt;D8826FDE-7CE0-42FB-A7C6-8AC43BDFCA35&lt;/uuid&gt;&lt;/publication&gt;&lt;/bundle&gt;&lt;authors&gt;&lt;author&gt;&lt;firstName&gt;R&lt;/firstName&gt;&lt;middleNames&gt;C&lt;/middleNames&gt;&lt;lastName&gt;Bone&lt;/lastName&gt;&lt;/author&gt;&lt;author&gt;&lt;firstName&gt;R&lt;/firstName&gt;&lt;middleNames&gt;A&lt;/middleNames&gt;&lt;lastName&gt;Balk&lt;/lastName&gt;&lt;/author&gt;&lt;author&gt;&lt;firstName&gt;F&lt;/firstName&gt;&lt;middleNames&gt;B&lt;/middleNames&gt;&lt;lastName&gt;Cerra&lt;/lastName&gt;&lt;/author&gt;&lt;author&gt;&lt;firstName&gt;R&lt;/firstName&gt;&lt;middleNames&gt;P&lt;/middleNames&gt;&lt;lastName&gt;Dellinger&lt;/lastName&gt;&lt;/author&gt;&lt;author&gt;&lt;firstName&gt;A&lt;/firstName&gt;&lt;middleNames&gt;M&lt;/middleNames&gt;&lt;lastName&gt;Fein&lt;/lastName&gt;&lt;/author&gt;&lt;author&gt;&lt;firstName&gt;W&lt;/firstName&gt;&lt;middleNames&gt;A&lt;/middleNames&gt;&lt;lastName&gt;Knaus&lt;/lastName&gt;&lt;/author&gt;&lt;author&gt;&lt;firstName&gt;R&lt;/firstName&gt;&lt;middleNames&gt;M&lt;/middleNames&gt;&lt;lastName&gt;Schein&lt;/lastName&gt;&lt;/author&gt;&lt;author&gt;&lt;firstName&gt;W&lt;/firstName&gt;&lt;middleNames&gt;J&lt;/middleNames&gt;&lt;lastName&gt;Sibbald&lt;/lastName&gt;&lt;/author&gt;&lt;/authors&gt;&lt;/publication&gt;&lt;/publications&gt;&lt;cites&gt;&lt;/cites&gt;&lt;/citation&gt;</w:instrText>
      </w:r>
      <w:r w:rsidRPr="00925A97">
        <w:rPr>
          <w:rFonts w:ascii="Arial" w:hAnsi="Arial" w:cs="Arial"/>
          <w:sz w:val="20"/>
          <w:szCs w:val="20"/>
          <w:lang w:val="en-US"/>
        </w:rPr>
        <w:fldChar w:fldCharType="separate"/>
      </w:r>
      <w:r w:rsidR="00D92FF4">
        <w:rPr>
          <w:rFonts w:ascii="Arial" w:eastAsiaTheme="minorHAnsi" w:hAnsi="Arial" w:cs="Arial"/>
          <w:sz w:val="20"/>
          <w:szCs w:val="20"/>
          <w:lang w:val="en-US" w:eastAsia="en-US"/>
        </w:rPr>
        <w:t>[5]</w:t>
      </w:r>
      <w:r w:rsidRPr="00925A97">
        <w:rPr>
          <w:rFonts w:ascii="Arial" w:hAnsi="Arial" w:cs="Arial"/>
          <w:sz w:val="20"/>
          <w:szCs w:val="20"/>
          <w:lang w:val="en-US"/>
        </w:rPr>
        <w:fldChar w:fldCharType="end"/>
      </w:r>
      <w:r w:rsidRPr="00814649">
        <w:rPr>
          <w:rFonts w:ascii="Arial" w:hAnsi="Arial" w:cs="Arial"/>
          <w:sz w:val="20"/>
          <w:szCs w:val="20"/>
          <w:lang w:val="en-US"/>
        </w:rPr>
        <w:t xml:space="preserve">. </w:t>
      </w:r>
      <w:r w:rsidRPr="00925A97">
        <w:rPr>
          <w:rFonts w:ascii="Arial" w:hAnsi="Arial" w:cs="Arial"/>
          <w:sz w:val="20"/>
          <w:szCs w:val="20"/>
          <w:lang w:val="en-US"/>
        </w:rPr>
        <w:t>Patients</w:t>
      </w:r>
      <w:r>
        <w:rPr>
          <w:rFonts w:ascii="Arial" w:hAnsi="Arial" w:cs="Arial"/>
          <w:sz w:val="20"/>
          <w:szCs w:val="20"/>
          <w:lang w:val="en-US"/>
        </w:rPr>
        <w:t xml:space="preserve"> </w:t>
      </w:r>
      <w:r w:rsidRPr="00925A97">
        <w:rPr>
          <w:rFonts w:ascii="Arial" w:hAnsi="Arial" w:cs="Arial"/>
          <w:sz w:val="20"/>
          <w:szCs w:val="20"/>
          <w:lang w:val="en-US"/>
        </w:rPr>
        <w:t>considered to have septic shock had SIRS in combination with infusion of at least one inotrope/vasopressive agent. Liver injury was defined as a bilirubin &gt;34 μmol</w:t>
      </w:r>
      <w:r>
        <w:rPr>
          <w:rFonts w:ascii="Arial" w:hAnsi="Arial" w:cs="Arial"/>
          <w:sz w:val="20"/>
          <w:szCs w:val="20"/>
          <w:lang w:val="en-US"/>
        </w:rPr>
        <w:t>/</w:t>
      </w:r>
      <w:r w:rsidRPr="00925A97">
        <w:rPr>
          <w:rFonts w:ascii="Arial" w:hAnsi="Arial" w:cs="Arial"/>
          <w:bCs/>
          <w:sz w:val="20"/>
          <w:szCs w:val="20"/>
          <w:lang w:val="en-US"/>
        </w:rPr>
        <w:t>L</w:t>
      </w:r>
      <w:r w:rsidRPr="00925A97">
        <w:rPr>
          <w:rFonts w:ascii="Arial" w:hAnsi="Arial" w:cs="Arial"/>
          <w:sz w:val="20"/>
          <w:szCs w:val="20"/>
          <w:lang w:val="en-US"/>
        </w:rPr>
        <w:t xml:space="preserve"> or an alanine aminotransferase (ALAT) &gt;90 U</w:t>
      </w:r>
      <w:r>
        <w:rPr>
          <w:rFonts w:ascii="Arial" w:hAnsi="Arial" w:cs="Arial"/>
          <w:b/>
          <w:bCs/>
          <w:sz w:val="20"/>
          <w:szCs w:val="20"/>
          <w:lang w:val="en-US"/>
        </w:rPr>
        <w:t>/</w:t>
      </w:r>
      <w:r w:rsidRPr="00925A97">
        <w:rPr>
          <w:rFonts w:ascii="Arial" w:hAnsi="Arial" w:cs="Arial"/>
          <w:bCs/>
          <w:sz w:val="20"/>
          <w:szCs w:val="20"/>
          <w:lang w:val="en-US"/>
        </w:rPr>
        <w:t>L</w:t>
      </w:r>
      <w:r w:rsidRPr="00925A97">
        <w:rPr>
          <w:rFonts w:ascii="Arial" w:hAnsi="Arial" w:cs="Arial"/>
          <w:b/>
          <w:bCs/>
          <w:sz w:val="20"/>
          <w:szCs w:val="20"/>
          <w:vertAlign w:val="superscript"/>
          <w:lang w:val="en-US"/>
        </w:rPr>
        <w:t xml:space="preserve"> </w:t>
      </w:r>
      <w:r w:rsidRPr="00925A97">
        <w:rPr>
          <w:rFonts w:ascii="Arial" w:hAnsi="Arial" w:cs="Arial"/>
          <w:sz w:val="20"/>
          <w:szCs w:val="20"/>
          <w:lang w:val="en-US"/>
        </w:rPr>
        <w:t>for men and &gt;70 U</w:t>
      </w:r>
      <w:r>
        <w:rPr>
          <w:rFonts w:ascii="Arial" w:hAnsi="Arial" w:cs="Arial"/>
          <w:sz w:val="20"/>
          <w:szCs w:val="20"/>
          <w:lang w:val="en-US"/>
        </w:rPr>
        <w:t>/</w:t>
      </w:r>
      <w:r w:rsidRPr="00925A97">
        <w:rPr>
          <w:rFonts w:ascii="Arial" w:hAnsi="Arial" w:cs="Arial"/>
          <w:sz w:val="20"/>
          <w:szCs w:val="20"/>
          <w:lang w:val="en-US"/>
        </w:rPr>
        <w:t>L for women</w:t>
      </w:r>
      <w:r>
        <w:rPr>
          <w:rFonts w:ascii="Arial" w:hAnsi="Arial" w:cs="Arial"/>
          <w:sz w:val="20"/>
          <w:szCs w:val="20"/>
          <w:lang w:val="en-US"/>
        </w:rPr>
        <w:t xml:space="preserve"> </w:t>
      </w:r>
      <w:r>
        <w:rPr>
          <w:rFonts w:ascii="Arial" w:hAnsi="Arial" w:cs="Arial"/>
          <w:sz w:val="20"/>
          <w:szCs w:val="20"/>
          <w:lang w:val="en-US"/>
        </w:rPr>
        <w:fldChar w:fldCharType="begin"/>
      </w:r>
      <w:r w:rsidR="00D92FF4">
        <w:rPr>
          <w:rFonts w:ascii="Arial" w:hAnsi="Arial" w:cs="Arial"/>
          <w:sz w:val="20"/>
          <w:szCs w:val="20"/>
          <w:lang w:val="en-US"/>
        </w:rPr>
        <w:instrText xml:space="preserve"> ADDIN PAPERS2_CITATIONS &lt;citation&gt;&lt;uuid&gt;9848F76F-E90E-4735-B7BA-2D290A6B4D86&lt;/uuid&gt;&lt;priority&gt;0&lt;/priority&gt;&lt;publications&gt;&lt;publication&gt;&lt;volume&gt;36&lt;/volume&gt;&lt;publication_date&gt;99200411001200000000220000&lt;/publication_date&gt;&lt;number&gt;9&lt;/number&gt;&lt;doi&gt;10.1016/j.transproceed.2004.09.037&lt;/doi&gt;&lt;startpage&gt;2816&lt;/startpage&gt;&lt;title&gt;Can initial tacrolimus trough levels be predicted from clinical variables?&lt;/title&gt;&lt;uuid&gt;A715CD27-E499-4FFD-99F0-AF5E1F3A6506&lt;/uuid&gt;&lt;subtype&gt;400&lt;/subtype&gt;&lt;endpage&gt;2818&lt;/endpage&gt;&lt;type&gt;400&lt;/type&gt;&lt;url&gt;http://linkinghub.elsevier.com/retrieve/pii/S0041134504011078&lt;/url&gt;&lt;bundle&gt;&lt;publication&gt;&lt;publisher&gt;NIH Public Access&lt;/publisher&gt;&lt;title&gt;Transplantation Proceedings&lt;/title&gt;&lt;type&gt;-100&lt;/type&gt;&lt;subtype&gt;-100&lt;/subtype&gt;&lt;uuid&gt;B2802563-3CCE-494B-AFA1-CED72DF5F364&lt;/uuid&gt;&lt;/publication&gt;&lt;/bundle&gt;&lt;authors&gt;&lt;author&gt;&lt;firstName&gt;D&lt;/firstName&gt;&lt;middleNames&gt;A&lt;/middleNames&gt;&lt;lastName&gt;Baran&lt;/lastName&gt;&lt;/author&gt;&lt;author&gt;&lt;firstName&gt;I&lt;/firstName&gt;&lt;middleNames&gt;D&lt;/middleNames&gt;&lt;lastName&gt;Galin&lt;/lastName&gt;&lt;/author&gt;&lt;author&gt;&lt;firstName&gt;M&lt;/firstName&gt;&lt;middleNames&gt;J&lt;/middleNames&gt;&lt;lastName&gt;Zucker&lt;/lastName&gt;&lt;/author&gt;&lt;author&gt;&lt;firstName&gt;S&lt;/firstName&gt;&lt;lastName&gt;Alvi&lt;/lastName&gt;&lt;/author&gt;&lt;author&gt;&lt;firstName&gt;L&lt;/firstName&gt;&lt;middleNames&gt;H&lt;/middleNames&gt;&lt;lastName&gt;Arroyo&lt;/lastName&gt;&lt;/author&gt;&lt;author&gt;&lt;firstName&gt;S&lt;/firstName&gt;&lt;lastName&gt;Lubitz&lt;/lastName&gt;&lt;/author&gt;&lt;author&gt;&lt;firstName&gt;S&lt;/firstName&gt;&lt;lastName&gt;Kaplan&lt;/lastName&gt;&lt;/author&gt;&lt;author&gt;&lt;firstName&gt;R&lt;/firstName&gt;&lt;lastName&gt;Correa&lt;/lastName&gt;&lt;/author&gt;&lt;author&gt;&lt;firstName&gt;M&lt;/firstName&gt;&lt;middleNames&gt;C&lt;/middleNames&gt;&lt;lastName&gt;Courtney&lt;/lastName&gt;&lt;/author&gt;&lt;author&gt;&lt;firstName&gt;M&lt;/firstName&gt;&lt;lastName&gt;Chan&lt;/lastName&gt;&lt;/author&gt;&lt;author&gt;&lt;firstName&gt;D&lt;/firstName&gt;&lt;lastName&gt;Spielvogel&lt;/lastName&gt;&lt;/author&gt;&lt;author&gt;&lt;firstName&gt;S&lt;/firstName&gt;&lt;middleNames&gt;L&lt;/middleNames&gt;&lt;lastName&gt;Lansman&lt;/lastName&gt;&lt;/author&gt;&lt;author&gt;&lt;firstName&gt;A&lt;/firstName&gt;&lt;middleNames&gt;L&lt;/middleNames&gt;&lt;lastName&gt;Gass&lt;/lastName&gt;&lt;/author&gt;&lt;/authors&gt;&lt;/publication&gt;&lt;/publications&gt;&lt;cites&gt;&lt;/cites&gt;&lt;/citation&gt;</w:instrText>
      </w:r>
      <w:r>
        <w:rPr>
          <w:rFonts w:ascii="Arial" w:hAnsi="Arial" w:cs="Arial"/>
          <w:sz w:val="20"/>
          <w:szCs w:val="20"/>
          <w:lang w:val="en-US"/>
        </w:rPr>
        <w:fldChar w:fldCharType="separate"/>
      </w:r>
      <w:r w:rsidR="00D92FF4">
        <w:rPr>
          <w:rFonts w:ascii="Arial" w:eastAsiaTheme="minorHAnsi" w:hAnsi="Arial" w:cs="Arial"/>
          <w:sz w:val="20"/>
          <w:szCs w:val="20"/>
          <w:lang w:val="en-US" w:eastAsia="en-US"/>
        </w:rPr>
        <w:t>[6]</w:t>
      </w:r>
      <w:r>
        <w:rPr>
          <w:rFonts w:ascii="Arial" w:hAnsi="Arial" w:cs="Arial"/>
          <w:sz w:val="20"/>
          <w:szCs w:val="20"/>
          <w:lang w:val="en-US"/>
        </w:rPr>
        <w:fldChar w:fldCharType="end"/>
      </w:r>
      <w:r w:rsidRPr="00925A97">
        <w:rPr>
          <w:rFonts w:ascii="Arial" w:hAnsi="Arial" w:cs="Arial"/>
          <w:sz w:val="20"/>
          <w:szCs w:val="20"/>
          <w:lang w:val="en-US"/>
        </w:rPr>
        <w:t xml:space="preserve">. Drugs influencing tacrolimus pharmacokinetics were also recorded: drugs that potentially increase tacrolimus blood concentrations by inhibition or substrate competition of the </w:t>
      </w:r>
      <w:r>
        <w:rPr>
          <w:rFonts w:ascii="Arial" w:hAnsi="Arial" w:cs="Arial"/>
          <w:sz w:val="20"/>
          <w:szCs w:val="20"/>
          <w:lang w:val="en-US"/>
        </w:rPr>
        <w:t xml:space="preserve">enzymes </w:t>
      </w:r>
      <w:r w:rsidRPr="00925A97">
        <w:rPr>
          <w:rFonts w:ascii="Arial" w:hAnsi="Arial" w:cs="Arial"/>
          <w:sz w:val="20"/>
          <w:szCs w:val="20"/>
          <w:lang w:val="en-US"/>
        </w:rPr>
        <w:t xml:space="preserve">CYP3A4/5 and </w:t>
      </w:r>
      <w:r>
        <w:rPr>
          <w:rFonts w:ascii="Arial" w:hAnsi="Arial" w:cs="Arial"/>
          <w:sz w:val="20"/>
          <w:szCs w:val="20"/>
          <w:lang w:val="en-US"/>
        </w:rPr>
        <w:t>transporter</w:t>
      </w:r>
      <w:r w:rsidRPr="00925A97">
        <w:rPr>
          <w:rFonts w:ascii="Arial" w:hAnsi="Arial" w:cs="Arial"/>
          <w:sz w:val="20"/>
          <w:szCs w:val="20"/>
          <w:lang w:val="en-US"/>
        </w:rPr>
        <w:t xml:space="preserve"> Pgp and drugs that potentially decrease tacrolimus blood concentrations by induction of </w:t>
      </w:r>
      <w:r>
        <w:rPr>
          <w:rFonts w:ascii="Arial" w:hAnsi="Arial" w:cs="Arial"/>
          <w:sz w:val="20"/>
          <w:szCs w:val="20"/>
          <w:lang w:val="en-US"/>
        </w:rPr>
        <w:t xml:space="preserve">the enzymes </w:t>
      </w:r>
      <w:r w:rsidRPr="00925A97">
        <w:rPr>
          <w:rFonts w:ascii="Arial" w:hAnsi="Arial" w:cs="Arial"/>
          <w:sz w:val="20"/>
          <w:szCs w:val="20"/>
          <w:lang w:val="en-US"/>
        </w:rPr>
        <w:t xml:space="preserve">CYP3A4/5 or </w:t>
      </w:r>
      <w:r>
        <w:rPr>
          <w:rFonts w:ascii="Arial" w:hAnsi="Arial" w:cs="Arial"/>
          <w:sz w:val="20"/>
          <w:szCs w:val="20"/>
          <w:lang w:val="en-US"/>
        </w:rPr>
        <w:t xml:space="preserve">transporter </w:t>
      </w:r>
      <w:r w:rsidRPr="00925A97">
        <w:rPr>
          <w:rFonts w:ascii="Arial" w:hAnsi="Arial" w:cs="Arial"/>
          <w:sz w:val="20"/>
          <w:szCs w:val="20"/>
          <w:lang w:val="en-US"/>
        </w:rPr>
        <w:t xml:space="preserve">Pgp </w:t>
      </w:r>
      <w:r w:rsidRPr="00925A97">
        <w:rPr>
          <w:rFonts w:ascii="Arial" w:hAnsi="Arial" w:cs="Arial"/>
          <w:sz w:val="20"/>
          <w:szCs w:val="20"/>
          <w:lang w:val="en-US"/>
        </w:rPr>
        <w:fldChar w:fldCharType="begin"/>
      </w:r>
      <w:r w:rsidR="00D92FF4">
        <w:rPr>
          <w:rFonts w:ascii="Arial" w:hAnsi="Arial" w:cs="Arial"/>
          <w:sz w:val="20"/>
          <w:szCs w:val="20"/>
          <w:lang w:val="en-US"/>
        </w:rPr>
        <w:instrText xml:space="preserve"> ADDIN PAPERS2_CITATIONS &lt;citation&gt;&lt;uuid&gt;714D824A-C296-4F93-A0A1-EB103028A5E8&lt;/uuid&gt;&lt;priority&gt;0&lt;/priority&gt;&lt;publications&gt;&lt;publication&gt;&lt;uuid&gt;B4EAA4EB-FFB7-43B2-B316-A37FA65127C3&lt;/uuid&gt;&lt;volume&gt;15&lt;/volume&gt;&lt;accepted_date&gt;99201503081200000000222000&lt;/accepted_date&gt;&lt;subtitle&gt;Tacrolimus Pharmacokinetics Posttransplant&lt;/subtitle&gt;&lt;doi&gt;10.1111/ajt.13309&lt;/doi&gt;&lt;revision_date&gt;99201502161200000000222000&lt;/revision_date&gt;&lt;startpage&gt;2301&lt;/startpage&gt;&lt;publication_date&gt;99201506041200000000222000&lt;/publication_date&gt;&lt;url&gt;http://doi.wiley.com/10.1111/ajt.13309&lt;/url&gt;&lt;type&gt;400&lt;/type&gt;&lt;title&gt;Pharmacokinetics and Toxicity of Tacrolimus Early After Heart and Lung Transplantation.&lt;/title&gt;&lt;submission_date&gt;99201412031200000000222000&lt;/submission_date&gt;&lt;number&gt;9&lt;/number&gt;&lt;institution&gt;Department of Intensive Care Medicine and National Poisons Information Center, University Medical Center of Utrecht, the Netherlands.&lt;/institution&gt;&lt;subtype&gt;400&lt;/subtype&gt;&lt;endpage&gt;2313&lt;/endpage&gt;&lt;bundle&gt;&lt;publication&gt;&lt;title&gt;American Journal of Transplantation&lt;/title&gt;&lt;type&gt;-100&lt;/type&gt;&lt;subtype&gt;-100&lt;/subtype&gt;&lt;uuid&gt;B1291B99-C4FA-4206-B17C-DC039CBAA985&lt;/uuid&gt;&lt;/publication&gt;&lt;/bundle&gt;&lt;authors&gt;&lt;author&gt;&lt;firstName&gt;M&lt;/firstName&gt;&lt;middleNames&gt;A&lt;/middleNames&gt;&lt;lastName&gt;Sikma&lt;/lastName&gt;&lt;/author&gt;&lt;author&gt;&lt;lastName&gt;Maarseveen&lt;/lastName&gt;&lt;nonDroppingParticle&gt;van&lt;/nonDroppingParticle&gt;&lt;firstName&gt;E&lt;/firstName&gt;&lt;middleNames&gt;M&lt;/middleNames&gt;&lt;/author&gt;&lt;author&gt;&lt;lastName&gt;Graaf&lt;/lastName&gt;&lt;nonDroppingParticle&gt;van de&lt;/nonDroppingParticle&gt;&lt;firstName&gt;E&lt;/firstName&gt;&lt;middleNames&gt;A&lt;/middleNames&gt;&lt;/author&gt;&lt;author&gt;&lt;firstName&gt;J&lt;/firstName&gt;&lt;middleNames&gt;H&lt;/middleNames&gt;&lt;lastName&gt;Kirkels&lt;/lastName&gt;&lt;/author&gt;&lt;author&gt;&lt;firstName&gt;M&lt;/firstName&gt;&lt;middleNames&gt;C&lt;/middleNames&gt;&lt;lastName&gt;Verhaar&lt;/lastName&gt;&lt;/author&gt;&lt;author&gt;&lt;firstName&gt;D&lt;/firstName&gt;&lt;middleNames&gt;W&lt;/middleNames&gt;&lt;lastName&gt;Donker&lt;/lastName&gt;&lt;/author&gt;&lt;author&gt;&lt;firstName&gt;J&lt;/firstName&gt;&lt;lastName&gt;Kesecioglu&lt;/lastName&gt;&lt;/author&gt;&lt;author&gt;&lt;firstName&gt;J&lt;/firstName&gt;&lt;lastName&gt;Meulenbelt&lt;/lastName&gt;&lt;/author&gt;&lt;/authors&gt;&lt;/publication&gt;&lt;/publications&gt;&lt;cites&gt;&lt;/cites&gt;&lt;/citation&gt;</w:instrText>
      </w:r>
      <w:r w:rsidRPr="00925A97">
        <w:rPr>
          <w:rFonts w:ascii="Arial" w:hAnsi="Arial" w:cs="Arial"/>
          <w:sz w:val="20"/>
          <w:szCs w:val="20"/>
          <w:lang w:val="en-US"/>
        </w:rPr>
        <w:fldChar w:fldCharType="separate"/>
      </w:r>
      <w:r w:rsidR="00D92FF4">
        <w:rPr>
          <w:rFonts w:ascii="Arial" w:eastAsiaTheme="minorHAnsi" w:hAnsi="Arial" w:cs="Arial"/>
          <w:sz w:val="20"/>
          <w:szCs w:val="20"/>
          <w:lang w:val="en-US" w:eastAsia="en-US"/>
        </w:rPr>
        <w:t>[7]</w:t>
      </w:r>
      <w:r w:rsidRPr="00925A97">
        <w:rPr>
          <w:rFonts w:ascii="Arial" w:hAnsi="Arial" w:cs="Arial"/>
          <w:sz w:val="20"/>
          <w:szCs w:val="20"/>
          <w:lang w:val="en-US"/>
        </w:rPr>
        <w:fldChar w:fldCharType="end"/>
      </w:r>
      <w:r w:rsidRPr="00814649">
        <w:rPr>
          <w:rFonts w:ascii="Arial" w:hAnsi="Arial" w:cs="Arial"/>
          <w:sz w:val="20"/>
          <w:szCs w:val="20"/>
          <w:lang w:val="en-US"/>
        </w:rPr>
        <w:t>.</w:t>
      </w:r>
      <w:r w:rsidRPr="00925A97">
        <w:rPr>
          <w:rFonts w:ascii="Arial" w:hAnsi="Arial" w:cs="Arial"/>
          <w:sz w:val="20"/>
          <w:szCs w:val="20"/>
          <w:lang w:val="en-US"/>
        </w:rPr>
        <w:t xml:space="preserve"> </w:t>
      </w:r>
    </w:p>
    <w:p w:rsidR="00795916" w:rsidRPr="00795916" w:rsidRDefault="00E402DB" w:rsidP="00795916">
      <w:pPr>
        <w:pStyle w:val="Kop2"/>
        <w:rPr>
          <w:lang w:val="en-US"/>
        </w:rPr>
      </w:pPr>
      <w:bookmarkStart w:id="5" w:name="_Toc472322852"/>
      <w:r w:rsidRPr="00795916">
        <w:rPr>
          <w:lang w:val="en-US"/>
        </w:rPr>
        <w:t>Statistical analyses (See Figure S1 and Table S2)</w:t>
      </w:r>
      <w:bookmarkEnd w:id="5"/>
    </w:p>
    <w:p w:rsidR="00E402DB" w:rsidRPr="00925A97" w:rsidRDefault="00E402DB" w:rsidP="00E402DB">
      <w:pPr>
        <w:spacing w:line="480" w:lineRule="auto"/>
        <w:ind w:right="133"/>
        <w:jc w:val="both"/>
        <w:rPr>
          <w:rFonts w:ascii="Arial" w:hAnsi="Arial" w:cs="Arial"/>
          <w:sz w:val="20"/>
          <w:szCs w:val="20"/>
          <w:lang w:val="en-US"/>
        </w:rPr>
      </w:pPr>
      <w:r w:rsidRPr="00925A97">
        <w:rPr>
          <w:rFonts w:ascii="Arial" w:hAnsi="Arial" w:cs="Arial"/>
          <w:sz w:val="20"/>
          <w:szCs w:val="20"/>
          <w:lang w:val="en-US"/>
        </w:rPr>
        <w:t>Statistical analyses were executed using SPSS version 15.0 for Windows (SPSS® Inc., Chicago, USA) and SAS version 9.2 for Windows (SAS® Institute Inc., Cary, NC, USA). Variables are presented as mean (standard deviation (SD)), median (25th and 75th percentiles)</w:t>
      </w:r>
      <w:r>
        <w:rPr>
          <w:rFonts w:ascii="Arial" w:hAnsi="Arial" w:cs="Arial"/>
          <w:sz w:val="20"/>
          <w:szCs w:val="20"/>
          <w:lang w:val="en-US"/>
        </w:rPr>
        <w:t>, Odds ratio (OR) or estimate with 95% confidence interval (CI)</w:t>
      </w:r>
      <w:r w:rsidRPr="00925A97">
        <w:rPr>
          <w:rFonts w:ascii="Arial" w:hAnsi="Arial" w:cs="Arial"/>
          <w:sz w:val="20"/>
          <w:szCs w:val="20"/>
          <w:lang w:val="en-US"/>
        </w:rPr>
        <w:t xml:space="preserve"> or number (proportion) where appropriate.</w:t>
      </w:r>
      <w:r w:rsidRPr="00925A97">
        <w:rPr>
          <w:lang w:val="en-US"/>
        </w:rPr>
        <w:t xml:space="preserve"> </w:t>
      </w:r>
      <w:r w:rsidRPr="00925A97">
        <w:rPr>
          <w:rFonts w:ascii="Arial" w:hAnsi="Arial" w:cs="Arial"/>
          <w:sz w:val="20"/>
          <w:szCs w:val="20"/>
          <w:lang w:val="en-US"/>
        </w:rPr>
        <w:t>Chi-square tests or Fisher’s exact tests were used to test differences between groups of patients for categorical data. T-tests or Wilcoxon Rank Tests were used for continuous data.</w:t>
      </w:r>
    </w:p>
    <w:p w:rsidR="00E402DB" w:rsidRPr="00925A97" w:rsidRDefault="00E402DB" w:rsidP="00795916">
      <w:pPr>
        <w:pStyle w:val="Kop2"/>
        <w:rPr>
          <w:lang w:val="en-US"/>
        </w:rPr>
      </w:pPr>
      <w:bookmarkStart w:id="6" w:name="_Toc472322853"/>
      <w:r w:rsidRPr="00925A97">
        <w:rPr>
          <w:lang w:val="en-US"/>
        </w:rPr>
        <w:t>Variables influencing the tacrolimus whole-blood trough concentrations</w:t>
      </w:r>
      <w:bookmarkEnd w:id="6"/>
    </w:p>
    <w:p w:rsidR="00E402DB" w:rsidRPr="00925A97" w:rsidRDefault="00E402DB" w:rsidP="00E402DB">
      <w:pPr>
        <w:spacing w:line="480" w:lineRule="auto"/>
        <w:ind w:right="133"/>
        <w:jc w:val="both"/>
        <w:rPr>
          <w:rFonts w:ascii="Arial" w:hAnsi="Arial" w:cs="Arial"/>
          <w:sz w:val="20"/>
          <w:szCs w:val="20"/>
          <w:lang w:val="en-US"/>
        </w:rPr>
      </w:pPr>
      <w:r w:rsidRPr="00925A97">
        <w:rPr>
          <w:rFonts w:ascii="Arial" w:hAnsi="Arial" w:cs="Arial"/>
          <w:sz w:val="20"/>
          <w:szCs w:val="20"/>
          <w:lang w:val="en-US"/>
        </w:rPr>
        <w:t xml:space="preserve">Mixed model analyses were applied to investigate the variables influencing the whole-blood tacrolimus trough concentrations. Analyses were performed using the “PROC MIXED option” in SAS (See Figure </w:t>
      </w:r>
      <w:r>
        <w:rPr>
          <w:rFonts w:ascii="Arial" w:hAnsi="Arial" w:cs="Arial"/>
          <w:sz w:val="20"/>
          <w:szCs w:val="20"/>
          <w:lang w:val="en-US"/>
        </w:rPr>
        <w:t>S1</w:t>
      </w:r>
      <w:r w:rsidRPr="00925A97">
        <w:rPr>
          <w:rFonts w:ascii="Arial" w:hAnsi="Arial" w:cs="Arial"/>
          <w:sz w:val="20"/>
          <w:szCs w:val="20"/>
          <w:lang w:val="en-US"/>
        </w:rPr>
        <w:t xml:space="preserve"> and Table </w:t>
      </w:r>
      <w:r>
        <w:rPr>
          <w:rFonts w:ascii="Arial" w:hAnsi="Arial" w:cs="Arial"/>
          <w:sz w:val="20"/>
          <w:szCs w:val="20"/>
          <w:lang w:val="en-US"/>
        </w:rPr>
        <w:t>S2</w:t>
      </w:r>
      <w:r w:rsidRPr="00925A97">
        <w:rPr>
          <w:rFonts w:ascii="Arial" w:hAnsi="Arial" w:cs="Arial"/>
          <w:sz w:val="20"/>
          <w:szCs w:val="20"/>
          <w:lang w:val="en-US"/>
        </w:rPr>
        <w:t xml:space="preserve">). </w:t>
      </w:r>
      <w:r w:rsidRPr="009733D4">
        <w:rPr>
          <w:rFonts w:ascii="Arial" w:hAnsi="Arial" w:cs="Arial"/>
          <w:sz w:val="20"/>
          <w:szCs w:val="20"/>
          <w:lang w:val="en-US"/>
        </w:rPr>
        <w:t xml:space="preserve">The patient’s identification number was the subject variable. Different variables (Cystic Fibrosis, liver dysfunction, drugs possibly increasing tacrolimus blood concentrations and drugs possibly decreasing tacrolimus blood concentrations) were tested independently and included as fixed factors. Time was included as both a within-subject </w:t>
      </w:r>
      <w:r>
        <w:rPr>
          <w:rFonts w:ascii="Arial" w:hAnsi="Arial" w:cs="Arial"/>
          <w:sz w:val="20"/>
          <w:szCs w:val="20"/>
          <w:lang w:val="en-US"/>
        </w:rPr>
        <w:t>and a between-subject variable.</w:t>
      </w:r>
    </w:p>
    <w:p w:rsidR="00E402DB" w:rsidRPr="00925A97" w:rsidRDefault="00E402DB" w:rsidP="00566B27">
      <w:pPr>
        <w:pStyle w:val="Kop2"/>
        <w:rPr>
          <w:lang w:val="en-US"/>
        </w:rPr>
      </w:pPr>
      <w:bookmarkStart w:id="7" w:name="_Toc472322854"/>
      <w:r w:rsidRPr="00925A97">
        <w:rPr>
          <w:lang w:val="en-US"/>
        </w:rPr>
        <w:t>Variables influencing AKI</w:t>
      </w:r>
      <w:bookmarkEnd w:id="7"/>
    </w:p>
    <w:p w:rsidR="00E402DB" w:rsidRPr="00925A97" w:rsidRDefault="00E402DB" w:rsidP="00E402DB">
      <w:pPr>
        <w:spacing w:line="480" w:lineRule="auto"/>
        <w:ind w:right="133"/>
        <w:jc w:val="both"/>
        <w:rPr>
          <w:rFonts w:ascii="Arial" w:hAnsi="Arial" w:cs="Arial"/>
          <w:sz w:val="20"/>
          <w:szCs w:val="20"/>
          <w:lang w:val="en-US"/>
        </w:rPr>
      </w:pPr>
      <w:r w:rsidRPr="00925A97">
        <w:rPr>
          <w:rFonts w:ascii="Arial" w:hAnsi="Arial" w:cs="Arial"/>
          <w:sz w:val="20"/>
          <w:szCs w:val="20"/>
          <w:lang w:val="en-US"/>
        </w:rPr>
        <w:t xml:space="preserve">In longitudinal data with a dichotomous outcome, outcomes within one patient are correlated. To account for this within-patient effect, we applied Generalized Estimation Equation (GEE) analyses </w:t>
      </w:r>
      <w:r w:rsidRPr="00925A97">
        <w:rPr>
          <w:rFonts w:ascii="Arial" w:hAnsi="Arial" w:cs="Arial"/>
          <w:sz w:val="20"/>
          <w:szCs w:val="20"/>
          <w:lang w:val="en-US"/>
        </w:rPr>
        <w:fldChar w:fldCharType="begin"/>
      </w:r>
      <w:r w:rsidR="00D92FF4">
        <w:rPr>
          <w:rFonts w:ascii="Arial" w:hAnsi="Arial" w:cs="Arial"/>
          <w:sz w:val="20"/>
          <w:szCs w:val="20"/>
          <w:lang w:val="en-US"/>
        </w:rPr>
        <w:instrText xml:space="preserve"> ADDIN PAPERS2_CITATIONS &lt;citation&gt;&lt;uuid&gt;CEC8293F-5476-49C5-B977-316E8A979C1D&lt;/uuid&gt;&lt;priority&gt;0&lt;/priority&gt;&lt;publications&gt;&lt;publication&gt;&lt;volume&gt;42&lt;/volume&gt;&lt;publication_date&gt;99198603001200000000220000&lt;/publication_date&gt;&lt;number&gt;1&lt;/number&gt;&lt;startpage&gt;121&lt;/startpage&gt;&lt;title&gt;Longitudinal data analysis for discrete and continuous outcomes.&lt;/title&gt;&lt;uuid&gt;5378274C-A68B-4A30-A860-932BFB7EC81F&lt;/uuid&gt;&lt;subtype&gt;400&lt;/subtype&gt;&lt;endpage&gt;130&lt;/endpage&gt;&lt;type&gt;400&lt;/type&gt;&lt;url&gt;http://eutils.ncbi.nlm.nih.gov/entrez/eutils/elink.fcgi?dbfrom=pubmed&amp;amp;id=3719049&amp;amp;retmode=ref&amp;amp;cmd=prlinks&lt;/url&gt;&lt;bundle&gt;&lt;publication&gt;&lt;title&gt;Biometrics&lt;/title&gt;&lt;type&gt;-100&lt;/type&gt;&lt;subtype&gt;-100&lt;/subtype&gt;&lt;uuid&gt;0A338C2F-2366-4E55-A813-A5DC36FAA2D2&lt;/uuid&gt;&lt;/publication&gt;&lt;/bundle&gt;&lt;authors&gt;&lt;author&gt;&lt;firstName&gt;S&lt;/firstName&gt;&lt;middleNames&gt;L&lt;/middleNames&gt;&lt;lastName&gt;Zeger&lt;/lastName&gt;&lt;/author&gt;&lt;author&gt;&lt;firstName&gt;K&lt;/firstName&gt;&lt;middleNames&gt;Y&lt;/middleNames&gt;&lt;lastName&gt;Liang&lt;/lastName&gt;&lt;/author&gt;&lt;/authors&gt;&lt;/publication&gt;&lt;/publications&gt;&lt;cites&gt;&lt;/cites&gt;&lt;/citation&gt;</w:instrText>
      </w:r>
      <w:r w:rsidRPr="00925A97">
        <w:rPr>
          <w:rFonts w:ascii="Arial" w:hAnsi="Arial" w:cs="Arial"/>
          <w:sz w:val="20"/>
          <w:szCs w:val="20"/>
          <w:lang w:val="en-US"/>
        </w:rPr>
        <w:fldChar w:fldCharType="separate"/>
      </w:r>
      <w:r w:rsidR="00D92FF4">
        <w:rPr>
          <w:rFonts w:ascii="Arial" w:eastAsiaTheme="minorHAnsi" w:hAnsi="Arial" w:cs="Arial"/>
          <w:sz w:val="20"/>
          <w:szCs w:val="20"/>
          <w:lang w:val="en-US" w:eastAsia="en-US"/>
        </w:rPr>
        <w:t>[8]</w:t>
      </w:r>
      <w:r w:rsidRPr="00925A97">
        <w:rPr>
          <w:rFonts w:ascii="Arial" w:hAnsi="Arial" w:cs="Arial"/>
          <w:sz w:val="20"/>
          <w:szCs w:val="20"/>
          <w:lang w:val="en-US"/>
        </w:rPr>
        <w:fldChar w:fldCharType="end"/>
      </w:r>
      <w:r w:rsidRPr="00814649">
        <w:rPr>
          <w:rFonts w:ascii="Arial" w:hAnsi="Arial" w:cs="Arial"/>
          <w:sz w:val="20"/>
          <w:szCs w:val="20"/>
          <w:lang w:val="en-US"/>
        </w:rPr>
        <w:t>. The “PROC GENMOD” in SAS was</w:t>
      </w:r>
      <w:r w:rsidRPr="00925A97">
        <w:rPr>
          <w:rFonts w:ascii="Arial" w:hAnsi="Arial" w:cs="Arial"/>
          <w:sz w:val="20"/>
          <w:szCs w:val="20"/>
          <w:lang w:val="en-US"/>
        </w:rPr>
        <w:t xml:space="preserve"> used to study whether a high whole-blood tacrolimus trough concentration, SIRS, septic shock and the administration of a nephrotoxic drug, not being tacrolimus, were predictive of AKI up to 6 and 14 days after transplantation.</w:t>
      </w:r>
      <w:r w:rsidRPr="00925A97">
        <w:rPr>
          <w:lang w:val="en-US"/>
        </w:rPr>
        <w:t xml:space="preserve"> </w:t>
      </w:r>
    </w:p>
    <w:p w:rsidR="00E402DB" w:rsidRPr="00925A97" w:rsidRDefault="00E402DB" w:rsidP="00566B27">
      <w:pPr>
        <w:pStyle w:val="Kop2"/>
        <w:rPr>
          <w:lang w:val="en-US"/>
        </w:rPr>
      </w:pPr>
      <w:bookmarkStart w:id="8" w:name="_Toc472322855"/>
      <w:r w:rsidRPr="00925A97">
        <w:rPr>
          <w:lang w:val="en-US"/>
        </w:rPr>
        <w:t>Relationship between AKI, recovery and CKD</w:t>
      </w:r>
      <w:bookmarkEnd w:id="8"/>
    </w:p>
    <w:p w:rsidR="00E402DB" w:rsidRPr="00925A97" w:rsidRDefault="00E402DB" w:rsidP="00E402DB">
      <w:pPr>
        <w:spacing w:line="480" w:lineRule="auto"/>
        <w:ind w:right="133"/>
        <w:jc w:val="both"/>
        <w:rPr>
          <w:rFonts w:ascii="Arial" w:hAnsi="Arial" w:cs="Arial"/>
          <w:sz w:val="20"/>
          <w:szCs w:val="20"/>
          <w:lang w:val="en-US"/>
        </w:rPr>
      </w:pPr>
      <w:r w:rsidRPr="00925A97">
        <w:rPr>
          <w:rFonts w:ascii="Arial" w:hAnsi="Arial" w:cs="Arial"/>
          <w:sz w:val="20"/>
          <w:szCs w:val="20"/>
          <w:lang w:val="en-US"/>
        </w:rPr>
        <w:t>Kaplan-Meier analyses were performed to study the probability of surviving without CKD up to one year. We distinguished three groups of patients: group 1 included patients without AKI between day 1 and day 14; group 2 included patients having AKI between day 1 and day 14 with recovery at 1 month; and group 3 included patients with AKI between day 1 and day 14 without recovery at 1 month. Differences between the three groups of patients were tested using the log rank test. Differences between CF and non-CF patients were tested using the same method.</w:t>
      </w:r>
    </w:p>
    <w:p w:rsidR="00D92FF4" w:rsidRDefault="00D92FF4" w:rsidP="00E402DB">
      <w:pPr>
        <w:spacing w:line="480" w:lineRule="auto"/>
        <w:rPr>
          <w:rFonts w:ascii="Arial" w:eastAsiaTheme="majorEastAsia" w:hAnsi="Arial" w:cs="Arial"/>
          <w:b/>
          <w:bCs/>
          <w:sz w:val="20"/>
          <w:szCs w:val="20"/>
          <w:lang w:val="en-US"/>
        </w:rPr>
      </w:pPr>
    </w:p>
    <w:p w:rsidR="00D92FF4" w:rsidRDefault="00D92FF4" w:rsidP="00E402DB">
      <w:pPr>
        <w:spacing w:line="480" w:lineRule="auto"/>
        <w:rPr>
          <w:rFonts w:ascii="Arial" w:eastAsiaTheme="majorEastAsia" w:hAnsi="Arial" w:cs="Arial"/>
          <w:b/>
          <w:bCs/>
          <w:sz w:val="20"/>
          <w:szCs w:val="20"/>
          <w:lang w:val="en-US"/>
        </w:rPr>
      </w:pPr>
      <w:r>
        <w:rPr>
          <w:rFonts w:ascii="Arial" w:eastAsiaTheme="majorEastAsia" w:hAnsi="Arial" w:cs="Arial"/>
          <w:b/>
          <w:bCs/>
          <w:sz w:val="20"/>
          <w:szCs w:val="20"/>
          <w:lang w:val="en-US"/>
        </w:rPr>
        <w:t>References</w:t>
      </w:r>
    </w:p>
    <w:p w:rsidR="00D92FF4" w:rsidRDefault="00D92FF4" w:rsidP="00D92FF4">
      <w:pPr>
        <w:rPr>
          <w:lang w:val="en-US"/>
        </w:rPr>
      </w:pPr>
    </w:p>
    <w:p w:rsidR="00D92FF4" w:rsidRDefault="00D92FF4" w:rsidP="00D92FF4">
      <w:pPr>
        <w:widowControl w:val="0"/>
        <w:tabs>
          <w:tab w:val="left" w:pos="480"/>
        </w:tabs>
        <w:autoSpaceDE w:val="0"/>
        <w:autoSpaceDN w:val="0"/>
        <w:adjustRightInd w:val="0"/>
        <w:spacing w:after="240"/>
        <w:ind w:left="480" w:hanging="480"/>
        <w:rPr>
          <w:rFonts w:ascii="Calibri" w:eastAsiaTheme="minorHAnsi" w:hAnsi="Calibri" w:cs="Calibri"/>
          <w:lang w:val="en-US" w:eastAsia="en-US"/>
        </w:rPr>
      </w:pPr>
      <w:r>
        <w:rPr>
          <w:lang w:val="en-US"/>
        </w:rPr>
        <w:fldChar w:fldCharType="begin"/>
      </w:r>
      <w:r>
        <w:rPr>
          <w:lang w:val="en-US"/>
        </w:rPr>
        <w:instrText xml:space="preserve"> ADDIN PAPERS2_CITATIONS &lt;papers2_bibliography/&gt;</w:instrText>
      </w:r>
      <w:r>
        <w:rPr>
          <w:lang w:val="en-US"/>
        </w:rPr>
        <w:fldChar w:fldCharType="separate"/>
      </w:r>
      <w:r>
        <w:rPr>
          <w:rFonts w:ascii="Calibri" w:eastAsiaTheme="minorHAnsi" w:hAnsi="Calibri" w:cs="Calibri"/>
          <w:lang w:val="en-US" w:eastAsia="en-US"/>
        </w:rPr>
        <w:t>1.</w:t>
      </w:r>
      <w:r>
        <w:rPr>
          <w:rFonts w:ascii="Calibri" w:eastAsiaTheme="minorHAnsi" w:hAnsi="Calibri" w:cs="Calibri"/>
          <w:lang w:val="en-US" w:eastAsia="en-US"/>
        </w:rPr>
        <w:tab/>
        <w:t xml:space="preserve">Monchaud C, Marquet P. Pharmacokinetic optimization of immunosuppressive therapy in thoracic transplantation: part I. Clinical Pharmacokinetics. Springer International Publishing; 2009;48(7):419–62. </w:t>
      </w:r>
    </w:p>
    <w:p w:rsidR="00D92FF4" w:rsidRDefault="00D92FF4" w:rsidP="00D92FF4">
      <w:pPr>
        <w:widowControl w:val="0"/>
        <w:tabs>
          <w:tab w:val="left" w:pos="480"/>
        </w:tabs>
        <w:autoSpaceDE w:val="0"/>
        <w:autoSpaceDN w:val="0"/>
        <w:adjustRightInd w:val="0"/>
        <w:spacing w:after="240"/>
        <w:ind w:left="480" w:hanging="480"/>
        <w:rPr>
          <w:rFonts w:ascii="Calibri" w:eastAsiaTheme="minorHAnsi" w:hAnsi="Calibri" w:cs="Calibri"/>
          <w:lang w:val="en-US" w:eastAsia="en-US"/>
        </w:rPr>
      </w:pPr>
      <w:r>
        <w:rPr>
          <w:rFonts w:ascii="Calibri" w:eastAsiaTheme="minorHAnsi" w:hAnsi="Calibri" w:cs="Calibri"/>
          <w:lang w:val="en-US" w:eastAsia="en-US"/>
        </w:rPr>
        <w:t>2.</w:t>
      </w:r>
      <w:r>
        <w:rPr>
          <w:rFonts w:ascii="Calibri" w:eastAsiaTheme="minorHAnsi" w:hAnsi="Calibri" w:cs="Calibri"/>
          <w:lang w:val="en-US" w:eastAsia="en-US"/>
        </w:rPr>
        <w:tab/>
        <w:t xml:space="preserve">Grimm JC, Lui C, Kilic A, Valero V, Sciortino CM, Whitman GJR, et al. A risk score to predict acute renal failure in adult patients after lung transplantation. Ann Thorac Surg. 2015 Jan;99(1):251–7. </w:t>
      </w:r>
    </w:p>
    <w:p w:rsidR="00D92FF4" w:rsidRDefault="00D92FF4" w:rsidP="00D92FF4">
      <w:pPr>
        <w:widowControl w:val="0"/>
        <w:tabs>
          <w:tab w:val="left" w:pos="480"/>
        </w:tabs>
        <w:autoSpaceDE w:val="0"/>
        <w:autoSpaceDN w:val="0"/>
        <w:adjustRightInd w:val="0"/>
        <w:spacing w:after="240"/>
        <w:ind w:left="480" w:hanging="480"/>
        <w:rPr>
          <w:rFonts w:ascii="Calibri" w:eastAsiaTheme="minorHAnsi" w:hAnsi="Calibri" w:cs="Calibri"/>
          <w:lang w:val="en-US" w:eastAsia="en-US"/>
        </w:rPr>
      </w:pPr>
      <w:r>
        <w:rPr>
          <w:rFonts w:ascii="Calibri" w:eastAsiaTheme="minorHAnsi" w:hAnsi="Calibri" w:cs="Calibri"/>
          <w:lang w:val="en-US" w:eastAsia="en-US"/>
        </w:rPr>
        <w:t>3.</w:t>
      </w:r>
      <w:r>
        <w:rPr>
          <w:rFonts w:ascii="Calibri" w:eastAsiaTheme="minorHAnsi" w:hAnsi="Calibri" w:cs="Calibri"/>
          <w:lang w:val="en-US" w:eastAsia="en-US"/>
        </w:rPr>
        <w:tab/>
        <w:t xml:space="preserve">Kellum JA, Lameire N, KDIGO AKI Guideline Work Group. Diagnosis, evaluation, and management of acute kidney injury: a KDIGO summary (Part 1). Crit Care. BioMed Central; 2013;17(1):204. </w:t>
      </w:r>
    </w:p>
    <w:p w:rsidR="00D92FF4" w:rsidRDefault="00D92FF4" w:rsidP="00D92FF4">
      <w:pPr>
        <w:widowControl w:val="0"/>
        <w:tabs>
          <w:tab w:val="left" w:pos="480"/>
        </w:tabs>
        <w:autoSpaceDE w:val="0"/>
        <w:autoSpaceDN w:val="0"/>
        <w:adjustRightInd w:val="0"/>
        <w:spacing w:after="240"/>
        <w:ind w:left="480" w:hanging="480"/>
        <w:rPr>
          <w:rFonts w:ascii="Calibri" w:eastAsiaTheme="minorHAnsi" w:hAnsi="Calibri" w:cs="Calibri"/>
          <w:lang w:val="en-US" w:eastAsia="en-US"/>
        </w:rPr>
      </w:pPr>
      <w:r>
        <w:rPr>
          <w:rFonts w:ascii="Calibri" w:eastAsiaTheme="minorHAnsi" w:hAnsi="Calibri" w:cs="Calibri"/>
          <w:lang w:val="en-US" w:eastAsia="en-US"/>
        </w:rPr>
        <w:t>4.</w:t>
      </w:r>
      <w:r>
        <w:rPr>
          <w:rFonts w:ascii="Calibri" w:eastAsiaTheme="minorHAnsi" w:hAnsi="Calibri" w:cs="Calibri"/>
          <w:lang w:val="en-US" w:eastAsia="en-US"/>
        </w:rPr>
        <w:tab/>
        <w:t xml:space="preserve">Levey AS, Stevens LA, Schmid CH, Zhang YL, Castro AF, Feldman HI, et al. A new equation to estimate glomerular filtration rate. Ann Intern Med. NIH Public Access; 2009 May 5;150(9):604–12. </w:t>
      </w:r>
    </w:p>
    <w:p w:rsidR="00D92FF4" w:rsidRDefault="00D92FF4" w:rsidP="00D92FF4">
      <w:pPr>
        <w:widowControl w:val="0"/>
        <w:tabs>
          <w:tab w:val="left" w:pos="480"/>
        </w:tabs>
        <w:autoSpaceDE w:val="0"/>
        <w:autoSpaceDN w:val="0"/>
        <w:adjustRightInd w:val="0"/>
        <w:spacing w:after="240"/>
        <w:ind w:left="480" w:hanging="480"/>
        <w:rPr>
          <w:rFonts w:ascii="Calibri" w:eastAsiaTheme="minorHAnsi" w:hAnsi="Calibri" w:cs="Calibri"/>
          <w:lang w:val="en-US" w:eastAsia="en-US"/>
        </w:rPr>
      </w:pPr>
      <w:r>
        <w:rPr>
          <w:rFonts w:ascii="Calibri" w:eastAsiaTheme="minorHAnsi" w:hAnsi="Calibri" w:cs="Calibri"/>
          <w:lang w:val="en-US" w:eastAsia="en-US"/>
        </w:rPr>
        <w:t>5.</w:t>
      </w:r>
      <w:r>
        <w:rPr>
          <w:rFonts w:ascii="Calibri" w:eastAsiaTheme="minorHAnsi" w:hAnsi="Calibri" w:cs="Calibri"/>
          <w:lang w:val="en-US" w:eastAsia="en-US"/>
        </w:rPr>
        <w:tab/>
        <w:t xml:space="preserve">Bone RC, Balk RA, Cerra FB, Dellinger RP, Fein AM, Knaus WA, et al. Definitions for sepsis and organ failure and guidelines for the use of innovative therapies in sepsis. The ACCP/SCCM Consensus Conference Committee. American College of Chest Physicians/Society of Critical Care Medicine. 1992. pp. 1644–55. </w:t>
      </w:r>
    </w:p>
    <w:p w:rsidR="00D92FF4" w:rsidRDefault="00D92FF4" w:rsidP="00D92FF4">
      <w:pPr>
        <w:widowControl w:val="0"/>
        <w:tabs>
          <w:tab w:val="left" w:pos="480"/>
        </w:tabs>
        <w:autoSpaceDE w:val="0"/>
        <w:autoSpaceDN w:val="0"/>
        <w:adjustRightInd w:val="0"/>
        <w:spacing w:after="240"/>
        <w:ind w:left="480" w:hanging="480"/>
        <w:rPr>
          <w:rFonts w:ascii="Calibri" w:eastAsiaTheme="minorHAnsi" w:hAnsi="Calibri" w:cs="Calibri"/>
          <w:lang w:val="en-US" w:eastAsia="en-US"/>
        </w:rPr>
      </w:pPr>
      <w:r>
        <w:rPr>
          <w:rFonts w:ascii="Calibri" w:eastAsiaTheme="minorHAnsi" w:hAnsi="Calibri" w:cs="Calibri"/>
          <w:lang w:val="en-US" w:eastAsia="en-US"/>
        </w:rPr>
        <w:t>6.</w:t>
      </w:r>
      <w:r>
        <w:rPr>
          <w:rFonts w:ascii="Calibri" w:eastAsiaTheme="minorHAnsi" w:hAnsi="Calibri" w:cs="Calibri"/>
          <w:lang w:val="en-US" w:eastAsia="en-US"/>
        </w:rPr>
        <w:tab/>
        <w:t xml:space="preserve">Baran DA, Galin ID, Zucker MJ, Alvi S, Arroyo LH, Lubitz S, et al. Can initial tacrolimus trough levels be predicted from clinical variables? Transplantation Proceedings. 2004 Nov;36(9):2816–8. </w:t>
      </w:r>
    </w:p>
    <w:p w:rsidR="00D92FF4" w:rsidRDefault="00D92FF4" w:rsidP="00D92FF4">
      <w:pPr>
        <w:widowControl w:val="0"/>
        <w:tabs>
          <w:tab w:val="left" w:pos="480"/>
        </w:tabs>
        <w:autoSpaceDE w:val="0"/>
        <w:autoSpaceDN w:val="0"/>
        <w:adjustRightInd w:val="0"/>
        <w:spacing w:after="240"/>
        <w:ind w:left="480" w:hanging="480"/>
        <w:rPr>
          <w:rFonts w:ascii="Calibri" w:eastAsiaTheme="minorHAnsi" w:hAnsi="Calibri" w:cs="Calibri"/>
          <w:lang w:val="en-US" w:eastAsia="en-US"/>
        </w:rPr>
      </w:pPr>
      <w:r>
        <w:rPr>
          <w:rFonts w:ascii="Calibri" w:eastAsiaTheme="minorHAnsi" w:hAnsi="Calibri" w:cs="Calibri"/>
          <w:lang w:val="en-US" w:eastAsia="en-US"/>
        </w:rPr>
        <w:t>7.</w:t>
      </w:r>
      <w:r>
        <w:rPr>
          <w:rFonts w:ascii="Calibri" w:eastAsiaTheme="minorHAnsi" w:hAnsi="Calibri" w:cs="Calibri"/>
          <w:lang w:val="en-US" w:eastAsia="en-US"/>
        </w:rPr>
        <w:tab/>
        <w:t xml:space="preserve">Sikma MA, van Maarseveen EM, van de Graaf EA, Kirkels JH, Verhaar MC, Donker DW, et al. Pharmacokinetics and Toxicity of Tacrolimus Early After Heart and Lung Transplantation. Am J Transplant. 2015 Jun 4;15(9):2301–13. </w:t>
      </w:r>
    </w:p>
    <w:p w:rsidR="00D92FF4" w:rsidRDefault="00D92FF4" w:rsidP="00D92FF4">
      <w:pPr>
        <w:widowControl w:val="0"/>
        <w:tabs>
          <w:tab w:val="left" w:pos="480"/>
        </w:tabs>
        <w:autoSpaceDE w:val="0"/>
        <w:autoSpaceDN w:val="0"/>
        <w:adjustRightInd w:val="0"/>
        <w:spacing w:after="240"/>
        <w:ind w:left="480" w:hanging="480"/>
        <w:rPr>
          <w:rFonts w:ascii="Calibri" w:eastAsiaTheme="minorHAnsi" w:hAnsi="Calibri" w:cs="Calibri"/>
          <w:lang w:val="en-US" w:eastAsia="en-US"/>
        </w:rPr>
      </w:pPr>
      <w:r>
        <w:rPr>
          <w:rFonts w:ascii="Calibri" w:eastAsiaTheme="minorHAnsi" w:hAnsi="Calibri" w:cs="Calibri"/>
          <w:lang w:val="en-US" w:eastAsia="en-US"/>
        </w:rPr>
        <w:t>8.</w:t>
      </w:r>
      <w:r>
        <w:rPr>
          <w:rFonts w:ascii="Calibri" w:eastAsiaTheme="minorHAnsi" w:hAnsi="Calibri" w:cs="Calibri"/>
          <w:lang w:val="en-US" w:eastAsia="en-US"/>
        </w:rPr>
        <w:tab/>
        <w:t xml:space="preserve">Zeger SL, Liang KY. Longitudinal data analysis for discrete and continuous outcomes. Biometrics. 1986 Mar;42(1):121–30. </w:t>
      </w:r>
    </w:p>
    <w:p w:rsidR="00E402DB" w:rsidRDefault="00D92FF4" w:rsidP="00D92FF4">
      <w:pPr>
        <w:spacing w:line="480" w:lineRule="auto"/>
        <w:rPr>
          <w:rFonts w:ascii="Arial" w:eastAsiaTheme="majorEastAsia" w:hAnsi="Arial" w:cs="Arial"/>
          <w:b/>
          <w:bCs/>
          <w:sz w:val="20"/>
          <w:szCs w:val="20"/>
          <w:lang w:val="en-US"/>
        </w:rPr>
      </w:pPr>
      <w:r>
        <w:rPr>
          <w:lang w:val="en-US"/>
        </w:rPr>
        <w:fldChar w:fldCharType="end"/>
      </w:r>
      <w:r w:rsidR="00E402DB">
        <w:rPr>
          <w:rFonts w:ascii="Arial" w:eastAsiaTheme="majorEastAsia" w:hAnsi="Arial" w:cs="Arial"/>
          <w:b/>
          <w:bCs/>
          <w:sz w:val="20"/>
          <w:szCs w:val="20"/>
          <w:lang w:val="en-US"/>
        </w:rPr>
        <w:br w:type="page"/>
      </w:r>
    </w:p>
    <w:p w:rsidR="00E402DB" w:rsidRDefault="00E402DB" w:rsidP="00E402DB">
      <w:pPr>
        <w:spacing w:line="480" w:lineRule="auto"/>
        <w:rPr>
          <w:rFonts w:ascii="Arial" w:eastAsiaTheme="majorEastAsia" w:hAnsi="Arial" w:cs="Arial"/>
          <w:b/>
          <w:bCs/>
          <w:sz w:val="20"/>
          <w:szCs w:val="20"/>
          <w:lang w:val="en-US"/>
        </w:rPr>
      </w:pPr>
    </w:p>
    <w:p w:rsidR="00E402DB" w:rsidRPr="00814649" w:rsidRDefault="00E402DB" w:rsidP="00E402DB">
      <w:pPr>
        <w:spacing w:line="480" w:lineRule="auto"/>
        <w:rPr>
          <w:rFonts w:ascii="Arial" w:hAnsi="Arial" w:cs="Arial"/>
          <w:sz w:val="20"/>
          <w:szCs w:val="20"/>
          <w:lang w:val="en-US"/>
        </w:rPr>
      </w:pPr>
      <w:r w:rsidRPr="00925A97">
        <w:rPr>
          <w:rFonts w:ascii="Arial" w:hAnsi="Arial" w:cs="Arial"/>
          <w:sz w:val="20"/>
          <w:szCs w:val="20"/>
          <w:lang w:val="en-US"/>
        </w:rPr>
        <w:object w:dxaOrig="15517" w:dyaOrig="4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152.25pt" o:ole="">
            <v:imagedata r:id="rId7" o:title=""/>
          </v:shape>
          <o:OLEObject Type="Embed" ProgID="Visio.Drawing.11" ShapeID="_x0000_i1025" DrawAspect="Content" ObjectID="_1546772804" r:id="rId8"/>
        </w:object>
      </w:r>
    </w:p>
    <w:p w:rsidR="00E402DB" w:rsidRPr="00925A97" w:rsidRDefault="00E402DB" w:rsidP="003F3335">
      <w:pPr>
        <w:pStyle w:val="Kop1"/>
      </w:pPr>
      <w:bookmarkStart w:id="9" w:name="_Toc472322856"/>
      <w:r w:rsidRPr="00925A97">
        <w:rPr>
          <w:rFonts w:eastAsia="Times New Roman"/>
        </w:rPr>
        <w:t xml:space="preserve">Figure </w:t>
      </w:r>
      <w:r>
        <w:rPr>
          <w:rFonts w:eastAsia="Times New Roman"/>
        </w:rPr>
        <w:t>S1</w:t>
      </w:r>
      <w:bookmarkEnd w:id="9"/>
    </w:p>
    <w:p w:rsidR="00E402DB" w:rsidRPr="00925A97" w:rsidRDefault="00E402DB" w:rsidP="00E402DB">
      <w:pPr>
        <w:spacing w:after="200" w:line="480" w:lineRule="auto"/>
        <w:ind w:right="133"/>
        <w:jc w:val="both"/>
        <w:rPr>
          <w:rFonts w:ascii="Arial" w:eastAsia="Times New Roman" w:hAnsi="Arial" w:cs="Arial"/>
          <w:b/>
          <w:sz w:val="20"/>
          <w:szCs w:val="20"/>
          <w:lang w:val="en-US"/>
        </w:rPr>
      </w:pPr>
      <w:r w:rsidRPr="00925A97">
        <w:rPr>
          <w:rFonts w:ascii="Arial" w:eastAsia="Times New Roman" w:hAnsi="Arial" w:cs="Arial"/>
          <w:sz w:val="20"/>
          <w:szCs w:val="20"/>
          <w:lang w:val="en-US"/>
        </w:rPr>
        <w:t>Performed statistical analyses: 1- Linear mixed model, 2- GEE analyses and 3- Kaplan-Meier analyses</w:t>
      </w:r>
    </w:p>
    <w:p w:rsidR="00E402DB" w:rsidRPr="00925A97" w:rsidRDefault="00E402DB" w:rsidP="00E402DB">
      <w:pPr>
        <w:spacing w:after="200" w:line="480" w:lineRule="auto"/>
        <w:ind w:right="-142"/>
        <w:rPr>
          <w:rFonts w:ascii="Arial" w:eastAsia="Times New Roman" w:hAnsi="Arial" w:cs="Arial"/>
          <w:b/>
          <w:sz w:val="20"/>
          <w:szCs w:val="20"/>
          <w:lang w:val="en-US"/>
        </w:rPr>
      </w:pPr>
      <w:r w:rsidRPr="00925A97">
        <w:rPr>
          <w:rFonts w:ascii="Arial" w:eastAsia="Times New Roman" w:hAnsi="Arial" w:cs="Arial"/>
          <w:b/>
          <w:sz w:val="20"/>
          <w:szCs w:val="20"/>
          <w:lang w:val="en-US"/>
        </w:rPr>
        <w:br w:type="page"/>
      </w:r>
    </w:p>
    <w:p w:rsidR="00E402DB" w:rsidRPr="00925A97" w:rsidRDefault="00C258CB" w:rsidP="00E402DB">
      <w:pPr>
        <w:spacing w:after="200" w:line="480" w:lineRule="auto"/>
        <w:ind w:right="-142"/>
        <w:rPr>
          <w:rFonts w:ascii="Arial" w:eastAsia="Times New Roman" w:hAnsi="Arial" w:cs="Arial"/>
          <w:b/>
          <w:sz w:val="20"/>
          <w:szCs w:val="20"/>
          <w:lang w:val="en-US"/>
        </w:rPr>
      </w:pPr>
      <w:r>
        <w:rPr>
          <w:rFonts w:ascii="Arial" w:eastAsia="Times New Roman" w:hAnsi="Arial" w:cs="Arial"/>
          <w:b/>
          <w:noProof/>
          <w:sz w:val="20"/>
          <w:szCs w:val="20"/>
        </w:rPr>
        <w:drawing>
          <wp:inline distT="0" distB="0" distL="0" distR="0">
            <wp:extent cx="5940425" cy="5478343"/>
            <wp:effectExtent l="0" t="0" r="3175" b="8255"/>
            <wp:docPr id="1" name="Afbeelding 1" descr="H:\Documents\maaike\onderzoek\onderzoek\sepsis and clearance\Hoofdstuk 3 Retrospectief LoTx\EJCP\Figure S2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ocuments\maaike\onderzoek\onderzoek\sepsis and clearance\Hoofdstuk 3 Retrospectief LoTx\EJCP\Figure S2_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5478343"/>
                    </a:xfrm>
                    <a:prstGeom prst="rect">
                      <a:avLst/>
                    </a:prstGeom>
                    <a:noFill/>
                    <a:ln>
                      <a:noFill/>
                    </a:ln>
                  </pic:spPr>
                </pic:pic>
              </a:graphicData>
            </a:graphic>
          </wp:inline>
        </w:drawing>
      </w:r>
      <w:r w:rsidR="00E402DB" w:rsidRPr="003F3335">
        <w:rPr>
          <w:rStyle w:val="Kop1Char"/>
          <w:lang w:val="en-US"/>
        </w:rPr>
        <w:t>Fig. S2</w:t>
      </w:r>
      <w:r w:rsidR="00E402DB" w:rsidRPr="00925A97">
        <w:rPr>
          <w:rFonts w:ascii="Arial" w:eastAsia="Times New Roman" w:hAnsi="Arial" w:cs="Arial"/>
          <w:b/>
          <w:sz w:val="20"/>
          <w:szCs w:val="20"/>
          <w:lang w:val="en-US"/>
        </w:rPr>
        <w:t xml:space="preserve"> </w:t>
      </w:r>
    </w:p>
    <w:p w:rsidR="00E402DB" w:rsidRPr="00925A97" w:rsidRDefault="00E402DB" w:rsidP="00E402DB">
      <w:pPr>
        <w:spacing w:after="200" w:line="480" w:lineRule="auto"/>
        <w:ind w:right="133"/>
        <w:rPr>
          <w:rFonts w:ascii="Arial" w:eastAsia="Times New Roman" w:hAnsi="Arial" w:cs="Arial"/>
          <w:b/>
          <w:sz w:val="20"/>
          <w:szCs w:val="20"/>
          <w:lang w:val="en-US"/>
        </w:rPr>
      </w:pPr>
      <w:r w:rsidRPr="00925A97">
        <w:rPr>
          <w:rFonts w:ascii="Arial" w:eastAsia="Times New Roman" w:hAnsi="Arial" w:cs="Arial"/>
          <w:sz w:val="20"/>
          <w:szCs w:val="20"/>
          <w:lang w:val="en-US"/>
        </w:rPr>
        <w:t>Flow-chart: Frequency of AKI and severe chronic kidney disease between</w:t>
      </w:r>
      <w:r w:rsidRPr="00925A97">
        <w:rPr>
          <w:rFonts w:ascii="Arial" w:hAnsi="Arial" w:cs="Arial"/>
          <w:sz w:val="20"/>
          <w:szCs w:val="20"/>
          <w:lang w:val="en-US"/>
        </w:rPr>
        <w:t xml:space="preserve"> </w:t>
      </w:r>
      <w:r w:rsidRPr="00925A97">
        <w:rPr>
          <w:rFonts w:ascii="Arial" w:eastAsia="Times New Roman" w:hAnsi="Arial" w:cs="Arial"/>
          <w:sz w:val="20"/>
          <w:szCs w:val="20"/>
          <w:lang w:val="en-US"/>
        </w:rPr>
        <w:t>day 1 and year 1</w:t>
      </w:r>
    </w:p>
    <w:p w:rsidR="00E402DB" w:rsidRDefault="00E402DB" w:rsidP="00E402DB">
      <w:pPr>
        <w:spacing w:line="480" w:lineRule="auto"/>
        <w:rPr>
          <w:rFonts w:ascii="Arial" w:eastAsia="Times New Roman" w:hAnsi="Arial" w:cs="Arial"/>
          <w:sz w:val="20"/>
          <w:szCs w:val="20"/>
          <w:lang w:val="en-US"/>
        </w:rPr>
      </w:pPr>
      <w:r>
        <w:rPr>
          <w:rFonts w:ascii="Arial" w:eastAsia="Times New Roman" w:hAnsi="Arial" w:cs="Arial"/>
          <w:sz w:val="20"/>
          <w:szCs w:val="20"/>
          <w:lang w:val="en-US"/>
        </w:rPr>
        <w:br w:type="page"/>
      </w:r>
    </w:p>
    <w:p w:rsidR="00E402DB" w:rsidRPr="00925A97" w:rsidRDefault="00E402DB" w:rsidP="00E402DB">
      <w:pPr>
        <w:spacing w:line="480" w:lineRule="auto"/>
        <w:ind w:right="133"/>
        <w:rPr>
          <w:rFonts w:ascii="Arial" w:eastAsia="Times New Roman" w:hAnsi="Arial" w:cs="Arial"/>
          <w:b/>
          <w:sz w:val="20"/>
          <w:szCs w:val="20"/>
          <w:lang w:val="en-US"/>
        </w:rPr>
        <w:sectPr w:rsidR="00E402DB" w:rsidRPr="00925A97" w:rsidSect="00CB6E63">
          <w:pgSz w:w="11900" w:h="16840"/>
          <w:pgMar w:top="1418" w:right="1127" w:bottom="1418" w:left="1418" w:header="709" w:footer="709" w:gutter="0"/>
          <w:lnNumType w:countBy="1"/>
          <w:cols w:space="708"/>
          <w:docGrid w:linePitch="360"/>
        </w:sect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4748"/>
        <w:gridCol w:w="4748"/>
      </w:tblGrid>
      <w:tr w:rsidR="00E402DB" w:rsidRPr="001820FB" w:rsidTr="00553062">
        <w:tc>
          <w:tcPr>
            <w:tcW w:w="9496" w:type="dxa"/>
            <w:gridSpan w:val="2"/>
            <w:shd w:val="clear" w:color="auto" w:fill="auto"/>
          </w:tcPr>
          <w:p w:rsidR="00E402DB" w:rsidRPr="008514BC" w:rsidRDefault="00E402DB" w:rsidP="003F3335">
            <w:pPr>
              <w:pStyle w:val="Kop1"/>
              <w:outlineLvl w:val="0"/>
            </w:pPr>
            <w:bookmarkStart w:id="10" w:name="_Toc472322857"/>
            <w:r w:rsidRPr="00925A97">
              <w:t xml:space="preserve">Table </w:t>
            </w:r>
            <w:r>
              <w:t>S1</w:t>
            </w:r>
            <w:bookmarkEnd w:id="10"/>
          </w:p>
        </w:tc>
      </w:tr>
      <w:tr w:rsidR="00E402DB" w:rsidRPr="00925A97" w:rsidTr="00553062">
        <w:tc>
          <w:tcPr>
            <w:tcW w:w="9496" w:type="dxa"/>
            <w:gridSpan w:val="2"/>
            <w:shd w:val="clear" w:color="auto" w:fill="auto"/>
          </w:tcPr>
          <w:p w:rsidR="00E402DB" w:rsidRPr="00925A97" w:rsidRDefault="00E402DB" w:rsidP="00553062">
            <w:pPr>
              <w:spacing w:line="480" w:lineRule="auto"/>
              <w:ind w:right="133"/>
              <w:rPr>
                <w:rFonts w:ascii="Arial" w:eastAsia="Times New Roman" w:hAnsi="Arial" w:cs="Arial"/>
                <w:b/>
                <w:sz w:val="20"/>
                <w:szCs w:val="20"/>
                <w:lang w:val="en-US"/>
              </w:rPr>
            </w:pPr>
            <w:r w:rsidRPr="00925A97">
              <w:rPr>
                <w:rFonts w:ascii="Arial" w:eastAsiaTheme="majorEastAsia" w:hAnsi="Arial" w:cs="Arial"/>
                <w:bCs/>
                <w:sz w:val="20"/>
                <w:szCs w:val="20"/>
                <w:lang w:val="en-US"/>
              </w:rPr>
              <w:t>Definitions of the covariates</w:t>
            </w:r>
          </w:p>
        </w:tc>
      </w:tr>
      <w:tr w:rsidR="00E402DB" w:rsidRPr="003E7D3C" w:rsidTr="00553062">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imes New Roman" w:hAnsi="Arial" w:cs="Arial"/>
                <w:b/>
                <w:sz w:val="16"/>
                <w:szCs w:val="16"/>
                <w:lang w:val="en-US"/>
              </w:rPr>
              <w:t>Covariate</w:t>
            </w:r>
          </w:p>
        </w:tc>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imes New Roman" w:hAnsi="Arial" w:cs="Arial"/>
                <w:b/>
                <w:sz w:val="16"/>
                <w:szCs w:val="16"/>
                <w:lang w:val="en-US"/>
              </w:rPr>
              <w:t>Definition</w:t>
            </w:r>
          </w:p>
        </w:tc>
      </w:tr>
      <w:tr w:rsidR="00E402DB" w:rsidRPr="003F3335" w:rsidTr="00553062">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sz w:val="16"/>
                <w:szCs w:val="16"/>
                <w:lang w:val="en-US"/>
              </w:rPr>
            </w:pPr>
            <w:r w:rsidRPr="003E7D3C">
              <w:rPr>
                <w:rFonts w:ascii="Arial" w:eastAsia="Times New Roman" w:hAnsi="Arial" w:cs="Arial"/>
                <w:sz w:val="16"/>
                <w:szCs w:val="16"/>
                <w:lang w:val="en-US"/>
              </w:rPr>
              <w:t xml:space="preserve">AKI </w:t>
            </w:r>
          </w:p>
          <w:p w:rsidR="00E402DB" w:rsidRPr="003E7D3C" w:rsidRDefault="00E402DB" w:rsidP="00553062">
            <w:pPr>
              <w:spacing w:line="480" w:lineRule="auto"/>
              <w:ind w:right="133"/>
              <w:rPr>
                <w:rFonts w:ascii="Arial" w:eastAsia="Times New Roman" w:hAnsi="Arial" w:cs="Arial"/>
                <w:sz w:val="16"/>
                <w:szCs w:val="16"/>
                <w:lang w:val="en-US"/>
              </w:rPr>
            </w:pPr>
          </w:p>
          <w:p w:rsidR="00E402DB" w:rsidRPr="003E7D3C" w:rsidRDefault="00E402DB" w:rsidP="00553062">
            <w:pPr>
              <w:spacing w:line="480" w:lineRule="auto"/>
              <w:ind w:right="133"/>
              <w:rPr>
                <w:rFonts w:ascii="Arial" w:eastAsia="Times New Roman" w:hAnsi="Arial" w:cs="Arial"/>
                <w:sz w:val="16"/>
                <w:szCs w:val="16"/>
                <w:lang w:val="en-US"/>
              </w:rPr>
            </w:pPr>
          </w:p>
          <w:p w:rsidR="00E402DB" w:rsidRPr="003E7D3C" w:rsidRDefault="00E402DB" w:rsidP="00553062">
            <w:pPr>
              <w:spacing w:line="480" w:lineRule="auto"/>
              <w:ind w:right="133"/>
              <w:rPr>
                <w:rFonts w:ascii="Arial" w:eastAsia="Times New Roman" w:hAnsi="Arial" w:cs="Arial"/>
                <w:sz w:val="16"/>
                <w:szCs w:val="16"/>
                <w:lang w:val="en-US"/>
              </w:rPr>
            </w:pPr>
          </w:p>
          <w:p w:rsidR="00E402DB" w:rsidRPr="003E7D3C" w:rsidRDefault="00E402DB" w:rsidP="00553062">
            <w:pPr>
              <w:spacing w:line="480" w:lineRule="auto"/>
              <w:ind w:right="133"/>
              <w:rPr>
                <w:rFonts w:ascii="Arial" w:eastAsia="Times New Roman" w:hAnsi="Arial" w:cs="Arial"/>
                <w:sz w:val="16"/>
                <w:szCs w:val="16"/>
                <w:lang w:val="en-US"/>
              </w:rPr>
            </w:pPr>
          </w:p>
          <w:p w:rsidR="00E402DB" w:rsidRPr="003E7D3C" w:rsidRDefault="00E402DB" w:rsidP="00553062">
            <w:pPr>
              <w:spacing w:line="480" w:lineRule="auto"/>
              <w:ind w:right="133"/>
              <w:rPr>
                <w:rFonts w:ascii="Arial" w:eastAsia="Times New Roman" w:hAnsi="Arial" w:cs="Arial"/>
                <w:sz w:val="16"/>
                <w:szCs w:val="16"/>
                <w:lang w:val="en-US"/>
              </w:rPr>
            </w:pPr>
          </w:p>
          <w:p w:rsidR="00E402DB" w:rsidRPr="003E7D3C" w:rsidRDefault="00E402DB" w:rsidP="00553062">
            <w:pPr>
              <w:spacing w:line="480" w:lineRule="auto"/>
              <w:ind w:right="133"/>
              <w:rPr>
                <w:rFonts w:ascii="Arial" w:eastAsia="Times New Roman" w:hAnsi="Arial" w:cs="Arial"/>
                <w:sz w:val="16"/>
                <w:szCs w:val="16"/>
                <w:lang w:val="en-US"/>
              </w:rPr>
            </w:pPr>
          </w:p>
          <w:p w:rsidR="00E402DB" w:rsidRPr="003E7D3C" w:rsidRDefault="00E402DB" w:rsidP="00553062">
            <w:pPr>
              <w:spacing w:line="480" w:lineRule="auto"/>
              <w:ind w:right="133"/>
              <w:rPr>
                <w:rFonts w:ascii="Arial" w:eastAsia="Times New Roman" w:hAnsi="Arial" w:cs="Arial"/>
                <w:sz w:val="16"/>
                <w:szCs w:val="16"/>
                <w:lang w:val="en-US"/>
              </w:rPr>
            </w:pPr>
            <w:r w:rsidRPr="003E7D3C">
              <w:rPr>
                <w:rFonts w:ascii="Arial" w:eastAsia="Times New Roman" w:hAnsi="Arial" w:cs="Arial"/>
                <w:sz w:val="16"/>
                <w:szCs w:val="16"/>
                <w:lang w:val="en-US"/>
              </w:rPr>
              <w:t>CKD</w:t>
            </w:r>
          </w:p>
          <w:p w:rsidR="00E402DB" w:rsidRPr="003E7D3C" w:rsidRDefault="00E402DB" w:rsidP="00553062">
            <w:pPr>
              <w:spacing w:line="480" w:lineRule="auto"/>
              <w:ind w:right="133"/>
              <w:rPr>
                <w:rFonts w:ascii="Arial" w:eastAsia="Times New Roman" w:hAnsi="Arial" w:cs="Arial"/>
                <w:sz w:val="16"/>
                <w:szCs w:val="16"/>
                <w:lang w:val="en-US"/>
              </w:rPr>
            </w:pPr>
          </w:p>
        </w:tc>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sz w:val="16"/>
                <w:szCs w:val="16"/>
                <w:lang w:val="en-US"/>
              </w:rPr>
            </w:pPr>
            <w:r>
              <w:rPr>
                <w:rFonts w:ascii="Arial" w:eastAsia="Times New Roman" w:hAnsi="Arial" w:cs="Arial"/>
                <w:sz w:val="16"/>
                <w:szCs w:val="16"/>
                <w:lang w:val="en-US"/>
              </w:rPr>
              <w:t>“No AKI”</w:t>
            </w:r>
            <w:r w:rsidRPr="003E7D3C">
              <w:rPr>
                <w:rFonts w:ascii="Arial" w:eastAsia="Times New Roman" w:hAnsi="Arial" w:cs="Arial"/>
                <w:sz w:val="16"/>
                <w:szCs w:val="16"/>
                <w:lang w:val="en-US"/>
              </w:rPr>
              <w:tab/>
              <w:t xml:space="preserve">; No increase in serum creatinine from baseline or serum creatinine &lt;354 μmol/L. Stage 1; Increase in serum creatinine ≥26 μmol/L or 150-200% from baseline. Stage 2; Increase in serum creatinine &gt;200% and </w:t>
            </w:r>
            <w:r w:rsidRPr="003E7D3C">
              <w:rPr>
                <w:rFonts w:ascii="Arial" w:hAnsi="Arial" w:cs="Arial"/>
                <w:sz w:val="16"/>
                <w:szCs w:val="16"/>
                <w:lang w:val="en-US"/>
              </w:rPr>
              <w:sym w:font="Symbol" w:char="F0A3"/>
            </w:r>
            <w:r w:rsidRPr="003E7D3C">
              <w:rPr>
                <w:rFonts w:ascii="Arial" w:eastAsia="Times New Roman" w:hAnsi="Arial" w:cs="Arial"/>
                <w:sz w:val="16"/>
                <w:szCs w:val="16"/>
                <w:lang w:val="en-US"/>
              </w:rPr>
              <w:t>300% from baseline. Stage 3; Increase in serum creatinine &gt;300% or ≥354 μmol/L with an acute increase of minimally 44 μmol/L or initiation of renal replacement therapy</w:t>
            </w:r>
          </w:p>
          <w:p w:rsidR="00E402DB" w:rsidRPr="003E7D3C" w:rsidRDefault="00E402DB" w:rsidP="00553062">
            <w:pPr>
              <w:spacing w:line="480" w:lineRule="auto"/>
              <w:ind w:right="133"/>
              <w:rPr>
                <w:rFonts w:ascii="Arial" w:eastAsia="Times New Roman" w:hAnsi="Arial" w:cs="Arial"/>
                <w:sz w:val="16"/>
                <w:szCs w:val="16"/>
                <w:lang w:val="en-US"/>
              </w:rPr>
            </w:pPr>
            <w:r w:rsidRPr="003E7D3C">
              <w:rPr>
                <w:rFonts w:ascii="Arial" w:eastAsia="Times New Roman" w:hAnsi="Arial" w:cs="Arial"/>
                <w:sz w:val="16"/>
                <w:szCs w:val="16"/>
                <w:lang w:val="en-US"/>
              </w:rPr>
              <w:t>GFR categories; G1=normal GFR: ≥90</w:t>
            </w:r>
            <w:r w:rsidRPr="003E7D3C">
              <w:rPr>
                <w:rFonts w:ascii="Arial" w:hAnsi="Arial" w:cs="Arial"/>
                <w:sz w:val="16"/>
                <w:szCs w:val="16"/>
                <w:lang w:val="en-US"/>
              </w:rPr>
              <w:t xml:space="preserve"> </w:t>
            </w:r>
            <w:r w:rsidRPr="003E7D3C">
              <w:rPr>
                <w:rFonts w:ascii="Arial" w:eastAsia="Times New Roman" w:hAnsi="Arial" w:cs="Arial"/>
                <w:sz w:val="16"/>
                <w:szCs w:val="16"/>
                <w:lang w:val="en-US"/>
              </w:rPr>
              <w:t>mL/min /1.73m</w:t>
            </w:r>
            <w:r w:rsidRPr="003E7D3C">
              <w:rPr>
                <w:rFonts w:ascii="Arial" w:eastAsia="Times New Roman" w:hAnsi="Arial" w:cs="Arial"/>
                <w:sz w:val="16"/>
                <w:szCs w:val="16"/>
                <w:vertAlign w:val="superscript"/>
                <w:lang w:val="en-US"/>
              </w:rPr>
              <w:t>2</w:t>
            </w:r>
            <w:r w:rsidRPr="003E7D3C">
              <w:rPr>
                <w:rFonts w:ascii="Arial" w:eastAsia="Times New Roman" w:hAnsi="Arial" w:cs="Arial"/>
                <w:sz w:val="16"/>
                <w:szCs w:val="16"/>
                <w:lang w:val="en-US"/>
              </w:rPr>
              <w:t>, G2=mildly decreased: 60–89</w:t>
            </w:r>
            <w:r w:rsidRPr="003E7D3C">
              <w:rPr>
                <w:rFonts w:ascii="Arial" w:hAnsi="Arial" w:cs="Arial"/>
                <w:sz w:val="16"/>
                <w:szCs w:val="16"/>
                <w:lang w:val="en-US"/>
              </w:rPr>
              <w:t xml:space="preserve"> </w:t>
            </w:r>
            <w:r w:rsidRPr="003E7D3C">
              <w:rPr>
                <w:rFonts w:ascii="Arial" w:eastAsia="Times New Roman" w:hAnsi="Arial" w:cs="Arial"/>
                <w:sz w:val="16"/>
                <w:szCs w:val="16"/>
                <w:lang w:val="en-US"/>
              </w:rPr>
              <w:t>mL/min /1.73m</w:t>
            </w:r>
            <w:r w:rsidRPr="003E7D3C">
              <w:rPr>
                <w:rFonts w:ascii="Arial" w:eastAsia="Times New Roman" w:hAnsi="Arial" w:cs="Arial"/>
                <w:sz w:val="16"/>
                <w:szCs w:val="16"/>
                <w:vertAlign w:val="superscript"/>
                <w:lang w:val="en-US"/>
              </w:rPr>
              <w:t>2</w:t>
            </w:r>
            <w:r w:rsidRPr="003E7D3C">
              <w:rPr>
                <w:rFonts w:ascii="Arial" w:eastAsia="Times New Roman" w:hAnsi="Arial" w:cs="Arial"/>
                <w:sz w:val="16"/>
                <w:szCs w:val="16"/>
                <w:lang w:val="en-US"/>
              </w:rPr>
              <w:t>, G3a/b=mildly to severely decreased: 30-59 mL/min /1.73m</w:t>
            </w:r>
            <w:r w:rsidRPr="003E7D3C">
              <w:rPr>
                <w:rFonts w:ascii="Arial" w:eastAsia="Times New Roman" w:hAnsi="Arial" w:cs="Arial"/>
                <w:sz w:val="16"/>
                <w:szCs w:val="16"/>
                <w:vertAlign w:val="superscript"/>
                <w:lang w:val="en-US"/>
              </w:rPr>
              <w:t>2</w:t>
            </w:r>
            <w:r w:rsidRPr="003E7D3C">
              <w:rPr>
                <w:rFonts w:ascii="Arial" w:eastAsia="Times New Roman" w:hAnsi="Arial" w:cs="Arial"/>
                <w:sz w:val="16"/>
                <w:szCs w:val="16"/>
                <w:lang w:val="en-US"/>
              </w:rPr>
              <w:t>, G4= severely decreased: 15-29 mL/min /1.73m</w:t>
            </w:r>
            <w:r w:rsidRPr="003E7D3C">
              <w:rPr>
                <w:rFonts w:ascii="Arial" w:eastAsia="Times New Roman" w:hAnsi="Arial" w:cs="Arial"/>
                <w:sz w:val="16"/>
                <w:szCs w:val="16"/>
                <w:vertAlign w:val="superscript"/>
                <w:lang w:val="en-US"/>
              </w:rPr>
              <w:t>2</w:t>
            </w:r>
            <w:r w:rsidRPr="003E7D3C">
              <w:rPr>
                <w:rFonts w:ascii="Arial" w:eastAsia="Times New Roman" w:hAnsi="Arial" w:cs="Arial"/>
                <w:sz w:val="16"/>
                <w:szCs w:val="16"/>
                <w:lang w:val="en-US"/>
              </w:rPr>
              <w:t>, G5= Kidney failure: &lt;15 mL/min/1.73m</w:t>
            </w:r>
            <w:r w:rsidRPr="003E7D3C">
              <w:rPr>
                <w:rFonts w:ascii="Arial" w:eastAsia="Times New Roman" w:hAnsi="Arial" w:cs="Arial"/>
                <w:sz w:val="16"/>
                <w:szCs w:val="16"/>
                <w:vertAlign w:val="superscript"/>
                <w:lang w:val="en-US"/>
              </w:rPr>
              <w:t>2</w:t>
            </w:r>
            <w:r w:rsidRPr="003E7D3C">
              <w:rPr>
                <w:rFonts w:ascii="Arial" w:eastAsia="Times New Roman" w:hAnsi="Arial" w:cs="Arial"/>
                <w:sz w:val="16"/>
                <w:szCs w:val="16"/>
                <w:lang w:val="en-US"/>
              </w:rPr>
              <w:t>. GFR = 141 x [min(</w:t>
            </w:r>
            <w:proofErr w:type="spellStart"/>
            <w:r w:rsidRPr="003E7D3C">
              <w:rPr>
                <w:rFonts w:ascii="Arial" w:eastAsia="Times New Roman" w:hAnsi="Arial" w:cs="Arial"/>
                <w:sz w:val="16"/>
                <w:szCs w:val="16"/>
                <w:lang w:val="en-US"/>
              </w:rPr>
              <w:t>Scr</w:t>
            </w:r>
            <w:proofErr w:type="spellEnd"/>
            <w:r w:rsidRPr="003E7D3C">
              <w:rPr>
                <w:rFonts w:ascii="Arial" w:eastAsia="Times New Roman" w:hAnsi="Arial" w:cs="Arial"/>
                <w:sz w:val="16"/>
                <w:szCs w:val="16"/>
                <w:lang w:val="en-US"/>
              </w:rPr>
              <w:t>/κ),1)α x max(</w:t>
            </w:r>
            <w:proofErr w:type="spellStart"/>
            <w:r w:rsidRPr="003E7D3C">
              <w:rPr>
                <w:rFonts w:ascii="Arial" w:eastAsia="Times New Roman" w:hAnsi="Arial" w:cs="Arial"/>
                <w:sz w:val="16"/>
                <w:szCs w:val="16"/>
                <w:lang w:val="en-US"/>
              </w:rPr>
              <w:t>Scr</w:t>
            </w:r>
            <w:proofErr w:type="spellEnd"/>
            <w:r w:rsidRPr="003E7D3C">
              <w:rPr>
                <w:rFonts w:ascii="Arial" w:eastAsia="Times New Roman" w:hAnsi="Arial" w:cs="Arial"/>
                <w:sz w:val="16"/>
                <w:szCs w:val="16"/>
                <w:lang w:val="en-US"/>
              </w:rPr>
              <w:t>/κ),1)-1.209] x</w:t>
            </w:r>
          </w:p>
          <w:p w:rsidR="00E402DB" w:rsidRPr="003E7D3C" w:rsidRDefault="00E402DB" w:rsidP="00553062">
            <w:pPr>
              <w:spacing w:line="480" w:lineRule="auto"/>
              <w:ind w:right="133"/>
              <w:rPr>
                <w:rFonts w:ascii="Arial" w:eastAsia="Times New Roman" w:hAnsi="Arial" w:cs="Arial"/>
                <w:sz w:val="16"/>
                <w:szCs w:val="16"/>
                <w:lang w:val="en-US"/>
              </w:rPr>
            </w:pPr>
            <w:r w:rsidRPr="003E7D3C">
              <w:rPr>
                <w:rFonts w:ascii="Arial" w:eastAsia="Times New Roman" w:hAnsi="Arial" w:cs="Arial"/>
                <w:sz w:val="16"/>
                <w:szCs w:val="16"/>
                <w:lang w:val="en-US"/>
              </w:rPr>
              <w:t>Age-0.993 x 1.018 [if female] x [1.157 if Black]</w:t>
            </w:r>
          </w:p>
          <w:p w:rsidR="00E402DB" w:rsidRPr="003E7D3C" w:rsidRDefault="00E402DB" w:rsidP="00553062">
            <w:pPr>
              <w:spacing w:line="480" w:lineRule="auto"/>
              <w:ind w:right="133"/>
              <w:rPr>
                <w:rFonts w:ascii="Arial" w:eastAsia="Times New Roman" w:hAnsi="Arial" w:cs="Arial"/>
                <w:sz w:val="16"/>
                <w:szCs w:val="16"/>
                <w:lang w:val="en-US"/>
              </w:rPr>
            </w:pPr>
            <w:r w:rsidRPr="003E7D3C">
              <w:rPr>
                <w:rFonts w:ascii="Arial" w:eastAsia="Times New Roman" w:hAnsi="Arial" w:cs="Arial"/>
                <w:sz w:val="16"/>
                <w:szCs w:val="16"/>
                <w:lang w:val="en-US"/>
              </w:rPr>
              <w:t xml:space="preserve">α is 0.329 for females and 0.411 for males; min indicates minimum of </w:t>
            </w:r>
            <w:proofErr w:type="spellStart"/>
            <w:r w:rsidRPr="003E7D3C">
              <w:rPr>
                <w:rFonts w:ascii="Arial" w:eastAsia="Times New Roman" w:hAnsi="Arial" w:cs="Arial"/>
                <w:sz w:val="16"/>
                <w:szCs w:val="16"/>
                <w:lang w:val="en-US"/>
              </w:rPr>
              <w:t>Scr</w:t>
            </w:r>
            <w:proofErr w:type="spellEnd"/>
            <w:r w:rsidRPr="003E7D3C">
              <w:rPr>
                <w:rFonts w:ascii="Arial" w:eastAsia="Times New Roman" w:hAnsi="Arial" w:cs="Arial"/>
                <w:sz w:val="16"/>
                <w:szCs w:val="16"/>
                <w:lang w:val="en-US"/>
              </w:rPr>
              <w:t xml:space="preserve">/κ or 1, and max indicates maximum of </w:t>
            </w:r>
            <w:proofErr w:type="spellStart"/>
            <w:r w:rsidRPr="003E7D3C">
              <w:rPr>
                <w:rFonts w:ascii="Arial" w:eastAsia="Times New Roman" w:hAnsi="Arial" w:cs="Arial"/>
                <w:sz w:val="16"/>
                <w:szCs w:val="16"/>
                <w:lang w:val="en-US"/>
              </w:rPr>
              <w:t>Scr</w:t>
            </w:r>
            <w:proofErr w:type="spellEnd"/>
            <w:r w:rsidRPr="003E7D3C">
              <w:rPr>
                <w:rFonts w:ascii="Arial" w:eastAsia="Times New Roman" w:hAnsi="Arial" w:cs="Arial"/>
                <w:sz w:val="16"/>
                <w:szCs w:val="16"/>
                <w:lang w:val="en-US"/>
              </w:rPr>
              <w:t>/κ or 1</w:t>
            </w:r>
          </w:p>
        </w:tc>
      </w:tr>
      <w:tr w:rsidR="00E402DB" w:rsidRPr="003F3335" w:rsidTr="00553062">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heme="majorEastAsia" w:hAnsi="Arial" w:cs="Arial"/>
                <w:bCs/>
                <w:sz w:val="16"/>
                <w:szCs w:val="16"/>
                <w:lang w:val="en-US"/>
              </w:rPr>
              <w:t>SIRS</w:t>
            </w:r>
          </w:p>
        </w:tc>
        <w:tc>
          <w:tcPr>
            <w:tcW w:w="4748" w:type="dxa"/>
            <w:shd w:val="clear" w:color="auto" w:fill="BFBFBF" w:themeFill="background1" w:themeFillShade="BF"/>
          </w:tcPr>
          <w:p w:rsidR="00E402DB" w:rsidRPr="003E7D3C" w:rsidRDefault="00E402DB" w:rsidP="00553062">
            <w:pPr>
              <w:spacing w:line="480" w:lineRule="auto"/>
              <w:ind w:right="133"/>
              <w:rPr>
                <w:rFonts w:ascii="Arial" w:eastAsiaTheme="majorEastAsia" w:hAnsi="Arial" w:cs="Arial"/>
                <w:bCs/>
                <w:sz w:val="16"/>
                <w:szCs w:val="16"/>
                <w:vertAlign w:val="superscript"/>
                <w:lang w:val="en-US"/>
              </w:rPr>
            </w:pPr>
            <w:r w:rsidRPr="003E7D3C">
              <w:rPr>
                <w:rFonts w:ascii="Arial" w:eastAsiaTheme="majorEastAsia" w:hAnsi="Arial" w:cs="Arial"/>
                <w:bCs/>
                <w:sz w:val="16"/>
                <w:szCs w:val="16"/>
                <w:lang w:val="en-US"/>
              </w:rPr>
              <w:t>Presenting 2 or more of the following criteria: body temperature &lt;36 °C or &gt;38 °C, heart rate &gt;90/min, respiratory rate &gt;20/min, PaCO2 &lt;32 mmHg, mechanical ventilation and leucocyte count &lt;4 X10</w:t>
            </w:r>
            <w:r w:rsidRPr="003E7D3C">
              <w:rPr>
                <w:rFonts w:ascii="Arial" w:eastAsiaTheme="majorEastAsia" w:hAnsi="Arial" w:cs="Arial"/>
                <w:bCs/>
                <w:sz w:val="16"/>
                <w:szCs w:val="16"/>
                <w:vertAlign w:val="superscript"/>
                <w:lang w:val="en-US"/>
              </w:rPr>
              <w:t>9</w:t>
            </w:r>
            <w:r w:rsidRPr="003E7D3C">
              <w:rPr>
                <w:rFonts w:ascii="Arial" w:eastAsiaTheme="majorEastAsia" w:hAnsi="Arial" w:cs="Arial"/>
                <w:bCs/>
                <w:sz w:val="16"/>
                <w:szCs w:val="16"/>
                <w:lang w:val="en-US"/>
              </w:rPr>
              <w:t>/L or &gt;12 X10</w:t>
            </w:r>
            <w:r w:rsidRPr="003E7D3C">
              <w:rPr>
                <w:rFonts w:ascii="Arial" w:eastAsiaTheme="majorEastAsia" w:hAnsi="Arial" w:cs="Arial"/>
                <w:bCs/>
                <w:sz w:val="16"/>
                <w:szCs w:val="16"/>
                <w:vertAlign w:val="superscript"/>
                <w:lang w:val="en-US"/>
              </w:rPr>
              <w:t>9</w:t>
            </w:r>
            <w:r w:rsidRPr="003E7D3C">
              <w:rPr>
                <w:rFonts w:ascii="Arial" w:eastAsiaTheme="majorEastAsia" w:hAnsi="Arial" w:cs="Arial"/>
                <w:bCs/>
                <w:sz w:val="16"/>
                <w:szCs w:val="16"/>
                <w:lang w:val="en-US"/>
              </w:rPr>
              <w:t>/L</w:t>
            </w:r>
          </w:p>
        </w:tc>
      </w:tr>
      <w:tr w:rsidR="00E402DB" w:rsidRPr="003F3335" w:rsidTr="00553062">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heme="majorEastAsia" w:hAnsi="Arial" w:cs="Arial"/>
                <w:bCs/>
                <w:sz w:val="16"/>
                <w:szCs w:val="16"/>
                <w:lang w:val="en-US"/>
              </w:rPr>
              <w:t>Septic shock</w:t>
            </w:r>
          </w:p>
        </w:tc>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heme="majorEastAsia" w:hAnsi="Arial" w:cs="Arial"/>
                <w:bCs/>
                <w:sz w:val="16"/>
                <w:szCs w:val="16"/>
                <w:lang w:val="en-US"/>
              </w:rPr>
              <w:t>SIRS plus at least one inotrope/ vasopressant (norepinephrine, dopamine, dobutamine and milrinone)</w:t>
            </w:r>
          </w:p>
        </w:tc>
      </w:tr>
      <w:tr w:rsidR="00E402DB" w:rsidRPr="003F3335" w:rsidTr="00553062">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heme="majorEastAsia" w:hAnsi="Arial" w:cs="Arial"/>
                <w:bCs/>
                <w:sz w:val="16"/>
                <w:szCs w:val="16"/>
                <w:lang w:val="en-US"/>
              </w:rPr>
              <w:t>Liver injury</w:t>
            </w:r>
          </w:p>
        </w:tc>
        <w:tc>
          <w:tcPr>
            <w:tcW w:w="4748" w:type="dxa"/>
            <w:shd w:val="clear" w:color="auto" w:fill="BFBFBF" w:themeFill="background1" w:themeFillShade="BF"/>
          </w:tcPr>
          <w:p w:rsidR="00E402DB" w:rsidRPr="003E7D3C" w:rsidRDefault="00E402DB" w:rsidP="00553062">
            <w:pPr>
              <w:spacing w:line="480" w:lineRule="auto"/>
              <w:ind w:right="133"/>
              <w:rPr>
                <w:rFonts w:ascii="Arial" w:eastAsiaTheme="majorEastAsia" w:hAnsi="Arial" w:cs="Arial"/>
                <w:bCs/>
                <w:sz w:val="16"/>
                <w:szCs w:val="16"/>
                <w:lang w:val="en-US"/>
              </w:rPr>
            </w:pPr>
            <w:r w:rsidRPr="003E7D3C">
              <w:rPr>
                <w:rFonts w:ascii="Arial" w:eastAsiaTheme="majorEastAsia" w:hAnsi="Arial" w:cs="Arial"/>
                <w:bCs/>
                <w:sz w:val="16"/>
                <w:szCs w:val="16"/>
                <w:lang w:val="en-US"/>
              </w:rPr>
              <w:t>Bilirubin &gt;34 μmol/L or an ALAT &gt;90 U/L for men and &gt;70 U/L for women</w:t>
            </w:r>
          </w:p>
        </w:tc>
      </w:tr>
      <w:tr w:rsidR="00E402DB" w:rsidRPr="003F3335" w:rsidTr="00553062">
        <w:tc>
          <w:tcPr>
            <w:tcW w:w="4748" w:type="dxa"/>
            <w:shd w:val="clear" w:color="auto" w:fill="BFBFBF" w:themeFill="background1" w:themeFillShade="BF"/>
          </w:tcPr>
          <w:p w:rsidR="00E402DB" w:rsidRPr="003E7D3C" w:rsidRDefault="00E402DB" w:rsidP="00553062">
            <w:pPr>
              <w:spacing w:line="480" w:lineRule="auto"/>
              <w:ind w:right="133"/>
              <w:rPr>
                <w:rFonts w:ascii="Arial" w:eastAsiaTheme="majorEastAsia" w:hAnsi="Arial" w:cs="Arial"/>
                <w:bCs/>
                <w:sz w:val="16"/>
                <w:szCs w:val="16"/>
                <w:lang w:val="en-US"/>
              </w:rPr>
            </w:pPr>
            <w:r>
              <w:rPr>
                <w:rFonts w:ascii="Arial" w:eastAsiaTheme="majorEastAsia" w:hAnsi="Arial" w:cs="Arial"/>
                <w:bCs/>
                <w:sz w:val="16"/>
                <w:szCs w:val="16"/>
                <w:lang w:val="en-US"/>
              </w:rPr>
              <w:t>Nephrotoxic drugs other than tacrolimus</w:t>
            </w:r>
          </w:p>
        </w:tc>
        <w:tc>
          <w:tcPr>
            <w:tcW w:w="4748" w:type="dxa"/>
            <w:shd w:val="clear" w:color="auto" w:fill="BFBFBF" w:themeFill="background1" w:themeFillShade="BF"/>
          </w:tcPr>
          <w:p w:rsidR="00E402DB" w:rsidRPr="003E7D3C" w:rsidRDefault="00E402DB" w:rsidP="00553062">
            <w:pPr>
              <w:spacing w:line="480" w:lineRule="auto"/>
              <w:ind w:right="133"/>
              <w:rPr>
                <w:rFonts w:ascii="Arial" w:eastAsiaTheme="majorEastAsia" w:hAnsi="Arial" w:cs="Arial"/>
                <w:bCs/>
                <w:sz w:val="16"/>
                <w:szCs w:val="16"/>
                <w:lang w:val="en-US"/>
              </w:rPr>
            </w:pPr>
            <w:r>
              <w:rPr>
                <w:rFonts w:ascii="Arial" w:eastAsia="Times New Roman" w:hAnsi="Arial" w:cs="Arial"/>
                <w:sz w:val="16"/>
                <w:szCs w:val="16"/>
                <w:lang w:val="en-US"/>
              </w:rPr>
              <w:t>T</w:t>
            </w:r>
            <w:r w:rsidRPr="003E7D3C">
              <w:rPr>
                <w:rFonts w:ascii="Arial" w:eastAsia="Times New Roman" w:hAnsi="Arial" w:cs="Arial"/>
                <w:sz w:val="16"/>
                <w:szCs w:val="16"/>
                <w:lang w:val="en-US"/>
              </w:rPr>
              <w:t>obramycin, vancomycin, (</w:t>
            </w:r>
            <w:proofErr w:type="spellStart"/>
            <w:r w:rsidRPr="003E7D3C">
              <w:rPr>
                <w:rFonts w:ascii="Arial" w:eastAsia="Times New Roman" w:hAnsi="Arial" w:cs="Arial"/>
                <w:sz w:val="16"/>
                <w:szCs w:val="16"/>
                <w:lang w:val="en-US"/>
              </w:rPr>
              <w:t>val</w:t>
            </w:r>
            <w:proofErr w:type="spellEnd"/>
            <w:r w:rsidRPr="003E7D3C">
              <w:rPr>
                <w:rFonts w:ascii="Arial" w:eastAsia="Times New Roman" w:hAnsi="Arial" w:cs="Arial"/>
                <w:sz w:val="16"/>
                <w:szCs w:val="16"/>
                <w:lang w:val="en-US"/>
              </w:rPr>
              <w:t>)</w:t>
            </w:r>
            <w:proofErr w:type="spellStart"/>
            <w:r w:rsidRPr="003E7D3C">
              <w:rPr>
                <w:rFonts w:ascii="Arial" w:eastAsia="Times New Roman" w:hAnsi="Arial" w:cs="Arial"/>
                <w:sz w:val="16"/>
                <w:szCs w:val="16"/>
                <w:lang w:val="en-US"/>
              </w:rPr>
              <w:t>aciclovir</w:t>
            </w:r>
            <w:proofErr w:type="spellEnd"/>
            <w:r w:rsidRPr="003E7D3C">
              <w:rPr>
                <w:rFonts w:ascii="Arial" w:eastAsia="Times New Roman" w:hAnsi="Arial" w:cs="Arial"/>
                <w:sz w:val="16"/>
                <w:szCs w:val="16"/>
                <w:lang w:val="en-US"/>
              </w:rPr>
              <w:t>, (</w:t>
            </w:r>
            <w:proofErr w:type="spellStart"/>
            <w:r w:rsidRPr="003E7D3C">
              <w:rPr>
                <w:rFonts w:ascii="Arial" w:eastAsia="Times New Roman" w:hAnsi="Arial" w:cs="Arial"/>
                <w:sz w:val="16"/>
                <w:szCs w:val="16"/>
                <w:lang w:val="en-US"/>
              </w:rPr>
              <w:t>val</w:t>
            </w:r>
            <w:proofErr w:type="spellEnd"/>
            <w:r w:rsidRPr="003E7D3C">
              <w:rPr>
                <w:rFonts w:ascii="Arial" w:eastAsia="Times New Roman" w:hAnsi="Arial" w:cs="Arial"/>
                <w:sz w:val="16"/>
                <w:szCs w:val="16"/>
                <w:lang w:val="en-US"/>
              </w:rPr>
              <w:t>)ganciclovir, furosemide</w:t>
            </w:r>
            <w:r>
              <w:rPr>
                <w:rFonts w:ascii="Arial" w:eastAsia="Times New Roman" w:hAnsi="Arial" w:cs="Arial"/>
                <w:sz w:val="16"/>
                <w:szCs w:val="16"/>
                <w:lang w:val="en-US"/>
              </w:rPr>
              <w:t xml:space="preserve">, </w:t>
            </w:r>
            <w:proofErr w:type="spellStart"/>
            <w:r>
              <w:rPr>
                <w:rFonts w:ascii="Arial" w:eastAsia="Times New Roman" w:hAnsi="Arial" w:cs="Arial"/>
                <w:sz w:val="16"/>
                <w:szCs w:val="16"/>
                <w:lang w:val="en-US"/>
              </w:rPr>
              <w:t>Amfo</w:t>
            </w:r>
            <w:proofErr w:type="spellEnd"/>
            <w:r>
              <w:rPr>
                <w:rFonts w:ascii="Arial" w:eastAsia="Times New Roman" w:hAnsi="Arial" w:cs="Arial"/>
                <w:sz w:val="16"/>
                <w:szCs w:val="16"/>
                <w:lang w:val="en-US"/>
              </w:rPr>
              <w:t xml:space="preserve"> B</w:t>
            </w:r>
          </w:p>
        </w:tc>
      </w:tr>
      <w:tr w:rsidR="00E402DB" w:rsidRPr="003F3335" w:rsidTr="00553062">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heme="majorEastAsia" w:hAnsi="Arial" w:cs="Arial"/>
                <w:bCs/>
                <w:sz w:val="16"/>
                <w:szCs w:val="16"/>
                <w:lang w:val="en-US"/>
              </w:rPr>
              <w:t>Drugs increasing tacrolimus blood concentrations by inhibition or substrate competition of the CYP3A4/5 and Pgp enzymes</w:t>
            </w:r>
          </w:p>
        </w:tc>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heme="majorEastAsia" w:hAnsi="Arial" w:cs="Arial"/>
                <w:bCs/>
                <w:sz w:val="16"/>
                <w:szCs w:val="16"/>
                <w:lang w:val="en-US"/>
              </w:rPr>
              <w:t xml:space="preserve">Basiliximab, erythromycin, fluconazole, </w:t>
            </w:r>
            <w:proofErr w:type="spellStart"/>
            <w:r w:rsidRPr="003E7D3C">
              <w:rPr>
                <w:rFonts w:ascii="Arial" w:eastAsiaTheme="majorEastAsia" w:hAnsi="Arial" w:cs="Arial"/>
                <w:bCs/>
                <w:sz w:val="16"/>
                <w:szCs w:val="16"/>
                <w:lang w:val="en-US"/>
              </w:rPr>
              <w:t>voriconazole</w:t>
            </w:r>
            <w:proofErr w:type="spellEnd"/>
            <w:r w:rsidRPr="003E7D3C">
              <w:rPr>
                <w:rFonts w:ascii="Arial" w:eastAsiaTheme="majorEastAsia" w:hAnsi="Arial" w:cs="Arial"/>
                <w:bCs/>
                <w:sz w:val="16"/>
                <w:szCs w:val="16"/>
                <w:lang w:val="en-US"/>
              </w:rPr>
              <w:t>, (</w:t>
            </w:r>
            <w:proofErr w:type="spellStart"/>
            <w:r w:rsidRPr="003E7D3C">
              <w:rPr>
                <w:rFonts w:ascii="Arial" w:eastAsiaTheme="majorEastAsia" w:hAnsi="Arial" w:cs="Arial"/>
                <w:bCs/>
                <w:sz w:val="16"/>
                <w:szCs w:val="16"/>
                <w:lang w:val="en-US"/>
              </w:rPr>
              <w:t>es</w:t>
            </w:r>
            <w:proofErr w:type="spellEnd"/>
            <w:r w:rsidRPr="003E7D3C">
              <w:rPr>
                <w:rFonts w:ascii="Arial" w:eastAsiaTheme="majorEastAsia" w:hAnsi="Arial" w:cs="Arial"/>
                <w:bCs/>
                <w:sz w:val="16"/>
                <w:szCs w:val="16"/>
                <w:lang w:val="en-US"/>
              </w:rPr>
              <w:t xml:space="preserve">)omeprazole, amlodipine, </w:t>
            </w:r>
            <w:proofErr w:type="spellStart"/>
            <w:r w:rsidRPr="003E7D3C">
              <w:rPr>
                <w:rFonts w:ascii="Arial" w:eastAsiaTheme="majorEastAsia" w:hAnsi="Arial" w:cs="Arial"/>
                <w:bCs/>
                <w:sz w:val="16"/>
                <w:szCs w:val="16"/>
                <w:lang w:val="en-US"/>
              </w:rPr>
              <w:t>nicardipine</w:t>
            </w:r>
            <w:proofErr w:type="spellEnd"/>
            <w:r w:rsidRPr="003E7D3C">
              <w:rPr>
                <w:rFonts w:ascii="Arial" w:eastAsiaTheme="majorEastAsia" w:hAnsi="Arial" w:cs="Arial"/>
                <w:bCs/>
                <w:sz w:val="16"/>
                <w:szCs w:val="16"/>
                <w:lang w:val="en-US"/>
              </w:rPr>
              <w:t>, diltiazem, haloperidol and amiodarone</w:t>
            </w:r>
          </w:p>
        </w:tc>
      </w:tr>
      <w:tr w:rsidR="00E402DB" w:rsidRPr="003E7D3C" w:rsidTr="00553062">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heme="majorEastAsia" w:hAnsi="Arial" w:cs="Arial"/>
                <w:bCs/>
                <w:sz w:val="16"/>
                <w:szCs w:val="16"/>
                <w:lang w:val="en-US"/>
              </w:rPr>
              <w:t>Drugs potentially decreasing tacrolimus blood concentrations by induction of CYP3A4/5 or Pgp enzymes</w:t>
            </w:r>
          </w:p>
        </w:tc>
        <w:tc>
          <w:tcPr>
            <w:tcW w:w="4748"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lang w:val="en-US"/>
              </w:rPr>
            </w:pPr>
            <w:r w:rsidRPr="003E7D3C">
              <w:rPr>
                <w:rFonts w:ascii="Arial" w:eastAsiaTheme="majorEastAsia" w:hAnsi="Arial" w:cs="Arial"/>
                <w:bCs/>
                <w:sz w:val="16"/>
                <w:szCs w:val="16"/>
                <w:lang w:val="en-US"/>
              </w:rPr>
              <w:t>Corticosteroids and rifampicin</w:t>
            </w:r>
          </w:p>
        </w:tc>
      </w:tr>
    </w:tbl>
    <w:p w:rsidR="00E402DB" w:rsidRPr="003E7D3C" w:rsidRDefault="00E402DB" w:rsidP="00E402DB">
      <w:pPr>
        <w:spacing w:after="200" w:line="480" w:lineRule="auto"/>
        <w:ind w:right="133"/>
        <w:jc w:val="both"/>
        <w:rPr>
          <w:rFonts w:ascii="Arial" w:eastAsia="Times New Roman" w:hAnsi="Arial" w:cs="Arial"/>
          <w:b/>
          <w:sz w:val="16"/>
          <w:szCs w:val="16"/>
          <w:lang w:val="en-US"/>
        </w:rPr>
      </w:pPr>
      <w:r w:rsidRPr="003E7D3C">
        <w:rPr>
          <w:rFonts w:ascii="Arial" w:eastAsia="Times New Roman" w:hAnsi="Arial" w:cs="Arial"/>
          <w:b/>
          <w:sz w:val="16"/>
          <w:szCs w:val="16"/>
          <w:lang w:val="en-US"/>
        </w:rPr>
        <w:br w:type="page"/>
      </w:r>
    </w:p>
    <w:p w:rsidR="00E402DB" w:rsidRPr="003E7D3C" w:rsidRDefault="00E402DB" w:rsidP="00E402DB">
      <w:pPr>
        <w:spacing w:after="200" w:line="480" w:lineRule="auto"/>
        <w:ind w:right="133"/>
        <w:jc w:val="both"/>
        <w:rPr>
          <w:rFonts w:ascii="Arial" w:hAnsi="Arial" w:cs="Arial"/>
          <w:sz w:val="16"/>
          <w:szCs w:val="16"/>
          <w:lang w:val="en-US"/>
        </w:rPr>
      </w:pPr>
    </w:p>
    <w:tbl>
      <w:tblPr>
        <w:tblStyle w:val="Tabelraster1"/>
        <w:tblW w:w="9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2157"/>
        <w:gridCol w:w="3101"/>
        <w:gridCol w:w="2026"/>
      </w:tblGrid>
      <w:tr w:rsidR="00E402DB" w:rsidRPr="003E7D3C" w:rsidTr="00553062">
        <w:trPr>
          <w:trHeight w:val="182"/>
        </w:trPr>
        <w:tc>
          <w:tcPr>
            <w:tcW w:w="9005" w:type="dxa"/>
            <w:gridSpan w:val="4"/>
            <w:shd w:val="clear" w:color="auto" w:fill="auto"/>
          </w:tcPr>
          <w:p w:rsidR="00E402DB" w:rsidRPr="003E7D3C" w:rsidRDefault="00E402DB" w:rsidP="003F3335">
            <w:pPr>
              <w:pStyle w:val="Kop1"/>
              <w:outlineLvl w:val="0"/>
              <w:rPr>
                <w:rFonts w:eastAsia="Times New Roman"/>
              </w:rPr>
            </w:pPr>
            <w:bookmarkStart w:id="11" w:name="_Toc472322858"/>
            <w:r w:rsidRPr="003E7D3C">
              <w:rPr>
                <w:rFonts w:eastAsia="Times New Roman"/>
              </w:rPr>
              <w:t>Table S2</w:t>
            </w:r>
            <w:bookmarkEnd w:id="11"/>
          </w:p>
        </w:tc>
      </w:tr>
      <w:tr w:rsidR="00E402DB" w:rsidRPr="003F3335" w:rsidTr="00553062">
        <w:trPr>
          <w:trHeight w:val="182"/>
        </w:trPr>
        <w:tc>
          <w:tcPr>
            <w:tcW w:w="9005" w:type="dxa"/>
            <w:gridSpan w:val="4"/>
            <w:shd w:val="clear" w:color="auto" w:fill="auto"/>
          </w:tcPr>
          <w:p w:rsidR="00E402DB" w:rsidRPr="00E402DB" w:rsidRDefault="00E402DB" w:rsidP="00553062">
            <w:pPr>
              <w:spacing w:after="200" w:line="480" w:lineRule="auto"/>
              <w:ind w:right="133"/>
              <w:jc w:val="both"/>
              <w:rPr>
                <w:rFonts w:ascii="Arial" w:hAnsi="Arial" w:cs="Arial"/>
                <w:sz w:val="20"/>
                <w:szCs w:val="20"/>
                <w:lang w:val="en-US"/>
              </w:rPr>
            </w:pPr>
            <w:r w:rsidRPr="00E402DB">
              <w:rPr>
                <w:rFonts w:ascii="Arial" w:eastAsia="Times New Roman" w:hAnsi="Arial" w:cs="Arial"/>
                <w:sz w:val="20"/>
                <w:szCs w:val="20"/>
                <w:lang w:val="en-US"/>
              </w:rPr>
              <w:t>Type of analysis used for the different outcome variables with the potential confounders</w:t>
            </w:r>
          </w:p>
        </w:tc>
      </w:tr>
      <w:tr w:rsidR="00E402DB" w:rsidRPr="003E7D3C" w:rsidTr="00553062">
        <w:trPr>
          <w:trHeight w:val="182"/>
        </w:trPr>
        <w:tc>
          <w:tcPr>
            <w:tcW w:w="1721"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rPr>
            </w:pPr>
            <w:r w:rsidRPr="003E7D3C">
              <w:rPr>
                <w:rFonts w:ascii="Arial" w:eastAsia="Times New Roman" w:hAnsi="Arial" w:cs="Arial"/>
                <w:b/>
                <w:sz w:val="16"/>
                <w:szCs w:val="16"/>
              </w:rPr>
              <w:t>Type of analysis</w:t>
            </w:r>
          </w:p>
        </w:tc>
        <w:tc>
          <w:tcPr>
            <w:tcW w:w="2157"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rPr>
            </w:pPr>
            <w:proofErr w:type="spellStart"/>
            <w:r w:rsidRPr="003E7D3C">
              <w:rPr>
                <w:rFonts w:ascii="Arial" w:eastAsia="Times New Roman" w:hAnsi="Arial" w:cs="Arial"/>
                <w:b/>
                <w:sz w:val="16"/>
                <w:szCs w:val="16"/>
              </w:rPr>
              <w:t>Outcome</w:t>
            </w:r>
            <w:proofErr w:type="spellEnd"/>
            <w:r w:rsidRPr="003E7D3C">
              <w:rPr>
                <w:rFonts w:ascii="Arial" w:eastAsia="Times New Roman" w:hAnsi="Arial" w:cs="Arial"/>
                <w:b/>
                <w:sz w:val="16"/>
                <w:szCs w:val="16"/>
              </w:rPr>
              <w:t xml:space="preserve"> </w:t>
            </w:r>
            <w:proofErr w:type="spellStart"/>
            <w:r w:rsidRPr="003E7D3C">
              <w:rPr>
                <w:rFonts w:ascii="Arial" w:eastAsia="Times New Roman" w:hAnsi="Arial" w:cs="Arial"/>
                <w:b/>
                <w:sz w:val="16"/>
                <w:szCs w:val="16"/>
              </w:rPr>
              <w:t>variable</w:t>
            </w:r>
            <w:proofErr w:type="spellEnd"/>
          </w:p>
        </w:tc>
        <w:tc>
          <w:tcPr>
            <w:tcW w:w="3101"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rPr>
            </w:pPr>
            <w:proofErr w:type="spellStart"/>
            <w:r w:rsidRPr="003E7D3C">
              <w:rPr>
                <w:rFonts w:ascii="Arial" w:eastAsia="Times New Roman" w:hAnsi="Arial" w:cs="Arial"/>
                <w:b/>
                <w:sz w:val="16"/>
                <w:szCs w:val="16"/>
              </w:rPr>
              <w:t>Tested</w:t>
            </w:r>
            <w:proofErr w:type="spellEnd"/>
            <w:r w:rsidRPr="003E7D3C">
              <w:rPr>
                <w:rFonts w:ascii="Arial" w:eastAsia="Times New Roman" w:hAnsi="Arial" w:cs="Arial"/>
                <w:b/>
                <w:sz w:val="16"/>
                <w:szCs w:val="16"/>
              </w:rPr>
              <w:t xml:space="preserve"> </w:t>
            </w:r>
            <w:proofErr w:type="spellStart"/>
            <w:r w:rsidRPr="003E7D3C">
              <w:rPr>
                <w:rFonts w:ascii="Arial" w:eastAsia="Times New Roman" w:hAnsi="Arial" w:cs="Arial"/>
                <w:b/>
                <w:sz w:val="16"/>
                <w:szCs w:val="16"/>
              </w:rPr>
              <w:t>variable</w:t>
            </w:r>
            <w:proofErr w:type="spellEnd"/>
            <w:r w:rsidRPr="003E7D3C">
              <w:rPr>
                <w:rFonts w:ascii="Arial" w:eastAsia="Times New Roman" w:hAnsi="Arial" w:cs="Arial"/>
                <w:b/>
                <w:sz w:val="16"/>
                <w:szCs w:val="16"/>
              </w:rPr>
              <w:t>(s)</w:t>
            </w:r>
          </w:p>
        </w:tc>
        <w:tc>
          <w:tcPr>
            <w:tcW w:w="2026"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sz w:val="16"/>
                <w:szCs w:val="16"/>
              </w:rPr>
            </w:pPr>
            <w:proofErr w:type="spellStart"/>
            <w:r w:rsidRPr="003E7D3C">
              <w:rPr>
                <w:rFonts w:ascii="Arial" w:eastAsia="Times New Roman" w:hAnsi="Arial" w:cs="Arial"/>
                <w:b/>
                <w:sz w:val="16"/>
                <w:szCs w:val="16"/>
              </w:rPr>
              <w:t>Potential</w:t>
            </w:r>
            <w:proofErr w:type="spellEnd"/>
            <w:r w:rsidRPr="003E7D3C">
              <w:rPr>
                <w:rFonts w:ascii="Arial" w:eastAsia="Times New Roman" w:hAnsi="Arial" w:cs="Arial"/>
                <w:b/>
                <w:sz w:val="16"/>
                <w:szCs w:val="16"/>
              </w:rPr>
              <w:t xml:space="preserve"> </w:t>
            </w:r>
            <w:proofErr w:type="spellStart"/>
            <w:r w:rsidRPr="003E7D3C">
              <w:rPr>
                <w:rFonts w:ascii="Arial" w:eastAsia="Times New Roman" w:hAnsi="Arial" w:cs="Arial"/>
                <w:b/>
                <w:sz w:val="16"/>
                <w:szCs w:val="16"/>
              </w:rPr>
              <w:t>confounder</w:t>
            </w:r>
            <w:proofErr w:type="spellEnd"/>
            <w:r w:rsidRPr="003E7D3C">
              <w:rPr>
                <w:rFonts w:ascii="Arial" w:eastAsia="Times New Roman" w:hAnsi="Arial" w:cs="Arial"/>
                <w:b/>
                <w:sz w:val="16"/>
                <w:szCs w:val="16"/>
              </w:rPr>
              <w:t>(s)</w:t>
            </w:r>
          </w:p>
        </w:tc>
      </w:tr>
      <w:tr w:rsidR="00E402DB" w:rsidRPr="003F3335" w:rsidTr="00553062">
        <w:trPr>
          <w:trHeight w:val="1158"/>
        </w:trPr>
        <w:tc>
          <w:tcPr>
            <w:tcW w:w="1721"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sz w:val="16"/>
                <w:szCs w:val="16"/>
              </w:rPr>
            </w:pPr>
            <w:proofErr w:type="spellStart"/>
            <w:r w:rsidRPr="003E7D3C">
              <w:rPr>
                <w:rFonts w:ascii="Arial" w:eastAsia="Times New Roman" w:hAnsi="Arial" w:cs="Arial"/>
                <w:sz w:val="16"/>
                <w:szCs w:val="16"/>
              </w:rPr>
              <w:t>Linear</w:t>
            </w:r>
            <w:proofErr w:type="spellEnd"/>
            <w:r w:rsidRPr="003E7D3C">
              <w:rPr>
                <w:rFonts w:ascii="Arial" w:eastAsia="Times New Roman" w:hAnsi="Arial" w:cs="Arial"/>
                <w:sz w:val="16"/>
                <w:szCs w:val="16"/>
              </w:rPr>
              <w:t xml:space="preserve"> Mixed model</w:t>
            </w:r>
          </w:p>
        </w:tc>
        <w:tc>
          <w:tcPr>
            <w:tcW w:w="2157" w:type="dxa"/>
            <w:shd w:val="clear" w:color="auto" w:fill="BFBFBF" w:themeFill="background1" w:themeFillShade="BF"/>
          </w:tcPr>
          <w:p w:rsidR="00E402DB" w:rsidRPr="00E402DB" w:rsidRDefault="00E402DB" w:rsidP="00553062">
            <w:pPr>
              <w:spacing w:line="480" w:lineRule="auto"/>
              <w:ind w:right="133"/>
              <w:rPr>
                <w:rFonts w:ascii="Arial" w:eastAsia="Times New Roman" w:hAnsi="Arial" w:cs="Arial"/>
                <w:sz w:val="16"/>
                <w:szCs w:val="16"/>
                <w:vertAlign w:val="superscript"/>
                <w:lang w:val="en-US"/>
              </w:rPr>
            </w:pPr>
            <w:r w:rsidRPr="00E402DB">
              <w:rPr>
                <w:rFonts w:ascii="Arial" w:eastAsia="Times New Roman" w:hAnsi="Arial" w:cs="Arial"/>
                <w:sz w:val="16"/>
                <w:szCs w:val="16"/>
                <w:lang w:val="en-US"/>
              </w:rPr>
              <w:t>Whole-blood tacrolimus trough concentration</w:t>
            </w:r>
            <w:r w:rsidRPr="00E402DB">
              <w:rPr>
                <w:rFonts w:ascii="Arial" w:eastAsia="Times New Roman" w:hAnsi="Arial" w:cs="Arial"/>
                <w:sz w:val="20"/>
                <w:szCs w:val="20"/>
                <w:vertAlign w:val="superscript"/>
                <w:lang w:val="en-US"/>
              </w:rPr>
              <w:t>1</w:t>
            </w:r>
          </w:p>
        </w:tc>
        <w:tc>
          <w:tcPr>
            <w:tcW w:w="3101" w:type="dxa"/>
            <w:shd w:val="clear" w:color="auto" w:fill="BFBFBF" w:themeFill="background1" w:themeFillShade="BF"/>
          </w:tcPr>
          <w:p w:rsidR="00E402DB" w:rsidRPr="003E7D3C" w:rsidRDefault="00E402DB" w:rsidP="00E402DB">
            <w:pPr>
              <w:numPr>
                <w:ilvl w:val="0"/>
                <w:numId w:val="1"/>
              </w:numPr>
              <w:spacing w:line="480" w:lineRule="auto"/>
              <w:ind w:left="0" w:right="133"/>
              <w:contextualSpacing/>
              <w:rPr>
                <w:rFonts w:ascii="Arial" w:hAnsi="Arial" w:cs="Arial"/>
                <w:sz w:val="16"/>
                <w:szCs w:val="16"/>
              </w:rPr>
            </w:pPr>
            <w:r w:rsidRPr="003E7D3C">
              <w:rPr>
                <w:rFonts w:ascii="Arial" w:hAnsi="Arial" w:cs="Arial"/>
                <w:sz w:val="16"/>
                <w:szCs w:val="16"/>
              </w:rPr>
              <w:t>CF</w:t>
            </w:r>
          </w:p>
          <w:p w:rsidR="00E402DB" w:rsidRPr="003E7D3C" w:rsidRDefault="00E402DB" w:rsidP="00E402DB">
            <w:pPr>
              <w:numPr>
                <w:ilvl w:val="0"/>
                <w:numId w:val="1"/>
              </w:numPr>
              <w:spacing w:line="480" w:lineRule="auto"/>
              <w:ind w:left="0" w:right="133"/>
              <w:contextualSpacing/>
              <w:rPr>
                <w:rFonts w:ascii="Arial" w:hAnsi="Arial" w:cs="Arial"/>
                <w:sz w:val="16"/>
                <w:szCs w:val="16"/>
              </w:rPr>
            </w:pPr>
            <w:proofErr w:type="spellStart"/>
            <w:r w:rsidRPr="003E7D3C">
              <w:rPr>
                <w:rFonts w:ascii="Arial" w:hAnsi="Arial" w:cs="Arial"/>
                <w:sz w:val="16"/>
                <w:szCs w:val="16"/>
              </w:rPr>
              <w:t>Liver</w:t>
            </w:r>
            <w:proofErr w:type="spellEnd"/>
            <w:r w:rsidRPr="003E7D3C">
              <w:rPr>
                <w:rFonts w:ascii="Arial" w:hAnsi="Arial" w:cs="Arial"/>
                <w:sz w:val="16"/>
                <w:szCs w:val="16"/>
              </w:rPr>
              <w:t xml:space="preserve"> </w:t>
            </w:r>
            <w:proofErr w:type="spellStart"/>
            <w:r w:rsidRPr="003E7D3C">
              <w:rPr>
                <w:rFonts w:ascii="Arial" w:hAnsi="Arial" w:cs="Arial"/>
                <w:sz w:val="16"/>
                <w:szCs w:val="16"/>
              </w:rPr>
              <w:t>injury</w:t>
            </w:r>
            <w:proofErr w:type="spellEnd"/>
          </w:p>
          <w:p w:rsidR="00E402DB" w:rsidRPr="003E7D3C" w:rsidRDefault="00E402DB" w:rsidP="00553062">
            <w:pPr>
              <w:spacing w:line="480" w:lineRule="auto"/>
              <w:ind w:right="133"/>
              <w:contextualSpacing/>
              <w:rPr>
                <w:rFonts w:ascii="Arial" w:hAnsi="Arial" w:cs="Arial"/>
                <w:sz w:val="16"/>
                <w:szCs w:val="16"/>
              </w:rPr>
            </w:pPr>
            <w:proofErr w:type="spellStart"/>
            <w:r w:rsidRPr="003E7D3C">
              <w:rPr>
                <w:rFonts w:ascii="Arial" w:hAnsi="Arial" w:cs="Arial"/>
                <w:sz w:val="16"/>
                <w:szCs w:val="16"/>
              </w:rPr>
              <w:t>Other</w:t>
            </w:r>
            <w:proofErr w:type="spellEnd"/>
            <w:r w:rsidRPr="003E7D3C">
              <w:rPr>
                <w:rFonts w:ascii="Arial" w:hAnsi="Arial" w:cs="Arial"/>
                <w:sz w:val="16"/>
                <w:szCs w:val="16"/>
              </w:rPr>
              <w:t xml:space="preserve"> drugs </w:t>
            </w:r>
            <w:proofErr w:type="spellStart"/>
            <w:r w:rsidRPr="003E7D3C">
              <w:rPr>
                <w:rFonts w:ascii="Arial" w:hAnsi="Arial" w:cs="Arial"/>
                <w:sz w:val="16"/>
                <w:szCs w:val="16"/>
              </w:rPr>
              <w:t>increasing</w:t>
            </w:r>
            <w:proofErr w:type="spellEnd"/>
            <w:r w:rsidRPr="003E7D3C">
              <w:rPr>
                <w:rFonts w:ascii="Arial" w:hAnsi="Arial" w:cs="Arial"/>
                <w:sz w:val="16"/>
                <w:szCs w:val="16"/>
              </w:rPr>
              <w:t xml:space="preserve"> tacrolimus </w:t>
            </w:r>
            <w:proofErr w:type="spellStart"/>
            <w:r w:rsidRPr="003E7D3C">
              <w:rPr>
                <w:rFonts w:ascii="Arial" w:hAnsi="Arial" w:cs="Arial"/>
                <w:sz w:val="16"/>
                <w:szCs w:val="16"/>
              </w:rPr>
              <w:t>concentration</w:t>
            </w:r>
            <w:proofErr w:type="spellEnd"/>
          </w:p>
          <w:p w:rsidR="00E402DB" w:rsidRPr="00E402DB" w:rsidRDefault="00E402DB" w:rsidP="00553062">
            <w:pPr>
              <w:spacing w:line="480" w:lineRule="auto"/>
              <w:ind w:right="133"/>
              <w:contextualSpacing/>
              <w:rPr>
                <w:rFonts w:ascii="Arial" w:hAnsi="Arial" w:cs="Arial"/>
                <w:sz w:val="16"/>
                <w:szCs w:val="16"/>
                <w:lang w:val="en-US"/>
              </w:rPr>
            </w:pPr>
            <w:r w:rsidRPr="00E402DB">
              <w:rPr>
                <w:rFonts w:ascii="Arial" w:hAnsi="Arial" w:cs="Arial"/>
                <w:sz w:val="16"/>
                <w:szCs w:val="16"/>
                <w:lang w:val="en-US"/>
              </w:rPr>
              <w:t>Other drugs decreasing tacrolimus concentration</w:t>
            </w:r>
            <w:r w:rsidRPr="00E402DB">
              <w:rPr>
                <w:rFonts w:ascii="Arial" w:hAnsi="Arial" w:cs="Arial"/>
                <w:sz w:val="20"/>
                <w:szCs w:val="20"/>
                <w:vertAlign w:val="superscript"/>
                <w:lang w:val="en-US"/>
              </w:rPr>
              <w:t>2</w:t>
            </w:r>
          </w:p>
        </w:tc>
        <w:tc>
          <w:tcPr>
            <w:tcW w:w="2026" w:type="dxa"/>
            <w:shd w:val="clear" w:color="auto" w:fill="BFBFBF" w:themeFill="background1" w:themeFillShade="BF"/>
          </w:tcPr>
          <w:p w:rsidR="00E402DB" w:rsidRPr="00E402DB" w:rsidRDefault="00E402DB" w:rsidP="00553062">
            <w:pPr>
              <w:spacing w:line="480" w:lineRule="auto"/>
              <w:ind w:right="133"/>
              <w:rPr>
                <w:rFonts w:ascii="Arial" w:eastAsia="Times New Roman" w:hAnsi="Arial" w:cs="Arial"/>
                <w:sz w:val="16"/>
                <w:szCs w:val="16"/>
                <w:lang w:val="en-US"/>
              </w:rPr>
            </w:pPr>
          </w:p>
        </w:tc>
      </w:tr>
      <w:tr w:rsidR="00E402DB" w:rsidRPr="003E7D3C" w:rsidTr="00553062">
        <w:trPr>
          <w:trHeight w:val="785"/>
        </w:trPr>
        <w:tc>
          <w:tcPr>
            <w:tcW w:w="1721"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sz w:val="16"/>
                <w:szCs w:val="16"/>
                <w:vertAlign w:val="superscript"/>
              </w:rPr>
            </w:pPr>
            <w:r w:rsidRPr="003E7D3C">
              <w:rPr>
                <w:rFonts w:ascii="Arial" w:eastAsia="Times New Roman" w:hAnsi="Arial" w:cs="Arial"/>
                <w:sz w:val="16"/>
                <w:szCs w:val="16"/>
              </w:rPr>
              <w:t>GEE analysis</w:t>
            </w:r>
            <w:r w:rsidRPr="00002028">
              <w:rPr>
                <w:rFonts w:ascii="Arial" w:eastAsia="Times New Roman" w:hAnsi="Arial" w:cs="Arial"/>
                <w:sz w:val="20"/>
                <w:szCs w:val="20"/>
                <w:vertAlign w:val="superscript"/>
              </w:rPr>
              <w:t>3</w:t>
            </w:r>
          </w:p>
        </w:tc>
        <w:tc>
          <w:tcPr>
            <w:tcW w:w="2157"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sz w:val="16"/>
                <w:szCs w:val="16"/>
              </w:rPr>
            </w:pPr>
            <w:r w:rsidRPr="003E7D3C">
              <w:rPr>
                <w:rFonts w:ascii="Arial" w:eastAsia="Times New Roman" w:hAnsi="Arial" w:cs="Arial"/>
                <w:sz w:val="16"/>
                <w:szCs w:val="16"/>
              </w:rPr>
              <w:t xml:space="preserve">AKI </w:t>
            </w:r>
            <w:proofErr w:type="spellStart"/>
            <w:r w:rsidRPr="003E7D3C">
              <w:rPr>
                <w:rFonts w:ascii="Arial" w:eastAsia="Times New Roman" w:hAnsi="Arial" w:cs="Arial"/>
                <w:sz w:val="16"/>
                <w:szCs w:val="16"/>
              </w:rPr>
              <w:t>between</w:t>
            </w:r>
            <w:proofErr w:type="spellEnd"/>
            <w:r w:rsidRPr="003E7D3C">
              <w:rPr>
                <w:rFonts w:ascii="Arial" w:eastAsia="Times New Roman" w:hAnsi="Arial" w:cs="Arial"/>
                <w:sz w:val="16"/>
                <w:szCs w:val="16"/>
              </w:rPr>
              <w:t xml:space="preserve"> </w:t>
            </w:r>
            <w:proofErr w:type="spellStart"/>
            <w:r w:rsidRPr="003E7D3C">
              <w:rPr>
                <w:rFonts w:ascii="Arial" w:eastAsia="Times New Roman" w:hAnsi="Arial" w:cs="Arial"/>
                <w:sz w:val="16"/>
                <w:szCs w:val="16"/>
              </w:rPr>
              <w:t>day</w:t>
            </w:r>
            <w:proofErr w:type="spellEnd"/>
            <w:r w:rsidRPr="003E7D3C">
              <w:rPr>
                <w:rFonts w:ascii="Arial" w:eastAsia="Times New Roman" w:hAnsi="Arial" w:cs="Arial"/>
                <w:sz w:val="16"/>
                <w:szCs w:val="16"/>
              </w:rPr>
              <w:t xml:space="preserve"> 2-6</w:t>
            </w:r>
          </w:p>
          <w:p w:rsidR="00E402DB" w:rsidRPr="003E7D3C" w:rsidRDefault="00E402DB" w:rsidP="00553062">
            <w:pPr>
              <w:spacing w:line="480" w:lineRule="auto"/>
              <w:ind w:right="133"/>
              <w:rPr>
                <w:rFonts w:ascii="Arial" w:eastAsia="Times New Roman" w:hAnsi="Arial" w:cs="Arial"/>
                <w:b/>
                <w:bCs/>
                <w:sz w:val="16"/>
                <w:szCs w:val="16"/>
              </w:rPr>
            </w:pPr>
          </w:p>
        </w:tc>
        <w:tc>
          <w:tcPr>
            <w:tcW w:w="3101" w:type="dxa"/>
            <w:shd w:val="clear" w:color="auto" w:fill="BFBFBF" w:themeFill="background1" w:themeFillShade="BF"/>
          </w:tcPr>
          <w:p w:rsidR="00E402DB" w:rsidRPr="00E402DB" w:rsidRDefault="00E402DB" w:rsidP="00E402DB">
            <w:pPr>
              <w:numPr>
                <w:ilvl w:val="0"/>
                <w:numId w:val="3"/>
              </w:numPr>
              <w:spacing w:line="480" w:lineRule="auto"/>
              <w:ind w:left="0" w:right="133"/>
              <w:contextualSpacing/>
              <w:rPr>
                <w:rFonts w:ascii="Arial" w:hAnsi="Arial" w:cs="Arial"/>
                <w:sz w:val="16"/>
                <w:szCs w:val="16"/>
                <w:lang w:val="en-US"/>
              </w:rPr>
            </w:pPr>
            <w:r w:rsidRPr="00E402DB">
              <w:rPr>
                <w:rFonts w:ascii="Arial" w:hAnsi="Arial" w:cs="Arial"/>
                <w:sz w:val="16"/>
                <w:szCs w:val="16"/>
                <w:lang w:val="en-US"/>
              </w:rPr>
              <w:t>Supra-therapeutic whole-blood tacrolimus trough concentrations day 2-6</w:t>
            </w:r>
          </w:p>
          <w:p w:rsidR="00E402DB" w:rsidRPr="00E402DB" w:rsidRDefault="00E402DB" w:rsidP="00E402DB">
            <w:pPr>
              <w:numPr>
                <w:ilvl w:val="0"/>
                <w:numId w:val="3"/>
              </w:numPr>
              <w:spacing w:line="480" w:lineRule="auto"/>
              <w:ind w:left="0" w:right="133"/>
              <w:contextualSpacing/>
              <w:rPr>
                <w:rFonts w:ascii="Arial" w:hAnsi="Arial" w:cs="Arial"/>
                <w:b/>
                <w:bCs/>
                <w:sz w:val="16"/>
                <w:szCs w:val="16"/>
                <w:lang w:val="en-US"/>
              </w:rPr>
            </w:pPr>
          </w:p>
        </w:tc>
        <w:tc>
          <w:tcPr>
            <w:tcW w:w="2026" w:type="dxa"/>
            <w:shd w:val="clear" w:color="auto" w:fill="BFBFBF" w:themeFill="background1" w:themeFillShade="BF"/>
          </w:tcPr>
          <w:p w:rsidR="00E402DB" w:rsidRPr="003E7D3C" w:rsidRDefault="00E402DB" w:rsidP="00E402DB">
            <w:pPr>
              <w:numPr>
                <w:ilvl w:val="0"/>
                <w:numId w:val="2"/>
              </w:numPr>
              <w:spacing w:line="480" w:lineRule="auto"/>
              <w:ind w:left="0" w:right="133"/>
              <w:contextualSpacing/>
              <w:rPr>
                <w:rFonts w:ascii="Arial" w:hAnsi="Arial" w:cs="Arial"/>
                <w:sz w:val="16"/>
                <w:szCs w:val="16"/>
              </w:rPr>
            </w:pPr>
            <w:r w:rsidRPr="003E7D3C">
              <w:rPr>
                <w:rFonts w:ascii="Arial" w:hAnsi="Arial" w:cs="Arial"/>
                <w:sz w:val="16"/>
                <w:szCs w:val="16"/>
              </w:rPr>
              <w:t>SIRS</w:t>
            </w:r>
          </w:p>
          <w:p w:rsidR="00E402DB" w:rsidRPr="003E7D3C" w:rsidRDefault="00E402DB" w:rsidP="00E402DB">
            <w:pPr>
              <w:numPr>
                <w:ilvl w:val="0"/>
                <w:numId w:val="2"/>
              </w:numPr>
              <w:spacing w:line="480" w:lineRule="auto"/>
              <w:ind w:left="0" w:right="133"/>
              <w:contextualSpacing/>
              <w:rPr>
                <w:rFonts w:ascii="Arial" w:hAnsi="Arial" w:cs="Arial"/>
                <w:sz w:val="16"/>
                <w:szCs w:val="16"/>
              </w:rPr>
            </w:pPr>
            <w:r w:rsidRPr="003E7D3C">
              <w:rPr>
                <w:rFonts w:ascii="Arial" w:hAnsi="Arial" w:cs="Arial"/>
                <w:sz w:val="16"/>
                <w:szCs w:val="16"/>
              </w:rPr>
              <w:t>Shock</w:t>
            </w:r>
          </w:p>
          <w:p w:rsidR="00E402DB" w:rsidRPr="003E7D3C" w:rsidRDefault="00E402DB" w:rsidP="00E402DB">
            <w:pPr>
              <w:numPr>
                <w:ilvl w:val="0"/>
                <w:numId w:val="2"/>
              </w:numPr>
              <w:spacing w:line="480" w:lineRule="auto"/>
              <w:ind w:left="0" w:right="133"/>
              <w:contextualSpacing/>
              <w:rPr>
                <w:rFonts w:ascii="Arial" w:hAnsi="Arial" w:cs="Arial"/>
                <w:sz w:val="16"/>
                <w:szCs w:val="16"/>
              </w:rPr>
            </w:pPr>
            <w:r w:rsidRPr="003E7D3C">
              <w:rPr>
                <w:rFonts w:ascii="Arial" w:hAnsi="Arial" w:cs="Arial"/>
                <w:sz w:val="16"/>
                <w:szCs w:val="16"/>
              </w:rPr>
              <w:t>CF</w:t>
            </w:r>
          </w:p>
          <w:p w:rsidR="00E402DB" w:rsidRPr="003E7D3C" w:rsidRDefault="00E402DB" w:rsidP="00553062">
            <w:pPr>
              <w:spacing w:line="480" w:lineRule="auto"/>
              <w:ind w:right="133"/>
              <w:contextualSpacing/>
              <w:rPr>
                <w:rFonts w:ascii="Arial" w:hAnsi="Arial" w:cs="Arial"/>
                <w:sz w:val="16"/>
                <w:szCs w:val="16"/>
              </w:rPr>
            </w:pPr>
            <w:proofErr w:type="spellStart"/>
            <w:r>
              <w:rPr>
                <w:rFonts w:ascii="Arial" w:hAnsi="Arial" w:cs="Arial"/>
                <w:sz w:val="16"/>
                <w:szCs w:val="16"/>
              </w:rPr>
              <w:t>Nephrotoxic</w:t>
            </w:r>
            <w:proofErr w:type="spellEnd"/>
            <w:r>
              <w:rPr>
                <w:rFonts w:ascii="Arial" w:hAnsi="Arial" w:cs="Arial"/>
                <w:sz w:val="16"/>
                <w:szCs w:val="16"/>
              </w:rPr>
              <w:t xml:space="preserve"> drugs </w:t>
            </w:r>
            <w:proofErr w:type="spellStart"/>
            <w:r>
              <w:rPr>
                <w:rFonts w:ascii="Arial" w:hAnsi="Arial" w:cs="Arial"/>
                <w:sz w:val="16"/>
                <w:szCs w:val="16"/>
              </w:rPr>
              <w:t>other</w:t>
            </w:r>
            <w:proofErr w:type="spellEnd"/>
            <w:r>
              <w:rPr>
                <w:rFonts w:ascii="Arial" w:hAnsi="Arial" w:cs="Arial"/>
                <w:sz w:val="16"/>
                <w:szCs w:val="16"/>
              </w:rPr>
              <w:t xml:space="preserve"> </w:t>
            </w:r>
            <w:proofErr w:type="spellStart"/>
            <w:r>
              <w:rPr>
                <w:rFonts w:ascii="Arial" w:hAnsi="Arial" w:cs="Arial"/>
                <w:sz w:val="16"/>
                <w:szCs w:val="16"/>
              </w:rPr>
              <w:t>than</w:t>
            </w:r>
            <w:proofErr w:type="spellEnd"/>
            <w:r>
              <w:rPr>
                <w:rFonts w:ascii="Arial" w:hAnsi="Arial" w:cs="Arial"/>
                <w:sz w:val="16"/>
                <w:szCs w:val="16"/>
              </w:rPr>
              <w:t xml:space="preserve"> tacrolimus</w:t>
            </w:r>
          </w:p>
          <w:p w:rsidR="00E402DB" w:rsidRPr="003E7D3C" w:rsidRDefault="00E402DB" w:rsidP="00E402DB">
            <w:pPr>
              <w:numPr>
                <w:ilvl w:val="0"/>
                <w:numId w:val="2"/>
              </w:numPr>
              <w:spacing w:line="480" w:lineRule="auto"/>
              <w:ind w:left="0" w:right="133"/>
              <w:contextualSpacing/>
              <w:rPr>
                <w:rFonts w:ascii="Arial" w:hAnsi="Arial" w:cs="Arial"/>
                <w:sz w:val="16"/>
                <w:szCs w:val="16"/>
              </w:rPr>
            </w:pPr>
            <w:r w:rsidRPr="003E7D3C">
              <w:rPr>
                <w:rFonts w:ascii="Arial" w:hAnsi="Arial" w:cs="Arial"/>
                <w:sz w:val="16"/>
                <w:szCs w:val="16"/>
              </w:rPr>
              <w:t xml:space="preserve">Double </w:t>
            </w:r>
            <w:proofErr w:type="spellStart"/>
            <w:r w:rsidRPr="003E7D3C">
              <w:rPr>
                <w:rFonts w:ascii="Arial" w:hAnsi="Arial" w:cs="Arial"/>
                <w:sz w:val="16"/>
                <w:szCs w:val="16"/>
              </w:rPr>
              <w:t>lung</w:t>
            </w:r>
            <w:proofErr w:type="spellEnd"/>
            <w:r w:rsidRPr="003E7D3C">
              <w:rPr>
                <w:rFonts w:ascii="Arial" w:hAnsi="Arial" w:cs="Arial"/>
                <w:sz w:val="16"/>
                <w:szCs w:val="16"/>
              </w:rPr>
              <w:t xml:space="preserve"> </w:t>
            </w:r>
            <w:proofErr w:type="spellStart"/>
            <w:r w:rsidRPr="003E7D3C">
              <w:rPr>
                <w:rFonts w:ascii="Arial" w:hAnsi="Arial" w:cs="Arial"/>
                <w:sz w:val="16"/>
                <w:szCs w:val="16"/>
              </w:rPr>
              <w:t>transplantation</w:t>
            </w:r>
            <w:proofErr w:type="spellEnd"/>
          </w:p>
          <w:p w:rsidR="00E402DB" w:rsidRPr="003E7D3C" w:rsidRDefault="00E402DB" w:rsidP="00E402DB">
            <w:pPr>
              <w:numPr>
                <w:ilvl w:val="0"/>
                <w:numId w:val="2"/>
              </w:numPr>
              <w:spacing w:line="480" w:lineRule="auto"/>
              <w:ind w:left="0" w:right="-142"/>
              <w:contextualSpacing/>
              <w:rPr>
                <w:rFonts w:ascii="Arial" w:hAnsi="Arial" w:cs="Arial"/>
                <w:sz w:val="16"/>
                <w:szCs w:val="16"/>
              </w:rPr>
            </w:pPr>
            <w:proofErr w:type="spellStart"/>
            <w:r w:rsidRPr="003E7D3C">
              <w:rPr>
                <w:rFonts w:ascii="Arial" w:hAnsi="Arial" w:cs="Arial"/>
                <w:sz w:val="16"/>
                <w:szCs w:val="16"/>
              </w:rPr>
              <w:t>Perioperative</w:t>
            </w:r>
            <w:proofErr w:type="spellEnd"/>
            <w:r w:rsidRPr="003E7D3C">
              <w:rPr>
                <w:rFonts w:ascii="Arial" w:hAnsi="Arial" w:cs="Arial"/>
                <w:sz w:val="16"/>
                <w:szCs w:val="16"/>
              </w:rPr>
              <w:t xml:space="preserve"> ECMO</w:t>
            </w:r>
          </w:p>
          <w:p w:rsidR="00E402DB" w:rsidRPr="003E7D3C" w:rsidRDefault="00E402DB" w:rsidP="00E402DB">
            <w:pPr>
              <w:numPr>
                <w:ilvl w:val="0"/>
                <w:numId w:val="2"/>
              </w:numPr>
              <w:spacing w:line="480" w:lineRule="auto"/>
              <w:ind w:left="0" w:right="-142"/>
              <w:contextualSpacing/>
              <w:rPr>
                <w:rFonts w:ascii="Arial" w:hAnsi="Arial" w:cs="Arial"/>
                <w:sz w:val="16"/>
                <w:szCs w:val="16"/>
              </w:rPr>
            </w:pPr>
            <w:proofErr w:type="spellStart"/>
            <w:r w:rsidRPr="003E7D3C">
              <w:rPr>
                <w:rFonts w:ascii="Arial" w:hAnsi="Arial" w:cs="Arial"/>
                <w:sz w:val="16"/>
                <w:szCs w:val="16"/>
              </w:rPr>
              <w:t>Infection</w:t>
            </w:r>
            <w:proofErr w:type="spellEnd"/>
          </w:p>
        </w:tc>
      </w:tr>
      <w:tr w:rsidR="00E402DB" w:rsidRPr="003E7D3C" w:rsidTr="00553062">
        <w:trPr>
          <w:trHeight w:val="785"/>
        </w:trPr>
        <w:tc>
          <w:tcPr>
            <w:tcW w:w="1721"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b/>
                <w:bCs/>
                <w:sz w:val="16"/>
                <w:szCs w:val="16"/>
              </w:rPr>
            </w:pPr>
          </w:p>
        </w:tc>
        <w:tc>
          <w:tcPr>
            <w:tcW w:w="2157"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sz w:val="16"/>
                <w:szCs w:val="16"/>
              </w:rPr>
            </w:pPr>
            <w:r w:rsidRPr="003E7D3C">
              <w:rPr>
                <w:rFonts w:ascii="Arial" w:eastAsia="Times New Roman" w:hAnsi="Arial" w:cs="Arial"/>
                <w:sz w:val="16"/>
                <w:szCs w:val="16"/>
              </w:rPr>
              <w:t xml:space="preserve">AKI </w:t>
            </w:r>
            <w:proofErr w:type="spellStart"/>
            <w:r w:rsidRPr="003E7D3C">
              <w:rPr>
                <w:rFonts w:ascii="Arial" w:eastAsia="Times New Roman" w:hAnsi="Arial" w:cs="Arial"/>
                <w:sz w:val="16"/>
                <w:szCs w:val="16"/>
              </w:rPr>
              <w:t>between</w:t>
            </w:r>
            <w:proofErr w:type="spellEnd"/>
            <w:r w:rsidRPr="003E7D3C">
              <w:rPr>
                <w:rFonts w:ascii="Arial" w:eastAsia="Times New Roman" w:hAnsi="Arial" w:cs="Arial"/>
                <w:sz w:val="16"/>
                <w:szCs w:val="16"/>
              </w:rPr>
              <w:t xml:space="preserve"> </w:t>
            </w:r>
            <w:proofErr w:type="spellStart"/>
            <w:r w:rsidRPr="003E7D3C">
              <w:rPr>
                <w:rFonts w:ascii="Arial" w:eastAsia="Times New Roman" w:hAnsi="Arial" w:cs="Arial"/>
                <w:sz w:val="16"/>
                <w:szCs w:val="16"/>
              </w:rPr>
              <w:t>day</w:t>
            </w:r>
            <w:proofErr w:type="spellEnd"/>
            <w:r w:rsidRPr="003E7D3C">
              <w:rPr>
                <w:rFonts w:ascii="Arial" w:eastAsia="Times New Roman" w:hAnsi="Arial" w:cs="Arial"/>
                <w:sz w:val="16"/>
                <w:szCs w:val="16"/>
              </w:rPr>
              <w:t xml:space="preserve"> 2-14</w:t>
            </w:r>
          </w:p>
        </w:tc>
        <w:tc>
          <w:tcPr>
            <w:tcW w:w="3101" w:type="dxa"/>
            <w:shd w:val="clear" w:color="auto" w:fill="BFBFBF" w:themeFill="background1" w:themeFillShade="BF"/>
          </w:tcPr>
          <w:p w:rsidR="00E402DB" w:rsidRPr="00E402DB" w:rsidRDefault="00E402DB" w:rsidP="00E402DB">
            <w:pPr>
              <w:numPr>
                <w:ilvl w:val="0"/>
                <w:numId w:val="3"/>
              </w:numPr>
              <w:spacing w:line="480" w:lineRule="auto"/>
              <w:ind w:left="0" w:right="133"/>
              <w:contextualSpacing/>
              <w:rPr>
                <w:rFonts w:ascii="Arial" w:hAnsi="Arial" w:cs="Arial"/>
                <w:sz w:val="16"/>
                <w:szCs w:val="16"/>
                <w:lang w:val="en-US"/>
              </w:rPr>
            </w:pPr>
            <w:r w:rsidRPr="00E402DB">
              <w:rPr>
                <w:rFonts w:ascii="Arial" w:hAnsi="Arial" w:cs="Arial"/>
                <w:sz w:val="16"/>
                <w:szCs w:val="16"/>
                <w:lang w:val="en-US"/>
              </w:rPr>
              <w:t>Supra-therapeutic whole-blood tacrolimus trough concentrations day 2-14</w:t>
            </w:r>
          </w:p>
          <w:p w:rsidR="00E402DB" w:rsidRPr="00E402DB" w:rsidRDefault="00E402DB" w:rsidP="00E402DB">
            <w:pPr>
              <w:numPr>
                <w:ilvl w:val="0"/>
                <w:numId w:val="3"/>
              </w:numPr>
              <w:spacing w:line="480" w:lineRule="auto"/>
              <w:ind w:left="0" w:right="133"/>
              <w:contextualSpacing/>
              <w:rPr>
                <w:rFonts w:ascii="Arial" w:hAnsi="Arial" w:cs="Arial"/>
                <w:b/>
                <w:bCs/>
                <w:sz w:val="16"/>
                <w:szCs w:val="16"/>
                <w:lang w:val="en-US"/>
              </w:rPr>
            </w:pPr>
          </w:p>
        </w:tc>
        <w:tc>
          <w:tcPr>
            <w:tcW w:w="2026" w:type="dxa"/>
            <w:shd w:val="clear" w:color="auto" w:fill="BFBFBF" w:themeFill="background1" w:themeFillShade="BF"/>
          </w:tcPr>
          <w:p w:rsidR="00E402DB" w:rsidRPr="003E7D3C" w:rsidRDefault="00E402DB" w:rsidP="00E402DB">
            <w:pPr>
              <w:numPr>
                <w:ilvl w:val="0"/>
                <w:numId w:val="2"/>
              </w:numPr>
              <w:spacing w:line="480" w:lineRule="auto"/>
              <w:ind w:left="0" w:right="133"/>
              <w:contextualSpacing/>
              <w:rPr>
                <w:rFonts w:ascii="Arial" w:hAnsi="Arial" w:cs="Arial"/>
                <w:sz w:val="16"/>
                <w:szCs w:val="16"/>
              </w:rPr>
            </w:pPr>
            <w:r w:rsidRPr="003E7D3C">
              <w:rPr>
                <w:rFonts w:ascii="Arial" w:hAnsi="Arial" w:cs="Arial"/>
                <w:sz w:val="16"/>
                <w:szCs w:val="16"/>
              </w:rPr>
              <w:t>CF</w:t>
            </w:r>
          </w:p>
          <w:p w:rsidR="00E402DB" w:rsidRPr="003E7D3C" w:rsidRDefault="00E402DB" w:rsidP="00553062">
            <w:pPr>
              <w:spacing w:line="480" w:lineRule="auto"/>
              <w:ind w:right="133"/>
              <w:contextualSpacing/>
              <w:rPr>
                <w:rFonts w:ascii="Arial" w:hAnsi="Arial" w:cs="Arial"/>
                <w:sz w:val="16"/>
                <w:szCs w:val="16"/>
              </w:rPr>
            </w:pPr>
            <w:r w:rsidRPr="003E7D3C">
              <w:rPr>
                <w:rFonts w:ascii="Arial" w:hAnsi="Arial" w:cs="Arial"/>
                <w:sz w:val="16"/>
                <w:szCs w:val="16"/>
              </w:rPr>
              <w:t xml:space="preserve">Double </w:t>
            </w:r>
            <w:proofErr w:type="spellStart"/>
            <w:r w:rsidRPr="003E7D3C">
              <w:rPr>
                <w:rFonts w:ascii="Arial" w:hAnsi="Arial" w:cs="Arial"/>
                <w:sz w:val="16"/>
                <w:szCs w:val="16"/>
              </w:rPr>
              <w:t>lung</w:t>
            </w:r>
            <w:proofErr w:type="spellEnd"/>
            <w:r w:rsidRPr="003E7D3C">
              <w:rPr>
                <w:rFonts w:ascii="Arial" w:hAnsi="Arial" w:cs="Arial"/>
                <w:sz w:val="16"/>
                <w:szCs w:val="16"/>
              </w:rPr>
              <w:t xml:space="preserve"> </w:t>
            </w:r>
            <w:proofErr w:type="spellStart"/>
            <w:r w:rsidRPr="003E7D3C">
              <w:rPr>
                <w:rFonts w:ascii="Arial" w:hAnsi="Arial" w:cs="Arial"/>
                <w:sz w:val="16"/>
                <w:szCs w:val="16"/>
              </w:rPr>
              <w:t>transplantation</w:t>
            </w:r>
            <w:proofErr w:type="spellEnd"/>
          </w:p>
          <w:p w:rsidR="00E402DB" w:rsidRPr="003E7D3C" w:rsidRDefault="00E402DB" w:rsidP="00553062">
            <w:pPr>
              <w:spacing w:line="480" w:lineRule="auto"/>
              <w:ind w:right="133"/>
              <w:contextualSpacing/>
              <w:rPr>
                <w:rFonts w:ascii="Arial" w:hAnsi="Arial" w:cs="Arial"/>
                <w:sz w:val="16"/>
                <w:szCs w:val="16"/>
              </w:rPr>
            </w:pPr>
            <w:proofErr w:type="spellStart"/>
            <w:r w:rsidRPr="003E7D3C">
              <w:rPr>
                <w:rFonts w:ascii="Arial" w:hAnsi="Arial" w:cs="Arial"/>
                <w:sz w:val="16"/>
                <w:szCs w:val="16"/>
              </w:rPr>
              <w:t>Perioperative</w:t>
            </w:r>
            <w:proofErr w:type="spellEnd"/>
            <w:r w:rsidRPr="003E7D3C">
              <w:rPr>
                <w:rFonts w:ascii="Arial" w:hAnsi="Arial" w:cs="Arial"/>
                <w:sz w:val="16"/>
                <w:szCs w:val="16"/>
              </w:rPr>
              <w:t xml:space="preserve"> ECMO</w:t>
            </w:r>
          </w:p>
          <w:p w:rsidR="00E402DB" w:rsidRPr="003E7D3C" w:rsidRDefault="00E402DB" w:rsidP="00553062">
            <w:pPr>
              <w:spacing w:line="480" w:lineRule="auto"/>
              <w:ind w:right="133"/>
              <w:contextualSpacing/>
              <w:rPr>
                <w:rFonts w:ascii="Arial" w:hAnsi="Arial" w:cs="Arial"/>
                <w:sz w:val="16"/>
                <w:szCs w:val="16"/>
              </w:rPr>
            </w:pPr>
            <w:proofErr w:type="spellStart"/>
            <w:r w:rsidRPr="003E7D3C">
              <w:rPr>
                <w:rFonts w:ascii="Arial" w:hAnsi="Arial" w:cs="Arial"/>
                <w:sz w:val="16"/>
                <w:szCs w:val="16"/>
              </w:rPr>
              <w:t>Infection</w:t>
            </w:r>
            <w:proofErr w:type="spellEnd"/>
          </w:p>
        </w:tc>
      </w:tr>
      <w:tr w:rsidR="00E402DB" w:rsidRPr="003F3335" w:rsidTr="00553062">
        <w:trPr>
          <w:trHeight w:val="1072"/>
        </w:trPr>
        <w:tc>
          <w:tcPr>
            <w:tcW w:w="1721" w:type="dxa"/>
            <w:shd w:val="clear" w:color="auto" w:fill="BFBFBF" w:themeFill="background1" w:themeFillShade="BF"/>
          </w:tcPr>
          <w:p w:rsidR="00E402DB" w:rsidRPr="003E7D3C" w:rsidRDefault="00E402DB" w:rsidP="00553062">
            <w:pPr>
              <w:spacing w:line="480" w:lineRule="auto"/>
              <w:ind w:right="133"/>
              <w:rPr>
                <w:rFonts w:ascii="Arial" w:eastAsia="Times New Roman" w:hAnsi="Arial" w:cs="Arial"/>
                <w:sz w:val="16"/>
                <w:szCs w:val="16"/>
              </w:rPr>
            </w:pPr>
            <w:r w:rsidRPr="003E7D3C">
              <w:rPr>
                <w:rFonts w:ascii="Arial" w:eastAsia="Times New Roman" w:hAnsi="Arial" w:cs="Arial"/>
                <w:sz w:val="16"/>
                <w:szCs w:val="16"/>
              </w:rPr>
              <w:t>Kaplan-Meier analyses</w:t>
            </w:r>
          </w:p>
        </w:tc>
        <w:tc>
          <w:tcPr>
            <w:tcW w:w="2157" w:type="dxa"/>
            <w:shd w:val="clear" w:color="auto" w:fill="BFBFBF" w:themeFill="background1" w:themeFillShade="BF"/>
          </w:tcPr>
          <w:p w:rsidR="00E402DB" w:rsidRPr="00E402DB" w:rsidRDefault="00E402DB" w:rsidP="00553062">
            <w:pPr>
              <w:keepNext/>
              <w:keepLines/>
              <w:spacing w:line="480" w:lineRule="auto"/>
              <w:ind w:right="133"/>
              <w:outlineLvl w:val="5"/>
              <w:rPr>
                <w:rFonts w:ascii="Arial" w:eastAsia="Times New Roman" w:hAnsi="Arial" w:cs="Arial"/>
                <w:sz w:val="16"/>
                <w:szCs w:val="16"/>
                <w:lang w:val="en-US"/>
              </w:rPr>
            </w:pPr>
            <w:r w:rsidRPr="00E402DB">
              <w:rPr>
                <w:rFonts w:ascii="Arial" w:eastAsia="Times New Roman" w:hAnsi="Arial" w:cs="Arial"/>
                <w:sz w:val="16"/>
                <w:szCs w:val="16"/>
                <w:lang w:val="en-US"/>
              </w:rPr>
              <w:t>Severe CKD up to 1 year</w:t>
            </w:r>
          </w:p>
        </w:tc>
        <w:tc>
          <w:tcPr>
            <w:tcW w:w="3101" w:type="dxa"/>
            <w:shd w:val="clear" w:color="auto" w:fill="BFBFBF" w:themeFill="background1" w:themeFillShade="BF"/>
          </w:tcPr>
          <w:p w:rsidR="00E402DB" w:rsidRPr="003E7D3C" w:rsidRDefault="00E402DB" w:rsidP="00E402DB">
            <w:pPr>
              <w:numPr>
                <w:ilvl w:val="0"/>
                <w:numId w:val="4"/>
              </w:numPr>
              <w:spacing w:line="480" w:lineRule="auto"/>
              <w:ind w:left="0" w:right="133"/>
              <w:contextualSpacing/>
              <w:rPr>
                <w:rFonts w:ascii="Arial" w:hAnsi="Arial" w:cs="Arial"/>
                <w:sz w:val="16"/>
                <w:szCs w:val="16"/>
              </w:rPr>
            </w:pPr>
            <w:r w:rsidRPr="003E7D3C">
              <w:rPr>
                <w:rFonts w:ascii="Arial" w:eastAsia="Times New Roman" w:hAnsi="Arial" w:cs="Arial"/>
                <w:sz w:val="16"/>
                <w:szCs w:val="16"/>
              </w:rPr>
              <w:t>CF</w:t>
            </w:r>
            <w:r w:rsidRPr="003E7D3C">
              <w:rPr>
                <w:rFonts w:ascii="Arial" w:hAnsi="Arial" w:cs="Arial"/>
                <w:sz w:val="16"/>
                <w:szCs w:val="16"/>
              </w:rPr>
              <w:t xml:space="preserve"> </w:t>
            </w:r>
          </w:p>
          <w:p w:rsidR="00E402DB" w:rsidRPr="00E402DB" w:rsidRDefault="00E402DB" w:rsidP="00E402DB">
            <w:pPr>
              <w:numPr>
                <w:ilvl w:val="0"/>
                <w:numId w:val="4"/>
              </w:numPr>
              <w:spacing w:line="480" w:lineRule="auto"/>
              <w:ind w:left="0" w:right="133"/>
              <w:contextualSpacing/>
              <w:rPr>
                <w:rFonts w:ascii="Arial" w:hAnsi="Arial" w:cs="Arial"/>
                <w:sz w:val="16"/>
                <w:szCs w:val="16"/>
                <w:lang w:val="en-US"/>
              </w:rPr>
            </w:pPr>
            <w:r w:rsidRPr="00E402DB">
              <w:rPr>
                <w:rFonts w:ascii="Arial" w:hAnsi="Arial" w:cs="Arial"/>
                <w:sz w:val="16"/>
                <w:szCs w:val="16"/>
                <w:lang w:val="en-US"/>
              </w:rPr>
              <w:t>AKI between day 2-14 ± recovery at 1 month</w:t>
            </w:r>
          </w:p>
        </w:tc>
        <w:tc>
          <w:tcPr>
            <w:tcW w:w="2026" w:type="dxa"/>
            <w:tcBorders>
              <w:left w:val="nil"/>
            </w:tcBorders>
            <w:shd w:val="clear" w:color="auto" w:fill="BFBFBF" w:themeFill="background1" w:themeFillShade="BF"/>
          </w:tcPr>
          <w:p w:rsidR="00E402DB" w:rsidRPr="00E402DB" w:rsidRDefault="00E402DB" w:rsidP="00553062">
            <w:pPr>
              <w:spacing w:line="480" w:lineRule="auto"/>
              <w:ind w:right="133"/>
              <w:rPr>
                <w:rFonts w:ascii="Arial" w:eastAsia="Times New Roman" w:hAnsi="Arial" w:cs="Arial"/>
                <w:b/>
                <w:bCs/>
                <w:sz w:val="16"/>
                <w:szCs w:val="16"/>
                <w:lang w:val="en-US"/>
              </w:rPr>
            </w:pPr>
          </w:p>
        </w:tc>
      </w:tr>
      <w:tr w:rsidR="00E402DB" w:rsidRPr="003F3335" w:rsidTr="00553062">
        <w:trPr>
          <w:trHeight w:val="909"/>
        </w:trPr>
        <w:tc>
          <w:tcPr>
            <w:tcW w:w="9005" w:type="dxa"/>
            <w:gridSpan w:val="4"/>
            <w:shd w:val="clear" w:color="auto" w:fill="auto"/>
          </w:tcPr>
          <w:p w:rsidR="00E402DB" w:rsidRPr="00E402DB" w:rsidRDefault="00E402DB" w:rsidP="00553062">
            <w:pPr>
              <w:spacing w:line="480" w:lineRule="auto"/>
              <w:ind w:right="133"/>
              <w:jc w:val="both"/>
              <w:rPr>
                <w:rFonts w:ascii="Arial" w:eastAsia="Times New Roman" w:hAnsi="Arial" w:cs="Arial"/>
                <w:sz w:val="16"/>
                <w:szCs w:val="16"/>
                <w:lang w:val="en-US"/>
              </w:rPr>
            </w:pPr>
          </w:p>
          <w:p w:rsidR="00E402DB" w:rsidRPr="00E402DB" w:rsidRDefault="00E402DB" w:rsidP="00553062">
            <w:pPr>
              <w:spacing w:line="480" w:lineRule="auto"/>
              <w:ind w:right="133"/>
              <w:jc w:val="both"/>
              <w:rPr>
                <w:rFonts w:ascii="Arial" w:hAnsi="Arial" w:cs="Arial"/>
                <w:sz w:val="16"/>
                <w:szCs w:val="16"/>
                <w:lang w:val="en-US"/>
              </w:rPr>
            </w:pPr>
            <w:r w:rsidRPr="00E402DB">
              <w:rPr>
                <w:rFonts w:ascii="Arial" w:hAnsi="Arial" w:cs="Arial"/>
                <w:sz w:val="20"/>
                <w:szCs w:val="20"/>
                <w:vertAlign w:val="superscript"/>
                <w:lang w:val="en-US"/>
              </w:rPr>
              <w:t>1</w:t>
            </w:r>
            <w:r w:rsidRPr="00E402DB">
              <w:rPr>
                <w:rFonts w:ascii="Arial" w:hAnsi="Arial" w:cs="Arial"/>
                <w:sz w:val="16"/>
                <w:szCs w:val="16"/>
                <w:lang w:val="en-US"/>
              </w:rPr>
              <w:t xml:space="preserve">The tacrolimus whole-blood concentration was log transformed for fitting purposes. </w:t>
            </w:r>
          </w:p>
          <w:p w:rsidR="00E402DB" w:rsidRPr="00E402DB" w:rsidRDefault="00E402DB" w:rsidP="00553062">
            <w:pPr>
              <w:spacing w:line="480" w:lineRule="auto"/>
              <w:ind w:right="133"/>
              <w:jc w:val="both"/>
              <w:rPr>
                <w:rFonts w:ascii="Arial" w:hAnsi="Arial" w:cs="Arial"/>
                <w:sz w:val="16"/>
                <w:szCs w:val="16"/>
                <w:lang w:val="en-US"/>
              </w:rPr>
            </w:pPr>
            <w:r w:rsidRPr="00E402DB">
              <w:rPr>
                <w:rFonts w:ascii="Arial" w:hAnsi="Arial" w:cs="Arial"/>
                <w:sz w:val="20"/>
                <w:szCs w:val="20"/>
                <w:vertAlign w:val="superscript"/>
                <w:lang w:val="en-US"/>
              </w:rPr>
              <w:t>2</w:t>
            </w:r>
            <w:r w:rsidRPr="00E402DB">
              <w:rPr>
                <w:rFonts w:ascii="Arial" w:hAnsi="Arial" w:cs="Arial"/>
                <w:sz w:val="16"/>
                <w:szCs w:val="16"/>
                <w:lang w:val="en-US"/>
              </w:rPr>
              <w:t xml:space="preserve">Fixed factors were: CF, liver injury, , the number of drugs possibly decreasing the tacrolimus concentration and the number of drugs possibly increasing the tacrolimus concentration, included as categorical variables. The effect of drugs on the tacrolimus concentration was tested one day after their initiation. Observations were clustered within individuals (patients’ identification number as subject variable) and time (expressed in day) was entered as both a within-subject and a between-subject variable. A quadratic term for day had to be included in the model for fitting purposes as the relationship between whole-blood tacrolimus concentration and day was non-linear. </w:t>
            </w:r>
          </w:p>
          <w:p w:rsidR="00E402DB" w:rsidRPr="00E402DB" w:rsidRDefault="00E402DB" w:rsidP="00553062">
            <w:pPr>
              <w:spacing w:after="200" w:line="480" w:lineRule="auto"/>
              <w:ind w:right="133"/>
              <w:jc w:val="both"/>
              <w:rPr>
                <w:rFonts w:ascii="Arial" w:hAnsi="Arial" w:cs="Arial"/>
                <w:sz w:val="16"/>
                <w:szCs w:val="16"/>
                <w:lang w:val="en-US"/>
              </w:rPr>
            </w:pPr>
            <w:r w:rsidRPr="00E402DB">
              <w:rPr>
                <w:rFonts w:ascii="Arial" w:hAnsi="Arial" w:cs="Arial"/>
                <w:sz w:val="20"/>
                <w:szCs w:val="20"/>
                <w:vertAlign w:val="superscript"/>
                <w:lang w:val="en-US"/>
              </w:rPr>
              <w:t>3</w:t>
            </w:r>
            <w:r w:rsidRPr="00E402DB">
              <w:rPr>
                <w:rFonts w:ascii="Arial" w:hAnsi="Arial" w:cs="Arial"/>
                <w:sz w:val="16"/>
                <w:szCs w:val="16"/>
                <w:lang w:val="en-US"/>
              </w:rPr>
              <w:t xml:space="preserve">A binary logistic model was selected, with a logit link and an exchangeable working matrix. The outcome variable was “AKI”, with two categories: “normal” corresponding to the no AKI and “abnormal” corresponding to the AKIN stages 1, 2, and 3 together. The significance of the variables was tested by Wald chi-square tests. </w:t>
            </w:r>
          </w:p>
        </w:tc>
      </w:tr>
    </w:tbl>
    <w:p w:rsidR="00E402DB" w:rsidRPr="003E7D3C" w:rsidRDefault="00E402DB" w:rsidP="00E402DB">
      <w:pPr>
        <w:spacing w:after="200" w:line="480" w:lineRule="auto"/>
        <w:ind w:right="133"/>
        <w:jc w:val="both"/>
        <w:rPr>
          <w:rFonts w:ascii="Arial" w:eastAsia="Times New Roman" w:hAnsi="Arial" w:cs="Arial"/>
          <w:b/>
          <w:sz w:val="16"/>
          <w:szCs w:val="16"/>
          <w:lang w:val="en-US"/>
        </w:rPr>
      </w:pPr>
      <w:r w:rsidRPr="003E7D3C">
        <w:rPr>
          <w:rFonts w:ascii="Arial" w:eastAsia="Times New Roman" w:hAnsi="Arial" w:cs="Arial"/>
          <w:b/>
          <w:sz w:val="16"/>
          <w:szCs w:val="16"/>
          <w:lang w:val="en-US"/>
        </w:rPr>
        <w:br w:type="page"/>
      </w:r>
    </w:p>
    <w:p w:rsidR="00E402DB" w:rsidRPr="003E7D3C" w:rsidRDefault="00E402DB" w:rsidP="00E402DB">
      <w:pPr>
        <w:spacing w:line="480" w:lineRule="auto"/>
        <w:ind w:left="-360" w:right="133"/>
        <w:contextualSpacing/>
        <w:rPr>
          <w:rFonts w:ascii="Arial" w:eastAsia="Calibri" w:hAnsi="Arial" w:cs="Arial"/>
          <w:sz w:val="16"/>
          <w:szCs w:val="16"/>
          <w:lang w:val="en-US" w:eastAsia="en-US"/>
        </w:rPr>
      </w:pPr>
    </w:p>
    <w:tbl>
      <w:tblPr>
        <w:tblW w:w="6663" w:type="dxa"/>
        <w:shd w:val="clear" w:color="auto" w:fill="BFBFBF" w:themeFill="background1" w:themeFillShade="BF"/>
        <w:tblLayout w:type="fixed"/>
        <w:tblCellMar>
          <w:left w:w="0" w:type="dxa"/>
          <w:right w:w="0" w:type="dxa"/>
        </w:tblCellMar>
        <w:tblLook w:val="0000" w:firstRow="0" w:lastRow="0" w:firstColumn="0" w:lastColumn="0" w:noHBand="0" w:noVBand="0"/>
      </w:tblPr>
      <w:tblGrid>
        <w:gridCol w:w="1212"/>
        <w:gridCol w:w="924"/>
        <w:gridCol w:w="1001"/>
        <w:gridCol w:w="1001"/>
        <w:gridCol w:w="1107"/>
        <w:gridCol w:w="1418"/>
      </w:tblGrid>
      <w:tr w:rsidR="00E402DB" w:rsidRPr="003F3335" w:rsidTr="00553062">
        <w:trPr>
          <w:cantSplit/>
        </w:trPr>
        <w:tc>
          <w:tcPr>
            <w:tcW w:w="6663" w:type="dxa"/>
            <w:gridSpan w:val="6"/>
            <w:shd w:val="clear" w:color="auto" w:fill="auto"/>
          </w:tcPr>
          <w:p w:rsidR="00E402DB" w:rsidRPr="003E7D3C" w:rsidRDefault="00E402DB" w:rsidP="003F3335">
            <w:pPr>
              <w:pStyle w:val="Kop1"/>
              <w:rPr>
                <w:lang w:eastAsia="en-US"/>
              </w:rPr>
            </w:pPr>
            <w:bookmarkStart w:id="12" w:name="_Toc472322859"/>
            <w:r w:rsidRPr="003E7D3C">
              <w:rPr>
                <w:lang w:eastAsia="en-US"/>
              </w:rPr>
              <w:t>Table S3</w:t>
            </w:r>
            <w:bookmarkEnd w:id="12"/>
          </w:p>
          <w:p w:rsidR="00E402DB" w:rsidRPr="003E7D3C" w:rsidRDefault="00E402DB" w:rsidP="00553062">
            <w:pPr>
              <w:spacing w:line="480" w:lineRule="auto"/>
              <w:ind w:left="142" w:right="133"/>
              <w:contextualSpacing/>
              <w:rPr>
                <w:rFonts w:ascii="Arial" w:hAnsi="Arial" w:cs="Arial"/>
                <w:sz w:val="20"/>
                <w:szCs w:val="20"/>
                <w:lang w:val="en-US" w:eastAsia="en-US"/>
              </w:rPr>
            </w:pPr>
            <w:r w:rsidRPr="003E7D3C">
              <w:rPr>
                <w:rFonts w:ascii="Arial" w:hAnsi="Arial" w:cs="Arial"/>
                <w:sz w:val="20"/>
                <w:szCs w:val="20"/>
                <w:lang w:val="en-US" w:eastAsia="en-US"/>
              </w:rPr>
              <w:t xml:space="preserve">Concentrations of </w:t>
            </w:r>
            <w:proofErr w:type="spellStart"/>
            <w:r w:rsidRPr="003E7D3C">
              <w:rPr>
                <w:rFonts w:ascii="Arial" w:hAnsi="Arial" w:cs="Arial"/>
                <w:sz w:val="20"/>
                <w:szCs w:val="20"/>
                <w:lang w:val="en-US" w:eastAsia="en-US"/>
              </w:rPr>
              <w:t>Hb</w:t>
            </w:r>
            <w:proofErr w:type="spellEnd"/>
            <w:r w:rsidRPr="003E7D3C">
              <w:rPr>
                <w:rFonts w:ascii="Arial" w:hAnsi="Arial" w:cs="Arial"/>
                <w:sz w:val="20"/>
                <w:szCs w:val="20"/>
                <w:lang w:val="en-US" w:eastAsia="en-US"/>
              </w:rPr>
              <w:t xml:space="preserve">, </w:t>
            </w:r>
            <w:proofErr w:type="spellStart"/>
            <w:r w:rsidRPr="003E7D3C">
              <w:rPr>
                <w:rFonts w:ascii="Arial" w:hAnsi="Arial" w:cs="Arial"/>
                <w:sz w:val="20"/>
                <w:szCs w:val="20"/>
                <w:lang w:val="en-US" w:eastAsia="en-US"/>
              </w:rPr>
              <w:t>Ht</w:t>
            </w:r>
            <w:proofErr w:type="spellEnd"/>
            <w:r w:rsidRPr="003E7D3C">
              <w:rPr>
                <w:rFonts w:ascii="Arial" w:hAnsi="Arial" w:cs="Arial"/>
                <w:sz w:val="20"/>
                <w:szCs w:val="20"/>
                <w:lang w:val="en-US" w:eastAsia="en-US"/>
              </w:rPr>
              <w:t>, albumin and total protein day 1 to 6</w:t>
            </w:r>
          </w:p>
        </w:tc>
      </w:tr>
      <w:tr w:rsidR="00E402DB" w:rsidRPr="003E7D3C" w:rsidTr="00553062">
        <w:trPr>
          <w:cantSplit/>
        </w:trPr>
        <w:tc>
          <w:tcPr>
            <w:tcW w:w="2136" w:type="dxa"/>
            <w:gridSpan w:val="2"/>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val="en-US" w:eastAsia="en-US"/>
              </w:rPr>
            </w:pPr>
          </w:p>
        </w:tc>
        <w:tc>
          <w:tcPr>
            <w:tcW w:w="1001"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Hb</w:t>
            </w:r>
            <w:r w:rsidRPr="00B515EA">
              <w:rPr>
                <w:rFonts w:ascii="Arial" w:hAnsi="Arial" w:cs="Arial"/>
                <w:sz w:val="20"/>
                <w:szCs w:val="20"/>
                <w:vertAlign w:val="superscript"/>
                <w:lang w:eastAsia="en-US"/>
              </w:rPr>
              <w:t>1,2</w:t>
            </w:r>
            <w:r w:rsidRPr="00B515EA">
              <w:rPr>
                <w:rFonts w:ascii="Arial" w:hAnsi="Arial" w:cs="Arial"/>
                <w:sz w:val="20"/>
                <w:szCs w:val="20"/>
                <w:lang w:eastAsia="en-US"/>
              </w:rPr>
              <w:t xml:space="preserve"> </w:t>
            </w:r>
            <w:r w:rsidRPr="003E7D3C">
              <w:rPr>
                <w:rFonts w:ascii="Arial" w:hAnsi="Arial" w:cs="Arial"/>
                <w:sz w:val="16"/>
                <w:szCs w:val="16"/>
                <w:lang w:eastAsia="en-US"/>
              </w:rPr>
              <w:t>mmol/L</w:t>
            </w:r>
          </w:p>
        </w:tc>
        <w:tc>
          <w:tcPr>
            <w:tcW w:w="1001"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C37419">
              <w:rPr>
                <w:rFonts w:ascii="Arial" w:hAnsi="Arial" w:cs="Arial"/>
                <w:sz w:val="16"/>
                <w:szCs w:val="16"/>
                <w:lang w:eastAsia="en-US"/>
              </w:rPr>
              <w:t>Ht</w:t>
            </w:r>
            <w:r w:rsidRPr="00B515EA">
              <w:rPr>
                <w:rFonts w:ascii="Arial" w:hAnsi="Arial" w:cs="Arial"/>
                <w:sz w:val="20"/>
                <w:szCs w:val="20"/>
                <w:vertAlign w:val="superscript"/>
                <w:lang w:eastAsia="en-US"/>
              </w:rPr>
              <w:t>1,2</w:t>
            </w:r>
          </w:p>
        </w:tc>
        <w:tc>
          <w:tcPr>
            <w:tcW w:w="1107"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Albumin</w:t>
            </w:r>
            <w:r w:rsidRPr="00B515EA">
              <w:rPr>
                <w:rFonts w:ascii="Arial" w:hAnsi="Arial" w:cs="Arial"/>
                <w:sz w:val="20"/>
                <w:szCs w:val="20"/>
                <w:vertAlign w:val="superscript"/>
                <w:lang w:eastAsia="en-US"/>
              </w:rPr>
              <w:t xml:space="preserve">1,3 </w:t>
            </w:r>
            <w:r w:rsidRPr="003E7D3C">
              <w:rPr>
                <w:rFonts w:ascii="Arial" w:hAnsi="Arial" w:cs="Arial"/>
                <w:sz w:val="16"/>
                <w:szCs w:val="16"/>
                <w:lang w:eastAsia="en-US"/>
              </w:rPr>
              <w:t>g/L</w:t>
            </w:r>
          </w:p>
        </w:tc>
        <w:tc>
          <w:tcPr>
            <w:tcW w:w="1418"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 xml:space="preserve">Total </w:t>
            </w:r>
            <w:r w:rsidRPr="00C37419">
              <w:rPr>
                <w:rFonts w:ascii="Arial" w:hAnsi="Arial" w:cs="Arial"/>
                <w:sz w:val="16"/>
                <w:szCs w:val="16"/>
                <w:lang w:eastAsia="en-US"/>
              </w:rPr>
              <w:t>Protein</w:t>
            </w:r>
            <w:r w:rsidRPr="00B515EA">
              <w:rPr>
                <w:rFonts w:ascii="Arial" w:hAnsi="Arial" w:cs="Arial"/>
                <w:sz w:val="20"/>
                <w:szCs w:val="20"/>
                <w:vertAlign w:val="superscript"/>
                <w:lang w:eastAsia="en-US"/>
              </w:rPr>
              <w:t>1,3</w:t>
            </w:r>
            <w:r w:rsidRPr="00B515EA">
              <w:rPr>
                <w:rFonts w:ascii="Arial" w:hAnsi="Arial" w:cs="Arial"/>
                <w:sz w:val="20"/>
                <w:szCs w:val="20"/>
                <w:lang w:eastAsia="en-US"/>
              </w:rPr>
              <w:t xml:space="preserve"> </w:t>
            </w:r>
            <w:r w:rsidRPr="003E7D3C">
              <w:rPr>
                <w:rFonts w:ascii="Arial" w:hAnsi="Arial" w:cs="Arial"/>
                <w:sz w:val="16"/>
                <w:szCs w:val="16"/>
                <w:lang w:eastAsia="en-US"/>
              </w:rPr>
              <w:t>g/L</w:t>
            </w:r>
          </w:p>
        </w:tc>
      </w:tr>
      <w:tr w:rsidR="00E402DB" w:rsidRPr="003E7D3C" w:rsidTr="00553062">
        <w:trPr>
          <w:cantSplit/>
        </w:trPr>
        <w:tc>
          <w:tcPr>
            <w:tcW w:w="2136" w:type="dxa"/>
            <w:gridSpan w:val="2"/>
            <w:shd w:val="clear" w:color="auto" w:fill="BFBFBF" w:themeFill="background1" w:themeFillShade="BF"/>
            <w:vAlign w:val="center"/>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proofErr w:type="spellStart"/>
            <w:r w:rsidRPr="003E7D3C">
              <w:rPr>
                <w:rFonts w:ascii="Arial" w:hAnsi="Arial" w:cs="Arial"/>
                <w:sz w:val="16"/>
                <w:szCs w:val="16"/>
                <w:lang w:eastAsia="en-US"/>
              </w:rPr>
              <w:t>Median</w:t>
            </w:r>
            <w:proofErr w:type="spellEnd"/>
          </w:p>
        </w:tc>
        <w:tc>
          <w:tcPr>
            <w:tcW w:w="1001"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6</w:t>
            </w:r>
            <w:r>
              <w:rPr>
                <w:rFonts w:ascii="Arial" w:hAnsi="Arial" w:cs="Arial"/>
                <w:sz w:val="16"/>
                <w:szCs w:val="16"/>
                <w:lang w:eastAsia="en-US"/>
              </w:rPr>
              <w:t>.</w:t>
            </w:r>
            <w:r w:rsidRPr="003E7D3C">
              <w:rPr>
                <w:rFonts w:ascii="Arial" w:hAnsi="Arial" w:cs="Arial"/>
                <w:sz w:val="16"/>
                <w:szCs w:val="16"/>
                <w:lang w:eastAsia="en-US"/>
              </w:rPr>
              <w:t>1</w:t>
            </w:r>
          </w:p>
        </w:tc>
        <w:tc>
          <w:tcPr>
            <w:tcW w:w="1001"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Pr>
                <w:rFonts w:ascii="Arial" w:hAnsi="Arial" w:cs="Arial"/>
                <w:sz w:val="16"/>
                <w:szCs w:val="16"/>
                <w:lang w:eastAsia="en-US"/>
              </w:rPr>
              <w:t>.</w:t>
            </w:r>
            <w:r w:rsidRPr="003E7D3C">
              <w:rPr>
                <w:rFonts w:ascii="Arial" w:hAnsi="Arial" w:cs="Arial"/>
                <w:sz w:val="16"/>
                <w:szCs w:val="16"/>
                <w:lang w:eastAsia="en-US"/>
              </w:rPr>
              <w:t>29</w:t>
            </w:r>
          </w:p>
        </w:tc>
        <w:tc>
          <w:tcPr>
            <w:tcW w:w="1107"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23</w:t>
            </w:r>
            <w:r>
              <w:rPr>
                <w:rFonts w:ascii="Arial" w:hAnsi="Arial" w:cs="Arial"/>
                <w:sz w:val="16"/>
                <w:szCs w:val="16"/>
                <w:lang w:eastAsia="en-US"/>
              </w:rPr>
              <w:t>.</w:t>
            </w:r>
            <w:r w:rsidRPr="003E7D3C">
              <w:rPr>
                <w:rFonts w:ascii="Arial" w:hAnsi="Arial" w:cs="Arial"/>
                <w:sz w:val="16"/>
                <w:szCs w:val="16"/>
                <w:lang w:eastAsia="en-US"/>
              </w:rPr>
              <w:t>2</w:t>
            </w:r>
          </w:p>
        </w:tc>
        <w:tc>
          <w:tcPr>
            <w:tcW w:w="1418"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47</w:t>
            </w:r>
          </w:p>
        </w:tc>
      </w:tr>
      <w:tr w:rsidR="00E402DB" w:rsidRPr="003E7D3C" w:rsidTr="00553062">
        <w:trPr>
          <w:cantSplit/>
        </w:trPr>
        <w:tc>
          <w:tcPr>
            <w:tcW w:w="1212" w:type="dxa"/>
            <w:vMerge w:val="restart"/>
            <w:shd w:val="clear" w:color="auto" w:fill="BFBFBF" w:themeFill="background1" w:themeFillShade="BF"/>
            <w:vAlign w:val="center"/>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proofErr w:type="spellStart"/>
            <w:r w:rsidRPr="003E7D3C">
              <w:rPr>
                <w:rFonts w:ascii="Arial" w:hAnsi="Arial" w:cs="Arial"/>
                <w:sz w:val="16"/>
                <w:szCs w:val="16"/>
                <w:lang w:eastAsia="en-US"/>
              </w:rPr>
              <w:t>Percentile</w:t>
            </w:r>
            <w:proofErr w:type="spellEnd"/>
          </w:p>
        </w:tc>
        <w:tc>
          <w:tcPr>
            <w:tcW w:w="924" w:type="dxa"/>
            <w:shd w:val="clear" w:color="auto" w:fill="BFBFBF" w:themeFill="background1" w:themeFillShade="BF"/>
            <w:vAlign w:val="center"/>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25th</w:t>
            </w:r>
          </w:p>
        </w:tc>
        <w:tc>
          <w:tcPr>
            <w:tcW w:w="1001"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5</w:t>
            </w:r>
            <w:r>
              <w:rPr>
                <w:rFonts w:ascii="Arial" w:hAnsi="Arial" w:cs="Arial"/>
                <w:sz w:val="16"/>
                <w:szCs w:val="16"/>
                <w:lang w:eastAsia="en-US"/>
              </w:rPr>
              <w:t>.</w:t>
            </w:r>
            <w:r w:rsidRPr="003E7D3C">
              <w:rPr>
                <w:rFonts w:ascii="Arial" w:hAnsi="Arial" w:cs="Arial"/>
                <w:sz w:val="16"/>
                <w:szCs w:val="16"/>
                <w:lang w:eastAsia="en-US"/>
              </w:rPr>
              <w:t>3</w:t>
            </w:r>
          </w:p>
        </w:tc>
        <w:tc>
          <w:tcPr>
            <w:tcW w:w="1001"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Pr>
                <w:rFonts w:ascii="Arial" w:hAnsi="Arial" w:cs="Arial"/>
                <w:sz w:val="16"/>
                <w:szCs w:val="16"/>
                <w:lang w:eastAsia="en-US"/>
              </w:rPr>
              <w:t>.</w:t>
            </w:r>
            <w:r w:rsidRPr="003E7D3C">
              <w:rPr>
                <w:rFonts w:ascii="Arial" w:hAnsi="Arial" w:cs="Arial"/>
                <w:sz w:val="16"/>
                <w:szCs w:val="16"/>
                <w:lang w:eastAsia="en-US"/>
              </w:rPr>
              <w:t>25</w:t>
            </w:r>
          </w:p>
        </w:tc>
        <w:tc>
          <w:tcPr>
            <w:tcW w:w="1107"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19</w:t>
            </w:r>
            <w:r>
              <w:rPr>
                <w:rFonts w:ascii="Arial" w:hAnsi="Arial" w:cs="Arial"/>
                <w:sz w:val="16"/>
                <w:szCs w:val="16"/>
                <w:lang w:eastAsia="en-US"/>
              </w:rPr>
              <w:t>.</w:t>
            </w:r>
            <w:r w:rsidRPr="003E7D3C">
              <w:rPr>
                <w:rFonts w:ascii="Arial" w:hAnsi="Arial" w:cs="Arial"/>
                <w:sz w:val="16"/>
                <w:szCs w:val="16"/>
                <w:lang w:eastAsia="en-US"/>
              </w:rPr>
              <w:t>4</w:t>
            </w:r>
          </w:p>
        </w:tc>
        <w:tc>
          <w:tcPr>
            <w:tcW w:w="1418"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41</w:t>
            </w:r>
          </w:p>
        </w:tc>
      </w:tr>
      <w:tr w:rsidR="00E402DB" w:rsidRPr="003E7D3C" w:rsidTr="00553062">
        <w:trPr>
          <w:cantSplit/>
        </w:trPr>
        <w:tc>
          <w:tcPr>
            <w:tcW w:w="1212" w:type="dxa"/>
            <w:vMerge/>
            <w:shd w:val="clear" w:color="auto" w:fill="BFBFBF" w:themeFill="background1" w:themeFillShade="BF"/>
            <w:vAlign w:val="center"/>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p>
        </w:tc>
        <w:tc>
          <w:tcPr>
            <w:tcW w:w="924" w:type="dxa"/>
            <w:shd w:val="clear" w:color="auto" w:fill="BFBFBF" w:themeFill="background1" w:themeFillShade="BF"/>
            <w:vAlign w:val="center"/>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75th</w:t>
            </w:r>
          </w:p>
        </w:tc>
        <w:tc>
          <w:tcPr>
            <w:tcW w:w="1001"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6</w:t>
            </w:r>
            <w:r>
              <w:rPr>
                <w:rFonts w:ascii="Arial" w:hAnsi="Arial" w:cs="Arial"/>
                <w:sz w:val="16"/>
                <w:szCs w:val="16"/>
                <w:lang w:eastAsia="en-US"/>
              </w:rPr>
              <w:t>.</w:t>
            </w:r>
            <w:r w:rsidRPr="003E7D3C">
              <w:rPr>
                <w:rFonts w:ascii="Arial" w:hAnsi="Arial" w:cs="Arial"/>
                <w:sz w:val="16"/>
                <w:szCs w:val="16"/>
                <w:lang w:eastAsia="en-US"/>
              </w:rPr>
              <w:t>8</w:t>
            </w:r>
          </w:p>
        </w:tc>
        <w:tc>
          <w:tcPr>
            <w:tcW w:w="1001"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Pr>
                <w:rFonts w:ascii="Arial" w:hAnsi="Arial" w:cs="Arial"/>
                <w:sz w:val="16"/>
                <w:szCs w:val="16"/>
                <w:lang w:eastAsia="en-US"/>
              </w:rPr>
              <w:t>.</w:t>
            </w:r>
            <w:r w:rsidRPr="003E7D3C">
              <w:rPr>
                <w:rFonts w:ascii="Arial" w:hAnsi="Arial" w:cs="Arial"/>
                <w:sz w:val="16"/>
                <w:szCs w:val="16"/>
                <w:lang w:eastAsia="en-US"/>
              </w:rPr>
              <w:t>33</w:t>
            </w:r>
          </w:p>
        </w:tc>
        <w:tc>
          <w:tcPr>
            <w:tcW w:w="1107"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26</w:t>
            </w:r>
            <w:r>
              <w:rPr>
                <w:rFonts w:ascii="Arial" w:hAnsi="Arial" w:cs="Arial"/>
                <w:sz w:val="16"/>
                <w:szCs w:val="16"/>
                <w:lang w:eastAsia="en-US"/>
              </w:rPr>
              <w:t>.</w:t>
            </w:r>
            <w:r w:rsidRPr="003E7D3C">
              <w:rPr>
                <w:rFonts w:ascii="Arial" w:hAnsi="Arial" w:cs="Arial"/>
                <w:sz w:val="16"/>
                <w:szCs w:val="16"/>
                <w:lang w:eastAsia="en-US"/>
              </w:rPr>
              <w:t>5</w:t>
            </w:r>
          </w:p>
        </w:tc>
        <w:tc>
          <w:tcPr>
            <w:tcW w:w="1418" w:type="dxa"/>
            <w:shd w:val="clear" w:color="auto" w:fill="BFBFBF" w:themeFill="background1" w:themeFillShade="BF"/>
          </w:tcPr>
          <w:p w:rsidR="00E402DB" w:rsidRPr="003E7D3C" w:rsidRDefault="00E402DB" w:rsidP="00E402DB">
            <w:pPr>
              <w:numPr>
                <w:ilvl w:val="0"/>
                <w:numId w:val="4"/>
              </w:numPr>
              <w:spacing w:line="480" w:lineRule="auto"/>
              <w:ind w:left="142" w:right="133"/>
              <w:contextualSpacing/>
              <w:rPr>
                <w:rFonts w:ascii="Arial" w:hAnsi="Arial" w:cs="Arial"/>
                <w:sz w:val="16"/>
                <w:szCs w:val="16"/>
                <w:lang w:eastAsia="en-US"/>
              </w:rPr>
            </w:pPr>
            <w:r w:rsidRPr="003E7D3C">
              <w:rPr>
                <w:rFonts w:ascii="Arial" w:hAnsi="Arial" w:cs="Arial"/>
                <w:sz w:val="16"/>
                <w:szCs w:val="16"/>
                <w:lang w:eastAsia="en-US"/>
              </w:rPr>
              <w:t>53</w:t>
            </w:r>
          </w:p>
        </w:tc>
      </w:tr>
      <w:tr w:rsidR="00E402DB" w:rsidRPr="003E7D3C" w:rsidTr="00553062">
        <w:trPr>
          <w:cantSplit/>
          <w:trHeight w:val="80"/>
        </w:trPr>
        <w:tc>
          <w:tcPr>
            <w:tcW w:w="1212" w:type="dxa"/>
            <w:vMerge/>
            <w:shd w:val="clear" w:color="auto" w:fill="BFBFBF" w:themeFill="background1" w:themeFillShade="BF"/>
            <w:vAlign w:val="center"/>
          </w:tcPr>
          <w:p w:rsidR="00E402DB" w:rsidRPr="003E7D3C" w:rsidRDefault="00E402DB" w:rsidP="00553062">
            <w:pPr>
              <w:autoSpaceDE w:val="0"/>
              <w:autoSpaceDN w:val="0"/>
              <w:adjustRightInd w:val="0"/>
              <w:ind w:left="142"/>
              <w:rPr>
                <w:rFonts w:ascii="Arial" w:hAnsi="Arial" w:cs="Arial"/>
                <w:color w:val="000000"/>
                <w:sz w:val="16"/>
                <w:szCs w:val="16"/>
                <w:lang w:eastAsia="en-US"/>
              </w:rPr>
            </w:pPr>
          </w:p>
        </w:tc>
        <w:tc>
          <w:tcPr>
            <w:tcW w:w="924" w:type="dxa"/>
            <w:shd w:val="clear" w:color="auto" w:fill="BFBFBF" w:themeFill="background1" w:themeFillShade="BF"/>
            <w:vAlign w:val="center"/>
          </w:tcPr>
          <w:p w:rsidR="00E402DB" w:rsidRPr="003E7D3C" w:rsidRDefault="00E402DB" w:rsidP="00553062">
            <w:pPr>
              <w:autoSpaceDE w:val="0"/>
              <w:autoSpaceDN w:val="0"/>
              <w:adjustRightInd w:val="0"/>
              <w:ind w:left="142" w:right="60"/>
              <w:rPr>
                <w:rFonts w:ascii="Arial" w:hAnsi="Arial" w:cs="Arial"/>
                <w:color w:val="000000"/>
                <w:sz w:val="16"/>
                <w:szCs w:val="16"/>
                <w:lang w:eastAsia="en-US"/>
              </w:rPr>
            </w:pPr>
          </w:p>
        </w:tc>
        <w:tc>
          <w:tcPr>
            <w:tcW w:w="1001" w:type="dxa"/>
            <w:shd w:val="clear" w:color="auto" w:fill="BFBFBF" w:themeFill="background1" w:themeFillShade="BF"/>
          </w:tcPr>
          <w:p w:rsidR="00E402DB" w:rsidRPr="003E7D3C" w:rsidRDefault="00E402DB" w:rsidP="00553062">
            <w:pPr>
              <w:autoSpaceDE w:val="0"/>
              <w:autoSpaceDN w:val="0"/>
              <w:adjustRightInd w:val="0"/>
              <w:ind w:left="142" w:right="60"/>
              <w:jc w:val="right"/>
              <w:rPr>
                <w:rFonts w:ascii="Arial" w:hAnsi="Arial" w:cs="Arial"/>
                <w:color w:val="000000"/>
                <w:sz w:val="16"/>
                <w:szCs w:val="16"/>
                <w:lang w:eastAsia="en-US"/>
              </w:rPr>
            </w:pPr>
          </w:p>
        </w:tc>
        <w:tc>
          <w:tcPr>
            <w:tcW w:w="1001" w:type="dxa"/>
            <w:shd w:val="clear" w:color="auto" w:fill="BFBFBF" w:themeFill="background1" w:themeFillShade="BF"/>
          </w:tcPr>
          <w:p w:rsidR="00E402DB" w:rsidRPr="003E7D3C" w:rsidRDefault="00E402DB" w:rsidP="00553062">
            <w:pPr>
              <w:autoSpaceDE w:val="0"/>
              <w:autoSpaceDN w:val="0"/>
              <w:adjustRightInd w:val="0"/>
              <w:ind w:left="142" w:right="60"/>
              <w:jc w:val="right"/>
              <w:rPr>
                <w:rFonts w:ascii="Arial" w:hAnsi="Arial" w:cs="Arial"/>
                <w:color w:val="000000"/>
                <w:sz w:val="16"/>
                <w:szCs w:val="16"/>
                <w:lang w:eastAsia="en-US"/>
              </w:rPr>
            </w:pPr>
          </w:p>
        </w:tc>
        <w:tc>
          <w:tcPr>
            <w:tcW w:w="1107" w:type="dxa"/>
            <w:shd w:val="clear" w:color="auto" w:fill="BFBFBF" w:themeFill="background1" w:themeFillShade="BF"/>
          </w:tcPr>
          <w:p w:rsidR="00E402DB" w:rsidRPr="003E7D3C" w:rsidRDefault="00E402DB" w:rsidP="00553062">
            <w:pPr>
              <w:autoSpaceDE w:val="0"/>
              <w:autoSpaceDN w:val="0"/>
              <w:adjustRightInd w:val="0"/>
              <w:ind w:left="142" w:right="60"/>
              <w:jc w:val="right"/>
              <w:rPr>
                <w:rFonts w:ascii="Arial" w:hAnsi="Arial" w:cs="Arial"/>
                <w:color w:val="000000"/>
                <w:sz w:val="16"/>
                <w:szCs w:val="16"/>
                <w:lang w:eastAsia="en-US"/>
              </w:rPr>
            </w:pPr>
          </w:p>
        </w:tc>
        <w:tc>
          <w:tcPr>
            <w:tcW w:w="1418" w:type="dxa"/>
            <w:shd w:val="clear" w:color="auto" w:fill="BFBFBF" w:themeFill="background1" w:themeFillShade="BF"/>
          </w:tcPr>
          <w:p w:rsidR="00E402DB" w:rsidRPr="003E7D3C" w:rsidRDefault="00E402DB" w:rsidP="00553062">
            <w:pPr>
              <w:autoSpaceDE w:val="0"/>
              <w:autoSpaceDN w:val="0"/>
              <w:adjustRightInd w:val="0"/>
              <w:ind w:left="142" w:right="60"/>
              <w:jc w:val="right"/>
              <w:rPr>
                <w:rFonts w:ascii="Arial" w:hAnsi="Arial" w:cs="Arial"/>
                <w:color w:val="000000"/>
                <w:sz w:val="16"/>
                <w:szCs w:val="16"/>
                <w:lang w:eastAsia="en-US"/>
              </w:rPr>
            </w:pPr>
          </w:p>
        </w:tc>
      </w:tr>
      <w:tr w:rsidR="00E402DB" w:rsidRPr="003F3335" w:rsidTr="00553062">
        <w:trPr>
          <w:cantSplit/>
          <w:trHeight w:val="822"/>
        </w:trPr>
        <w:tc>
          <w:tcPr>
            <w:tcW w:w="6663" w:type="dxa"/>
            <w:gridSpan w:val="6"/>
            <w:shd w:val="clear" w:color="auto" w:fill="auto"/>
            <w:vAlign w:val="center"/>
          </w:tcPr>
          <w:p w:rsidR="00E402DB" w:rsidRPr="003E7D3C" w:rsidRDefault="00E402DB" w:rsidP="00553062">
            <w:pPr>
              <w:ind w:left="142"/>
              <w:rPr>
                <w:rFonts w:ascii="Arial" w:hAnsi="Arial" w:cs="Arial"/>
                <w:color w:val="000000"/>
                <w:sz w:val="16"/>
                <w:szCs w:val="16"/>
                <w:lang w:val="en-US" w:eastAsia="en-US"/>
              </w:rPr>
            </w:pPr>
            <w:r w:rsidRPr="00B515EA">
              <w:rPr>
                <w:rFonts w:ascii="Arial" w:hAnsi="Arial" w:cs="Arial"/>
                <w:color w:val="000000"/>
                <w:sz w:val="20"/>
                <w:szCs w:val="20"/>
                <w:vertAlign w:val="superscript"/>
                <w:lang w:val="en-US" w:eastAsia="en-US"/>
              </w:rPr>
              <w:t>1</w:t>
            </w:r>
            <w:r w:rsidRPr="003E7D3C">
              <w:rPr>
                <w:rFonts w:ascii="Arial" w:hAnsi="Arial" w:cs="Arial"/>
                <w:color w:val="000000"/>
                <w:sz w:val="16"/>
                <w:szCs w:val="16"/>
                <w:lang w:val="en-US" w:eastAsia="en-US"/>
              </w:rPr>
              <w:t xml:space="preserve">Anemia was defined as </w:t>
            </w:r>
            <w:proofErr w:type="spellStart"/>
            <w:r w:rsidRPr="003E7D3C">
              <w:rPr>
                <w:rFonts w:ascii="Arial" w:hAnsi="Arial" w:cs="Arial"/>
                <w:color w:val="000000"/>
                <w:sz w:val="16"/>
                <w:szCs w:val="16"/>
                <w:lang w:val="en-US" w:eastAsia="en-US"/>
              </w:rPr>
              <w:t>Ht</w:t>
            </w:r>
            <w:proofErr w:type="spellEnd"/>
            <w:r w:rsidRPr="003E7D3C">
              <w:rPr>
                <w:rFonts w:ascii="Arial" w:hAnsi="Arial" w:cs="Arial"/>
                <w:color w:val="000000"/>
                <w:sz w:val="16"/>
                <w:szCs w:val="16"/>
                <w:lang w:val="en-US" w:eastAsia="en-US"/>
              </w:rPr>
              <w:t xml:space="preserve"> &lt;0.35 or </w:t>
            </w:r>
            <w:proofErr w:type="spellStart"/>
            <w:r w:rsidRPr="003E7D3C">
              <w:rPr>
                <w:rFonts w:ascii="Arial" w:hAnsi="Arial" w:cs="Arial"/>
                <w:color w:val="000000"/>
                <w:sz w:val="16"/>
                <w:szCs w:val="16"/>
                <w:lang w:val="en-US" w:eastAsia="en-US"/>
              </w:rPr>
              <w:t>Hb</w:t>
            </w:r>
            <w:proofErr w:type="spellEnd"/>
            <w:r w:rsidRPr="003E7D3C">
              <w:rPr>
                <w:rFonts w:ascii="Arial" w:hAnsi="Arial" w:cs="Arial"/>
                <w:color w:val="000000"/>
                <w:sz w:val="16"/>
                <w:szCs w:val="16"/>
                <w:lang w:val="en-US" w:eastAsia="en-US"/>
              </w:rPr>
              <w:t xml:space="preserve"> &lt;7 mmol/L and low protein as albumin &lt;20 g/L or total protein concentration &lt;45 g/L.</w:t>
            </w:r>
          </w:p>
          <w:p w:rsidR="00E402DB" w:rsidRDefault="00E402DB" w:rsidP="00553062">
            <w:pPr>
              <w:autoSpaceDE w:val="0"/>
              <w:autoSpaceDN w:val="0"/>
              <w:adjustRightInd w:val="0"/>
              <w:ind w:left="142" w:right="60"/>
              <w:rPr>
                <w:rFonts w:ascii="Arial" w:hAnsi="Arial" w:cs="Arial"/>
                <w:color w:val="000000"/>
                <w:sz w:val="16"/>
                <w:szCs w:val="16"/>
                <w:lang w:val="en-US" w:eastAsia="en-US"/>
              </w:rPr>
            </w:pPr>
            <w:r w:rsidRPr="00B515EA">
              <w:rPr>
                <w:rFonts w:ascii="Arial" w:hAnsi="Arial" w:cs="Arial"/>
                <w:color w:val="000000"/>
                <w:sz w:val="20"/>
                <w:szCs w:val="20"/>
                <w:vertAlign w:val="superscript"/>
                <w:lang w:val="en-US" w:eastAsia="en-US"/>
              </w:rPr>
              <w:t>2</w:t>
            </w:r>
            <w:r w:rsidRPr="003E7D3C">
              <w:rPr>
                <w:rFonts w:ascii="Arial" w:hAnsi="Arial" w:cs="Arial"/>
                <w:color w:val="000000"/>
                <w:sz w:val="16"/>
                <w:szCs w:val="16"/>
                <w:lang w:val="en-US" w:eastAsia="en-US"/>
              </w:rPr>
              <w:t>Anemia was observed in 98% of patient</w:t>
            </w:r>
            <w:r>
              <w:rPr>
                <w:rFonts w:ascii="Arial" w:hAnsi="Arial" w:cs="Arial"/>
                <w:color w:val="000000"/>
                <w:sz w:val="16"/>
                <w:szCs w:val="16"/>
                <w:lang w:val="en-US" w:eastAsia="en-US"/>
              </w:rPr>
              <w:t>s</w:t>
            </w:r>
            <w:r w:rsidRPr="003E7D3C">
              <w:rPr>
                <w:rFonts w:ascii="Arial" w:hAnsi="Arial" w:cs="Arial"/>
                <w:color w:val="000000"/>
                <w:sz w:val="16"/>
                <w:szCs w:val="16"/>
                <w:lang w:val="en-US" w:eastAsia="en-US"/>
              </w:rPr>
              <w:t xml:space="preserve"> (182 out of 186). </w:t>
            </w:r>
          </w:p>
          <w:p w:rsidR="00E402DB" w:rsidRPr="003E7D3C" w:rsidRDefault="00E402DB" w:rsidP="00553062">
            <w:pPr>
              <w:autoSpaceDE w:val="0"/>
              <w:autoSpaceDN w:val="0"/>
              <w:adjustRightInd w:val="0"/>
              <w:ind w:left="142" w:right="60"/>
              <w:rPr>
                <w:rFonts w:ascii="Arial" w:hAnsi="Arial" w:cs="Arial"/>
                <w:color w:val="000000"/>
                <w:sz w:val="16"/>
                <w:szCs w:val="16"/>
                <w:lang w:val="en-US" w:eastAsia="en-US"/>
              </w:rPr>
            </w:pPr>
            <w:r w:rsidRPr="00B515EA">
              <w:rPr>
                <w:rFonts w:ascii="Arial" w:hAnsi="Arial" w:cs="Arial"/>
                <w:color w:val="000000"/>
                <w:sz w:val="20"/>
                <w:szCs w:val="20"/>
                <w:vertAlign w:val="superscript"/>
                <w:lang w:val="en-US" w:eastAsia="en-US"/>
              </w:rPr>
              <w:t>3</w:t>
            </w:r>
            <w:r w:rsidRPr="003E7D3C">
              <w:rPr>
                <w:rFonts w:ascii="Arial" w:hAnsi="Arial" w:cs="Arial"/>
                <w:color w:val="000000"/>
                <w:sz w:val="16"/>
                <w:szCs w:val="16"/>
                <w:lang w:val="en-US" w:eastAsia="en-US"/>
              </w:rPr>
              <w:t>A low protein level was found in 69% of patients (129 out of 186).</w:t>
            </w:r>
          </w:p>
        </w:tc>
      </w:tr>
    </w:tbl>
    <w:p w:rsidR="00E402DB" w:rsidRPr="003E7D3C" w:rsidRDefault="00E402DB" w:rsidP="00E402DB">
      <w:pPr>
        <w:spacing w:after="200" w:line="480" w:lineRule="auto"/>
        <w:ind w:right="133"/>
        <w:jc w:val="both"/>
        <w:rPr>
          <w:rFonts w:ascii="Arial" w:eastAsia="Times New Roman" w:hAnsi="Arial" w:cs="Arial"/>
          <w:b/>
          <w:sz w:val="16"/>
          <w:szCs w:val="16"/>
          <w:lang w:val="en-US"/>
        </w:rPr>
      </w:pPr>
    </w:p>
    <w:p w:rsidR="00D92FF4" w:rsidRDefault="00D92FF4">
      <w:pPr>
        <w:rPr>
          <w:lang w:val="en-US"/>
        </w:rPr>
      </w:pPr>
    </w:p>
    <w:p w:rsidR="003E59D7" w:rsidRPr="00E402DB" w:rsidRDefault="003E59D7">
      <w:pPr>
        <w:rPr>
          <w:lang w:val="en-US"/>
        </w:rPr>
      </w:pPr>
    </w:p>
    <w:sectPr w:rsidR="003E59D7" w:rsidRPr="00E402DB" w:rsidSect="00CB6E63">
      <w:type w:val="continuous"/>
      <w:pgSz w:w="11900" w:h="16840"/>
      <w:pgMar w:top="1418" w:right="1127" w:bottom="1418" w:left="1418" w:header="709" w:footer="709"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8775B"/>
    <w:multiLevelType w:val="hybridMultilevel"/>
    <w:tmpl w:val="83B8BF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4B1A6B8B"/>
    <w:multiLevelType w:val="hybridMultilevel"/>
    <w:tmpl w:val="D73245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5D7F18AF"/>
    <w:multiLevelType w:val="hybridMultilevel"/>
    <w:tmpl w:val="EAECE0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FA60DF8"/>
    <w:multiLevelType w:val="hybridMultilevel"/>
    <w:tmpl w:val="1B8C18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2DB"/>
    <w:rsid w:val="000C0FCF"/>
    <w:rsid w:val="0025418E"/>
    <w:rsid w:val="003E59D7"/>
    <w:rsid w:val="003F3335"/>
    <w:rsid w:val="00566B27"/>
    <w:rsid w:val="00795916"/>
    <w:rsid w:val="00834343"/>
    <w:rsid w:val="00C258CB"/>
    <w:rsid w:val="00CF332A"/>
    <w:rsid w:val="00D92FF4"/>
    <w:rsid w:val="00E40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02DB"/>
    <w:pPr>
      <w:spacing w:after="0" w:line="240" w:lineRule="auto"/>
    </w:pPr>
    <w:rPr>
      <w:rFonts w:asciiTheme="minorHAnsi" w:eastAsiaTheme="minorEastAsia" w:hAnsiTheme="minorHAnsi"/>
      <w:sz w:val="24"/>
      <w:szCs w:val="24"/>
      <w:lang w:val="nl-NL" w:eastAsia="nl-NL"/>
    </w:rPr>
  </w:style>
  <w:style w:type="paragraph" w:styleId="Kop1">
    <w:name w:val="heading 1"/>
    <w:basedOn w:val="Standaard"/>
    <w:next w:val="Standaard"/>
    <w:link w:val="Kop1Char"/>
    <w:uiPriority w:val="9"/>
    <w:qFormat/>
    <w:rsid w:val="003F3335"/>
    <w:pPr>
      <w:keepNext/>
      <w:keepLines/>
      <w:spacing w:before="480" w:line="480" w:lineRule="auto"/>
      <w:jc w:val="both"/>
      <w:outlineLvl w:val="0"/>
    </w:pPr>
    <w:rPr>
      <w:rFonts w:ascii="Arial" w:eastAsiaTheme="majorEastAsia" w:hAnsi="Arial" w:cs="Arial"/>
      <w:b/>
      <w:bCs/>
      <w:sz w:val="20"/>
      <w:lang w:val="en-US"/>
    </w:rPr>
  </w:style>
  <w:style w:type="paragraph" w:styleId="Kop2">
    <w:name w:val="heading 2"/>
    <w:basedOn w:val="Standaard"/>
    <w:next w:val="Standaard"/>
    <w:link w:val="Kop2Char"/>
    <w:uiPriority w:val="9"/>
    <w:unhideWhenUsed/>
    <w:qFormat/>
    <w:rsid w:val="00795916"/>
    <w:pPr>
      <w:keepNext/>
      <w:keepLines/>
      <w:spacing w:before="320" w:after="120"/>
      <w:outlineLvl w:val="1"/>
    </w:pPr>
    <w:rPr>
      <w:rFonts w:ascii="Arial" w:eastAsiaTheme="majorEastAsia" w:hAnsi="Arial" w:cstheme="majorBidi"/>
      <w:b/>
      <w:bCs/>
      <w:sz w:val="20"/>
      <w:szCs w:val="26"/>
    </w:rPr>
  </w:style>
  <w:style w:type="paragraph" w:styleId="Kop3">
    <w:name w:val="heading 3"/>
    <w:basedOn w:val="Standaard"/>
    <w:next w:val="Standaard"/>
    <w:link w:val="Kop3Char"/>
    <w:uiPriority w:val="9"/>
    <w:unhideWhenUsed/>
    <w:qFormat/>
    <w:rsid w:val="00E402DB"/>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3335"/>
    <w:rPr>
      <w:rFonts w:ascii="Arial" w:eastAsiaTheme="majorEastAsia" w:hAnsi="Arial" w:cs="Arial"/>
      <w:b/>
      <w:bCs/>
      <w:sz w:val="20"/>
      <w:szCs w:val="24"/>
      <w:lang w:eastAsia="nl-NL"/>
    </w:rPr>
  </w:style>
  <w:style w:type="character" w:customStyle="1" w:styleId="Kop2Char">
    <w:name w:val="Kop 2 Char"/>
    <w:basedOn w:val="Standaardalinea-lettertype"/>
    <w:link w:val="Kop2"/>
    <w:uiPriority w:val="9"/>
    <w:rsid w:val="00795916"/>
    <w:rPr>
      <w:rFonts w:ascii="Arial" w:eastAsiaTheme="majorEastAsia" w:hAnsi="Arial" w:cstheme="majorBidi"/>
      <w:b/>
      <w:bCs/>
      <w:sz w:val="20"/>
      <w:szCs w:val="26"/>
      <w:lang w:val="nl-NL" w:eastAsia="nl-NL"/>
    </w:rPr>
  </w:style>
  <w:style w:type="character" w:customStyle="1" w:styleId="Kop3Char">
    <w:name w:val="Kop 3 Char"/>
    <w:basedOn w:val="Standaardalinea-lettertype"/>
    <w:link w:val="Kop3"/>
    <w:uiPriority w:val="9"/>
    <w:rsid w:val="00E402DB"/>
    <w:rPr>
      <w:rFonts w:asciiTheme="majorHAnsi" w:eastAsiaTheme="majorEastAsia" w:hAnsiTheme="majorHAnsi" w:cstheme="majorBidi"/>
      <w:b/>
      <w:bCs/>
      <w:color w:val="4F81BD" w:themeColor="accent1"/>
      <w:sz w:val="24"/>
      <w:szCs w:val="24"/>
      <w:lang w:val="nl-NL" w:eastAsia="nl-NL"/>
    </w:rPr>
  </w:style>
  <w:style w:type="table" w:styleId="Tabelraster">
    <w:name w:val="Table Grid"/>
    <w:basedOn w:val="Standaardtabel"/>
    <w:uiPriority w:val="59"/>
    <w:rsid w:val="00E402DB"/>
    <w:pPr>
      <w:spacing w:after="0" w:line="240" w:lineRule="auto"/>
    </w:pPr>
    <w:rPr>
      <w:rFonts w:asciiTheme="minorHAnsi" w:eastAsiaTheme="minorEastAsia" w:hAnsiTheme="minorHAnsi"/>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E402D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E402DB"/>
  </w:style>
  <w:style w:type="paragraph" w:styleId="Ballontekst">
    <w:name w:val="Balloon Text"/>
    <w:basedOn w:val="Standaard"/>
    <w:link w:val="BallontekstChar"/>
    <w:uiPriority w:val="99"/>
    <w:semiHidden/>
    <w:unhideWhenUsed/>
    <w:rsid w:val="00C258CB"/>
    <w:rPr>
      <w:rFonts w:ascii="Tahoma" w:hAnsi="Tahoma" w:cs="Tahoma"/>
      <w:sz w:val="16"/>
      <w:szCs w:val="16"/>
    </w:rPr>
  </w:style>
  <w:style w:type="character" w:customStyle="1" w:styleId="BallontekstChar">
    <w:name w:val="Ballontekst Char"/>
    <w:basedOn w:val="Standaardalinea-lettertype"/>
    <w:link w:val="Ballontekst"/>
    <w:uiPriority w:val="99"/>
    <w:semiHidden/>
    <w:rsid w:val="00C258CB"/>
    <w:rPr>
      <w:rFonts w:ascii="Tahoma" w:eastAsiaTheme="minorEastAsia" w:hAnsi="Tahoma" w:cs="Tahoma"/>
      <w:sz w:val="16"/>
      <w:szCs w:val="16"/>
      <w:lang w:val="nl-NL" w:eastAsia="nl-NL"/>
    </w:rPr>
  </w:style>
  <w:style w:type="paragraph" w:styleId="Kopvaninhoudsopgave">
    <w:name w:val="TOC Heading"/>
    <w:basedOn w:val="Kop1"/>
    <w:next w:val="Standaard"/>
    <w:uiPriority w:val="39"/>
    <w:semiHidden/>
    <w:unhideWhenUsed/>
    <w:qFormat/>
    <w:rsid w:val="00795916"/>
    <w:pPr>
      <w:spacing w:line="276" w:lineRule="auto"/>
      <w:jc w:val="left"/>
      <w:outlineLvl w:val="9"/>
    </w:pPr>
    <w:rPr>
      <w:rFonts w:asciiTheme="majorHAnsi" w:hAnsiTheme="majorHAnsi" w:cstheme="majorBidi"/>
      <w:b w:val="0"/>
      <w:color w:val="365F91" w:themeColor="accent1" w:themeShade="BF"/>
      <w:sz w:val="28"/>
      <w:szCs w:val="28"/>
      <w:lang w:val="nl-NL"/>
    </w:rPr>
  </w:style>
  <w:style w:type="paragraph" w:styleId="Inhopg1">
    <w:name w:val="toc 1"/>
    <w:basedOn w:val="Standaard"/>
    <w:next w:val="Standaard"/>
    <w:autoRedefine/>
    <w:uiPriority w:val="39"/>
    <w:unhideWhenUsed/>
    <w:rsid w:val="00795916"/>
    <w:pPr>
      <w:spacing w:after="100"/>
    </w:pPr>
  </w:style>
  <w:style w:type="paragraph" w:styleId="Inhopg2">
    <w:name w:val="toc 2"/>
    <w:basedOn w:val="Standaard"/>
    <w:next w:val="Standaard"/>
    <w:autoRedefine/>
    <w:uiPriority w:val="39"/>
    <w:unhideWhenUsed/>
    <w:rsid w:val="00795916"/>
    <w:pPr>
      <w:spacing w:after="100"/>
      <w:ind w:left="240"/>
    </w:pPr>
  </w:style>
  <w:style w:type="paragraph" w:styleId="Inhopg3">
    <w:name w:val="toc 3"/>
    <w:basedOn w:val="Standaard"/>
    <w:next w:val="Standaard"/>
    <w:autoRedefine/>
    <w:uiPriority w:val="39"/>
    <w:unhideWhenUsed/>
    <w:rsid w:val="00795916"/>
    <w:pPr>
      <w:spacing w:after="100"/>
      <w:ind w:left="480"/>
    </w:pPr>
  </w:style>
  <w:style w:type="character" w:styleId="Hyperlink">
    <w:name w:val="Hyperlink"/>
    <w:basedOn w:val="Standaardalinea-lettertype"/>
    <w:uiPriority w:val="99"/>
    <w:unhideWhenUsed/>
    <w:rsid w:val="007959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Theme="minorHAnsi" w:hAnsi="Segoe U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402DB"/>
    <w:pPr>
      <w:spacing w:after="0" w:line="240" w:lineRule="auto"/>
    </w:pPr>
    <w:rPr>
      <w:rFonts w:asciiTheme="minorHAnsi" w:eastAsiaTheme="minorEastAsia" w:hAnsiTheme="minorHAnsi"/>
      <w:sz w:val="24"/>
      <w:szCs w:val="24"/>
      <w:lang w:val="nl-NL" w:eastAsia="nl-NL"/>
    </w:rPr>
  </w:style>
  <w:style w:type="paragraph" w:styleId="Kop1">
    <w:name w:val="heading 1"/>
    <w:basedOn w:val="Standaard"/>
    <w:next w:val="Standaard"/>
    <w:link w:val="Kop1Char"/>
    <w:uiPriority w:val="9"/>
    <w:qFormat/>
    <w:rsid w:val="003F3335"/>
    <w:pPr>
      <w:keepNext/>
      <w:keepLines/>
      <w:spacing w:before="480" w:line="480" w:lineRule="auto"/>
      <w:jc w:val="both"/>
      <w:outlineLvl w:val="0"/>
    </w:pPr>
    <w:rPr>
      <w:rFonts w:ascii="Arial" w:eastAsiaTheme="majorEastAsia" w:hAnsi="Arial" w:cs="Arial"/>
      <w:b/>
      <w:bCs/>
      <w:sz w:val="20"/>
      <w:lang w:val="en-US"/>
    </w:rPr>
  </w:style>
  <w:style w:type="paragraph" w:styleId="Kop2">
    <w:name w:val="heading 2"/>
    <w:basedOn w:val="Standaard"/>
    <w:next w:val="Standaard"/>
    <w:link w:val="Kop2Char"/>
    <w:uiPriority w:val="9"/>
    <w:unhideWhenUsed/>
    <w:qFormat/>
    <w:rsid w:val="00795916"/>
    <w:pPr>
      <w:keepNext/>
      <w:keepLines/>
      <w:spacing w:before="320" w:after="120"/>
      <w:outlineLvl w:val="1"/>
    </w:pPr>
    <w:rPr>
      <w:rFonts w:ascii="Arial" w:eastAsiaTheme="majorEastAsia" w:hAnsi="Arial" w:cstheme="majorBidi"/>
      <w:b/>
      <w:bCs/>
      <w:sz w:val="20"/>
      <w:szCs w:val="26"/>
    </w:rPr>
  </w:style>
  <w:style w:type="paragraph" w:styleId="Kop3">
    <w:name w:val="heading 3"/>
    <w:basedOn w:val="Standaard"/>
    <w:next w:val="Standaard"/>
    <w:link w:val="Kop3Char"/>
    <w:uiPriority w:val="9"/>
    <w:unhideWhenUsed/>
    <w:qFormat/>
    <w:rsid w:val="00E402DB"/>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3335"/>
    <w:rPr>
      <w:rFonts w:ascii="Arial" w:eastAsiaTheme="majorEastAsia" w:hAnsi="Arial" w:cs="Arial"/>
      <w:b/>
      <w:bCs/>
      <w:sz w:val="20"/>
      <w:szCs w:val="24"/>
      <w:lang w:eastAsia="nl-NL"/>
    </w:rPr>
  </w:style>
  <w:style w:type="character" w:customStyle="1" w:styleId="Kop2Char">
    <w:name w:val="Kop 2 Char"/>
    <w:basedOn w:val="Standaardalinea-lettertype"/>
    <w:link w:val="Kop2"/>
    <w:uiPriority w:val="9"/>
    <w:rsid w:val="00795916"/>
    <w:rPr>
      <w:rFonts w:ascii="Arial" w:eastAsiaTheme="majorEastAsia" w:hAnsi="Arial" w:cstheme="majorBidi"/>
      <w:b/>
      <w:bCs/>
      <w:sz w:val="20"/>
      <w:szCs w:val="26"/>
      <w:lang w:val="nl-NL" w:eastAsia="nl-NL"/>
    </w:rPr>
  </w:style>
  <w:style w:type="character" w:customStyle="1" w:styleId="Kop3Char">
    <w:name w:val="Kop 3 Char"/>
    <w:basedOn w:val="Standaardalinea-lettertype"/>
    <w:link w:val="Kop3"/>
    <w:uiPriority w:val="9"/>
    <w:rsid w:val="00E402DB"/>
    <w:rPr>
      <w:rFonts w:asciiTheme="majorHAnsi" w:eastAsiaTheme="majorEastAsia" w:hAnsiTheme="majorHAnsi" w:cstheme="majorBidi"/>
      <w:b/>
      <w:bCs/>
      <w:color w:val="4F81BD" w:themeColor="accent1"/>
      <w:sz w:val="24"/>
      <w:szCs w:val="24"/>
      <w:lang w:val="nl-NL" w:eastAsia="nl-NL"/>
    </w:rPr>
  </w:style>
  <w:style w:type="table" w:styleId="Tabelraster">
    <w:name w:val="Table Grid"/>
    <w:basedOn w:val="Standaardtabel"/>
    <w:uiPriority w:val="59"/>
    <w:rsid w:val="00E402DB"/>
    <w:pPr>
      <w:spacing w:after="0" w:line="240" w:lineRule="auto"/>
    </w:pPr>
    <w:rPr>
      <w:rFonts w:asciiTheme="minorHAnsi" w:eastAsiaTheme="minorEastAsia" w:hAnsiTheme="minorHAnsi"/>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E402D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E402DB"/>
  </w:style>
  <w:style w:type="paragraph" w:styleId="Ballontekst">
    <w:name w:val="Balloon Text"/>
    <w:basedOn w:val="Standaard"/>
    <w:link w:val="BallontekstChar"/>
    <w:uiPriority w:val="99"/>
    <w:semiHidden/>
    <w:unhideWhenUsed/>
    <w:rsid w:val="00C258CB"/>
    <w:rPr>
      <w:rFonts w:ascii="Tahoma" w:hAnsi="Tahoma" w:cs="Tahoma"/>
      <w:sz w:val="16"/>
      <w:szCs w:val="16"/>
    </w:rPr>
  </w:style>
  <w:style w:type="character" w:customStyle="1" w:styleId="BallontekstChar">
    <w:name w:val="Ballontekst Char"/>
    <w:basedOn w:val="Standaardalinea-lettertype"/>
    <w:link w:val="Ballontekst"/>
    <w:uiPriority w:val="99"/>
    <w:semiHidden/>
    <w:rsid w:val="00C258CB"/>
    <w:rPr>
      <w:rFonts w:ascii="Tahoma" w:eastAsiaTheme="minorEastAsia" w:hAnsi="Tahoma" w:cs="Tahoma"/>
      <w:sz w:val="16"/>
      <w:szCs w:val="16"/>
      <w:lang w:val="nl-NL" w:eastAsia="nl-NL"/>
    </w:rPr>
  </w:style>
  <w:style w:type="paragraph" w:styleId="Kopvaninhoudsopgave">
    <w:name w:val="TOC Heading"/>
    <w:basedOn w:val="Kop1"/>
    <w:next w:val="Standaard"/>
    <w:uiPriority w:val="39"/>
    <w:semiHidden/>
    <w:unhideWhenUsed/>
    <w:qFormat/>
    <w:rsid w:val="00795916"/>
    <w:pPr>
      <w:spacing w:line="276" w:lineRule="auto"/>
      <w:jc w:val="left"/>
      <w:outlineLvl w:val="9"/>
    </w:pPr>
    <w:rPr>
      <w:rFonts w:asciiTheme="majorHAnsi" w:hAnsiTheme="majorHAnsi" w:cstheme="majorBidi"/>
      <w:b w:val="0"/>
      <w:color w:val="365F91" w:themeColor="accent1" w:themeShade="BF"/>
      <w:sz w:val="28"/>
      <w:szCs w:val="28"/>
      <w:lang w:val="nl-NL"/>
    </w:rPr>
  </w:style>
  <w:style w:type="paragraph" w:styleId="Inhopg1">
    <w:name w:val="toc 1"/>
    <w:basedOn w:val="Standaard"/>
    <w:next w:val="Standaard"/>
    <w:autoRedefine/>
    <w:uiPriority w:val="39"/>
    <w:unhideWhenUsed/>
    <w:rsid w:val="00795916"/>
    <w:pPr>
      <w:spacing w:after="100"/>
    </w:pPr>
  </w:style>
  <w:style w:type="paragraph" w:styleId="Inhopg2">
    <w:name w:val="toc 2"/>
    <w:basedOn w:val="Standaard"/>
    <w:next w:val="Standaard"/>
    <w:autoRedefine/>
    <w:uiPriority w:val="39"/>
    <w:unhideWhenUsed/>
    <w:rsid w:val="00795916"/>
    <w:pPr>
      <w:spacing w:after="100"/>
      <w:ind w:left="240"/>
    </w:pPr>
  </w:style>
  <w:style w:type="paragraph" w:styleId="Inhopg3">
    <w:name w:val="toc 3"/>
    <w:basedOn w:val="Standaard"/>
    <w:next w:val="Standaard"/>
    <w:autoRedefine/>
    <w:uiPriority w:val="39"/>
    <w:unhideWhenUsed/>
    <w:rsid w:val="00795916"/>
    <w:pPr>
      <w:spacing w:after="100"/>
      <w:ind w:left="480"/>
    </w:pPr>
  </w:style>
  <w:style w:type="character" w:styleId="Hyperlink">
    <w:name w:val="Hyperlink"/>
    <w:basedOn w:val="Standaardalinea-lettertype"/>
    <w:uiPriority w:val="99"/>
    <w:unhideWhenUsed/>
    <w:rsid w:val="007959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74DF2-7440-421D-801F-35DBB9573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2B057EBE</Template>
  <TotalTime>0</TotalTime>
  <Pages>12</Pages>
  <Words>4302</Words>
  <Characters>23667</Characters>
  <Application>Microsoft Office Word</Application>
  <DocSecurity>4</DocSecurity>
  <Lines>197</Lines>
  <Paragraphs>55</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27914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Sikma, M.A.</dc:creator>
  <cp:lastModifiedBy>Sikma, M.A.</cp:lastModifiedBy>
  <cp:revision>2</cp:revision>
  <dcterms:created xsi:type="dcterms:W3CDTF">2017-01-24T13:20:00Z</dcterms:created>
  <dcterms:modified xsi:type="dcterms:W3CDTF">2017-01-24T13:20:00Z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id="http://www.zotero.org/styles/vancouver-brackets"/&gt;&lt;format class="21"/&gt;&lt;count citations="8" publications="8"/&gt;&lt;/info&gt;PAPERS2_INFO_END</vt:lpwstr>
  </property>
</Properties>
</file>