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AE823" w14:textId="77777777" w:rsidR="00EB5A12" w:rsidRPr="00EB5A12" w:rsidRDefault="00EB5A12" w:rsidP="00EB5A12">
      <w:pPr>
        <w:spacing w:after="0"/>
        <w:rPr>
          <w:rFonts w:ascii="Times New Roman" w:hAnsi="Times New Roman" w:cs="Times New Roman"/>
          <w:b/>
          <w:sz w:val="24"/>
          <w:szCs w:val="24"/>
          <w:lang w:val="en-GB"/>
        </w:rPr>
      </w:pPr>
      <w:r>
        <w:rPr>
          <w:rFonts w:ascii="Times New Roman" w:hAnsi="Times New Roman" w:cs="Times New Roman"/>
          <w:b/>
          <w:sz w:val="24"/>
          <w:szCs w:val="24"/>
          <w:lang w:val="en-GB"/>
        </w:rPr>
        <w:t>Supplementary file: Detailed information not available in the manuscript</w:t>
      </w:r>
    </w:p>
    <w:p w14:paraId="51C82EA7" w14:textId="77777777" w:rsidR="00EB5A12" w:rsidRDefault="00EB5A12" w:rsidP="00EB5A12">
      <w:pPr>
        <w:spacing w:after="0"/>
        <w:rPr>
          <w:rFonts w:ascii="Times New Roman" w:hAnsi="Times New Roman" w:cs="Times New Roman"/>
          <w:b/>
          <w:i/>
          <w:sz w:val="24"/>
          <w:szCs w:val="24"/>
          <w:lang w:val="en-GB"/>
        </w:rPr>
      </w:pPr>
    </w:p>
    <w:p w14:paraId="655D2F6B" w14:textId="77777777" w:rsidR="00DB3C87" w:rsidRPr="00B56048" w:rsidRDefault="00DB3C87" w:rsidP="00DB3C87">
      <w:pPr>
        <w:spacing w:after="0"/>
        <w:rPr>
          <w:rFonts w:ascii="Times New Roman" w:hAnsi="Times New Roman" w:cs="Times New Roman"/>
          <w:b/>
          <w:sz w:val="24"/>
          <w:szCs w:val="24"/>
          <w:lang w:val="en-GB"/>
        </w:rPr>
      </w:pPr>
    </w:p>
    <w:p w14:paraId="42F0F93B" w14:textId="77777777" w:rsidR="00DB3C87" w:rsidRPr="00B56048" w:rsidRDefault="00DB3C87" w:rsidP="00DB3C87">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sz w:val="24"/>
          <w:szCs w:val="24"/>
          <w:lang w:val="en-GB"/>
        </w:rPr>
      </w:pPr>
      <w:r w:rsidRPr="00B56048">
        <w:rPr>
          <w:rFonts w:ascii="Times New Roman" w:hAnsi="Times New Roman" w:cs="Times New Roman"/>
          <w:b/>
          <w:sz w:val="24"/>
          <w:szCs w:val="24"/>
          <w:lang w:val="en-GB"/>
        </w:rPr>
        <w:t>Box 1: The Wise List concept</w:t>
      </w:r>
      <w:r>
        <w:rPr>
          <w:rFonts w:ascii="Times New Roman" w:hAnsi="Times New Roman" w:cs="Times New Roman"/>
          <w:b/>
          <w:sz w:val="24"/>
          <w:szCs w:val="24"/>
          <w:lang w:val="en-GB"/>
        </w:rPr>
        <w:t xml:space="preserve"> </w:t>
      </w:r>
    </w:p>
    <w:p w14:paraId="319632B6" w14:textId="77777777" w:rsidR="00DB3C87" w:rsidRPr="00B56048" w:rsidRDefault="00DB3C87" w:rsidP="00DB3C87">
      <w:pPr>
        <w:pStyle w:val="ListParagraph"/>
        <w:numPr>
          <w:ilvl w:val="0"/>
          <w:numId w:val="1"/>
        </w:num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sz w:val="24"/>
          <w:szCs w:val="24"/>
          <w:lang w:val="en-GB"/>
        </w:rPr>
      </w:pPr>
      <w:r w:rsidRPr="00B56048">
        <w:rPr>
          <w:rFonts w:ascii="Times New Roman" w:hAnsi="Times New Roman"/>
          <w:sz w:val="24"/>
          <w:szCs w:val="24"/>
          <w:lang w:val="en-GB"/>
        </w:rPr>
        <w:t xml:space="preserve">The Wise List (“Kloka Listan” in Swedish) was developed for the whole Stockholm Healthcare Region in 2000 (the name “Wise List” was launched in 2001) </w:t>
      </w:r>
    </w:p>
    <w:p w14:paraId="6A2447A2" w14:textId="10D74090" w:rsidR="00DB3C87" w:rsidRPr="00B42B0A" w:rsidRDefault="00DB3C87" w:rsidP="00DB3C87">
      <w:pPr>
        <w:pStyle w:val="ListParagraph"/>
        <w:numPr>
          <w:ilvl w:val="0"/>
          <w:numId w:val="1"/>
        </w:num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sz w:val="24"/>
          <w:szCs w:val="24"/>
          <w:lang w:val="en-GB"/>
        </w:rPr>
      </w:pPr>
      <w:r w:rsidRPr="00B42B0A">
        <w:rPr>
          <w:rFonts w:ascii="Times New Roman" w:hAnsi="Times New Roman"/>
          <w:sz w:val="24"/>
          <w:szCs w:val="24"/>
          <w:lang w:val="en-GB"/>
        </w:rPr>
        <w:t>Includes around 200 recommended core medicines for the treatment of common diseases in primary and hospital care and 100 complementary medicines for common diseases in specialised care</w:t>
      </w:r>
      <w:r>
        <w:rPr>
          <w:rFonts w:ascii="Times New Roman" w:hAnsi="Times New Roman"/>
          <w:sz w:val="24"/>
          <w:szCs w:val="24"/>
          <w:lang w:val="en-GB"/>
        </w:rPr>
        <w:t xml:space="preserve"> </w:t>
      </w:r>
      <w:r>
        <w:rPr>
          <w:rFonts w:ascii="Times New Roman" w:hAnsi="Times New Roman"/>
          <w:sz w:val="24"/>
          <w:szCs w:val="24"/>
          <w:lang w:val="en-GB"/>
        </w:rPr>
        <w:fldChar w:fldCharType="begin">
          <w:fldData xml:space="preserve">PEVuZE5vdGU+PENpdGU+PEF1dGhvcj5Fcmlrc2VuPC9BdXRob3I+PFllYXI+MjAxNzwvWWVhcj48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</w:fldData>
        </w:fldChar>
      </w:r>
      <w:r>
        <w:rPr>
          <w:rFonts w:ascii="Times New Roman" w:hAnsi="Times New Roman"/>
          <w:sz w:val="24"/>
          <w:szCs w:val="24"/>
          <w:lang w:val="en-GB"/>
        </w:rPr>
        <w:instrText xml:space="preserve"> ADDIN EN.CITE </w:instrText>
      </w:r>
      <w:r>
        <w:rPr>
          <w:rFonts w:ascii="Times New Roman" w:hAnsi="Times New Roman"/>
          <w:sz w:val="24"/>
          <w:szCs w:val="24"/>
          <w:lang w:val="en-GB"/>
        </w:rPr>
        <w:fldChar w:fldCharType="begin">
          <w:fldData xml:space="preserve">PEVuZE5vdGU+PENpdGU+PEF1dGhvcj5Fcmlrc2VuPC9BdXRob3I+PFllYXI+MjAxNzwvWWVhcj48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</w:fldData>
        </w:fldChar>
      </w:r>
      <w:r>
        <w:rPr>
          <w:rFonts w:ascii="Times New Roman" w:hAnsi="Times New Roman"/>
          <w:sz w:val="24"/>
          <w:szCs w:val="24"/>
          <w:lang w:val="en-GB"/>
        </w:rPr>
        <w:instrText xml:space="preserve"> ADDIN EN.CITE.DATA </w:instrText>
      </w:r>
      <w:r>
        <w:rPr>
          <w:rFonts w:ascii="Times New Roman" w:hAnsi="Times New Roman"/>
          <w:sz w:val="24"/>
          <w:szCs w:val="24"/>
          <w:lang w:val="en-GB"/>
        </w:rPr>
      </w:r>
      <w:r>
        <w:rPr>
          <w:rFonts w:ascii="Times New Roman" w:hAnsi="Times New Roman"/>
          <w:sz w:val="24"/>
          <w:szCs w:val="24"/>
          <w:lang w:val="en-GB"/>
        </w:rPr>
        <w:fldChar w:fldCharType="end"/>
      </w:r>
      <w:r>
        <w:rPr>
          <w:rFonts w:ascii="Times New Roman" w:hAnsi="Times New Roman"/>
          <w:sz w:val="24"/>
          <w:szCs w:val="24"/>
          <w:lang w:val="en-GB"/>
        </w:rPr>
      </w:r>
      <w:r>
        <w:rPr>
          <w:rFonts w:ascii="Times New Roman" w:hAnsi="Times New Roman"/>
          <w:sz w:val="24"/>
          <w:szCs w:val="24"/>
          <w:lang w:val="en-GB"/>
        </w:rPr>
        <w:fldChar w:fldCharType="separate"/>
      </w:r>
      <w:r>
        <w:rPr>
          <w:rFonts w:ascii="Times New Roman" w:hAnsi="Times New Roman"/>
          <w:noProof/>
          <w:sz w:val="24"/>
          <w:szCs w:val="24"/>
          <w:lang w:val="en-GB"/>
        </w:rPr>
        <w:t>[1]</w:t>
      </w:r>
      <w:r>
        <w:rPr>
          <w:rFonts w:ascii="Times New Roman" w:hAnsi="Times New Roman"/>
          <w:sz w:val="24"/>
          <w:szCs w:val="24"/>
          <w:lang w:val="en-GB"/>
        </w:rPr>
        <w:fldChar w:fldCharType="end"/>
      </w:r>
    </w:p>
    <w:p w14:paraId="0CDCF1B0" w14:textId="77777777" w:rsidR="00DB3C87" w:rsidRPr="00B56048" w:rsidRDefault="00DB3C87" w:rsidP="00DB3C87">
      <w:pPr>
        <w:pStyle w:val="ListParagraph"/>
        <w:numPr>
          <w:ilvl w:val="0"/>
          <w:numId w:val="1"/>
        </w:num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sz w:val="24"/>
          <w:szCs w:val="24"/>
          <w:lang w:val="en-GB"/>
        </w:rPr>
      </w:pPr>
      <w:r w:rsidRPr="00B56048">
        <w:rPr>
          <w:rFonts w:ascii="Times New Roman" w:hAnsi="Times New Roman"/>
          <w:sz w:val="24"/>
          <w:szCs w:val="24"/>
          <w:lang w:val="en-GB"/>
        </w:rPr>
        <w:t>Covers 24 therapeutic areas</w:t>
      </w:r>
    </w:p>
    <w:p w14:paraId="1330ACA1" w14:textId="77777777" w:rsidR="00DB3C87" w:rsidRPr="00B56048" w:rsidRDefault="00DB3C87" w:rsidP="00DB3C87">
      <w:pPr>
        <w:pStyle w:val="ListParagraph"/>
        <w:numPr>
          <w:ilvl w:val="0"/>
          <w:numId w:val="1"/>
        </w:num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sz w:val="24"/>
          <w:szCs w:val="24"/>
          <w:lang w:val="en-GB"/>
        </w:rPr>
      </w:pPr>
      <w:r w:rsidRPr="00B56048">
        <w:rPr>
          <w:rFonts w:ascii="Times New Roman" w:hAnsi="Times New Roman"/>
          <w:sz w:val="24"/>
          <w:szCs w:val="24"/>
          <w:lang w:val="en-GB"/>
        </w:rPr>
        <w:t xml:space="preserve">Is a pocket-sized booklet and also available in a web-version </w:t>
      </w:r>
    </w:p>
    <w:p w14:paraId="4D5B5F19" w14:textId="77777777" w:rsidR="00DB3C87" w:rsidRPr="00B56048" w:rsidRDefault="00DB3C87" w:rsidP="00DB3C87">
      <w:pPr>
        <w:pStyle w:val="ListParagraph"/>
        <w:numPr>
          <w:ilvl w:val="0"/>
          <w:numId w:val="1"/>
        </w:numPr>
        <w:pBdr>
          <w:top w:val="single" w:sz="4" w:space="1" w:color="auto"/>
          <w:left w:val="single" w:sz="4" w:space="4" w:color="auto"/>
          <w:bottom w:val="single" w:sz="4" w:space="1" w:color="auto"/>
          <w:right w:val="single" w:sz="4" w:space="4" w:color="auto"/>
        </w:pBdr>
        <w:spacing w:line="276" w:lineRule="auto"/>
        <w:jc w:val="both"/>
        <w:rPr>
          <w:rFonts w:ascii="Times New Roman" w:eastAsia="Times New Roman" w:hAnsi="Times New Roman"/>
          <w:sz w:val="24"/>
          <w:szCs w:val="24"/>
          <w:lang w:val="en-GB"/>
        </w:rPr>
      </w:pPr>
      <w:r w:rsidRPr="00B56048">
        <w:rPr>
          <w:rFonts w:ascii="Times New Roman" w:hAnsi="Times New Roman"/>
          <w:sz w:val="24"/>
          <w:szCs w:val="24"/>
          <w:lang w:val="en-GB"/>
        </w:rPr>
        <w:t>Respected experts and clinicians</w:t>
      </w:r>
      <w:r w:rsidRPr="00B56048" w:rsidDel="00601175">
        <w:rPr>
          <w:rFonts w:ascii="Times New Roman" w:hAnsi="Times New Roman"/>
          <w:sz w:val="24"/>
          <w:szCs w:val="24"/>
          <w:lang w:val="en-GB"/>
        </w:rPr>
        <w:t xml:space="preserve"> </w:t>
      </w:r>
      <w:r w:rsidRPr="00B56048">
        <w:rPr>
          <w:rFonts w:ascii="Times New Roman" w:eastAsia="Times New Roman" w:hAnsi="Times New Roman"/>
          <w:sz w:val="24"/>
          <w:szCs w:val="24"/>
          <w:lang w:val="en-GB"/>
        </w:rPr>
        <w:t>together with clinical pharmacologists, pharmacists and nurses agree on recommendations based on review of scientific evidence using transparent criteria, including cost-effectiveness evaluation</w:t>
      </w:r>
    </w:p>
    <w:p w14:paraId="455C2E47" w14:textId="6370B403" w:rsidR="00DB3C87" w:rsidRPr="00B56048" w:rsidRDefault="00DB3C87" w:rsidP="00DB3C87">
      <w:pPr>
        <w:pStyle w:val="ListParagraph"/>
        <w:numPr>
          <w:ilvl w:val="0"/>
          <w:numId w:val="1"/>
        </w:numPr>
        <w:pBdr>
          <w:top w:val="single" w:sz="4" w:space="1" w:color="auto"/>
          <w:left w:val="single" w:sz="4" w:space="4" w:color="auto"/>
          <w:bottom w:val="single" w:sz="4" w:space="1" w:color="auto"/>
          <w:right w:val="single" w:sz="4" w:space="4" w:color="auto"/>
        </w:pBdr>
        <w:spacing w:line="276" w:lineRule="auto"/>
        <w:jc w:val="both"/>
        <w:rPr>
          <w:rFonts w:ascii="Times New Roman" w:eastAsia="Times New Roman" w:hAnsi="Times New Roman"/>
          <w:sz w:val="24"/>
          <w:szCs w:val="24"/>
          <w:lang w:val="en-GB"/>
        </w:rPr>
      </w:pPr>
      <w:r>
        <w:rPr>
          <w:rFonts w:ascii="Times New Roman" w:eastAsia="Times New Roman" w:hAnsi="Times New Roman"/>
          <w:sz w:val="24"/>
          <w:szCs w:val="24"/>
          <w:lang w:val="en-GB"/>
        </w:rPr>
        <w:t>I</w:t>
      </w:r>
      <w:r w:rsidRPr="00B56048">
        <w:rPr>
          <w:rFonts w:ascii="Times New Roman" w:eastAsia="Times New Roman" w:hAnsi="Times New Roman"/>
          <w:sz w:val="24"/>
          <w:szCs w:val="24"/>
          <w:lang w:val="en-GB"/>
        </w:rPr>
        <w:t>ncludes a policy for conflict of interest with annually renewed declarations. This policy contains rules and regulations for definitions of conflict of interest and how to handle them</w:t>
      </w:r>
      <w:r w:rsidRPr="00B56048">
        <w:rPr>
          <w:rFonts w:ascii="Times New Roman" w:eastAsia="Times New Roman" w:hAnsi="Times New Roman"/>
          <w:sz w:val="24"/>
          <w:szCs w:val="24"/>
          <w:lang w:val="en-GB"/>
        </w:rPr>
        <w:fldChar w:fldCharType="begin"/>
      </w:r>
      <w:r>
        <w:rPr>
          <w:rFonts w:ascii="Times New Roman" w:eastAsia="Times New Roman" w:hAnsi="Times New Roman"/>
          <w:sz w:val="24"/>
          <w:szCs w:val="24"/>
          <w:lang w:val="en-GB"/>
        </w:rPr>
        <w:instrText xml:space="preserve"> ADDIN EN.CITE &lt;EndNote&gt;&lt;Cite&gt;&lt;Author&gt;Stockholm County Counsil&lt;/Author&gt;&lt;Year&gt;2011&lt;/Year&gt;&lt;RecNum&gt;2659&lt;/RecNum&gt;&lt;DisplayText&gt;[2]&lt;/DisplayText&gt;&lt;record&gt;&lt;rec-number&gt;2659&lt;/rec-number&gt;&lt;foreign-keys&gt;&lt;key app="EN" db-id="ew0f9v5wuw2tr4ed9t5vt9pn5tedextvrftr" timestamp="1479242197"&gt;2659&lt;/key&gt;&lt;/foreign-keys&gt;&lt;ref-type name="Web Page"&gt;12&lt;/ref-type&gt;&lt;contributors&gt;&lt;authors&gt;&lt;author&gt;Stockholm County Counsil, Drug Therapeutic Committee&lt;/author&gt;&lt;/authors&gt;&lt;/contributors&gt;&lt;titles&gt;&lt;title&gt;Jävspolicy för läkemedelskommittéorganisationen i Stockholms läns landsting (SLL)&lt;/title&gt;&lt;/titles&gt;&lt;volume&gt;2016&lt;/volume&gt;&lt;dates&gt;&lt;year&gt;2011&lt;/year&gt;&lt;/dates&gt;&lt;urls&gt;&lt;related-urls&gt;&lt;url&gt;http://www.janusinfo.se/Global/SLK/javspolicy_slk_2011_2.pdf&lt;/url&gt;&lt;/related-urls&gt;&lt;/urls&gt;&lt;/record&gt;&lt;/Cite&gt;&lt;/EndNote&gt;</w:instrText>
      </w:r>
      <w:r w:rsidRPr="00B56048">
        <w:rPr>
          <w:rFonts w:ascii="Times New Roman" w:eastAsia="Times New Roman" w:hAnsi="Times New Roman"/>
          <w:sz w:val="24"/>
          <w:szCs w:val="24"/>
          <w:lang w:val="en-GB"/>
        </w:rPr>
        <w:fldChar w:fldCharType="separate"/>
      </w:r>
      <w:r>
        <w:rPr>
          <w:rFonts w:ascii="Times New Roman" w:eastAsia="Times New Roman" w:hAnsi="Times New Roman"/>
          <w:noProof/>
          <w:sz w:val="24"/>
          <w:szCs w:val="24"/>
          <w:lang w:val="en-GB"/>
        </w:rPr>
        <w:t>[2]</w:t>
      </w:r>
      <w:r w:rsidRPr="00B56048">
        <w:rPr>
          <w:rFonts w:ascii="Times New Roman" w:eastAsia="Times New Roman" w:hAnsi="Times New Roman"/>
          <w:sz w:val="24"/>
          <w:szCs w:val="24"/>
          <w:lang w:val="en-GB"/>
        </w:rPr>
        <w:fldChar w:fldCharType="end"/>
      </w:r>
      <w:r w:rsidRPr="00B56048">
        <w:rPr>
          <w:rFonts w:ascii="Times New Roman" w:eastAsia="Times New Roman" w:hAnsi="Times New Roman"/>
          <w:sz w:val="24"/>
          <w:szCs w:val="24"/>
          <w:lang w:val="en-GB"/>
        </w:rPr>
        <w:t xml:space="preserve">  </w:t>
      </w:r>
    </w:p>
    <w:p w14:paraId="7C683EB8" w14:textId="77777777" w:rsidR="00DB3C87" w:rsidRPr="00B56048" w:rsidRDefault="00DB3C87" w:rsidP="00DB3C87">
      <w:pPr>
        <w:pStyle w:val="ListParagraph"/>
        <w:numPr>
          <w:ilvl w:val="0"/>
          <w:numId w:val="1"/>
        </w:numPr>
        <w:pBdr>
          <w:top w:val="single" w:sz="4" w:space="1" w:color="auto"/>
          <w:left w:val="single" w:sz="4" w:space="4" w:color="auto"/>
          <w:bottom w:val="single" w:sz="4" w:space="1" w:color="auto"/>
          <w:right w:val="single" w:sz="4" w:space="4" w:color="auto"/>
        </w:pBdr>
        <w:spacing w:line="276" w:lineRule="auto"/>
        <w:jc w:val="both"/>
        <w:rPr>
          <w:rFonts w:ascii="Times New Roman" w:eastAsia="Times New Roman" w:hAnsi="Times New Roman"/>
          <w:sz w:val="24"/>
          <w:szCs w:val="24"/>
          <w:lang w:val="en-GB"/>
        </w:rPr>
      </w:pPr>
      <w:r w:rsidRPr="00B56048">
        <w:rPr>
          <w:rFonts w:ascii="Times New Roman" w:hAnsi="Times New Roman"/>
          <w:sz w:val="24"/>
          <w:szCs w:val="24"/>
          <w:lang w:val="en-GB"/>
        </w:rPr>
        <w:t xml:space="preserve">Includes non-pharmacological advice </w:t>
      </w:r>
      <w:r>
        <w:rPr>
          <w:rFonts w:ascii="Times New Roman" w:hAnsi="Times New Roman"/>
          <w:sz w:val="24"/>
          <w:szCs w:val="24"/>
          <w:lang w:val="en-GB"/>
        </w:rPr>
        <w:t>for several therapeutic areas. S</w:t>
      </w:r>
      <w:r w:rsidRPr="00B56048">
        <w:rPr>
          <w:rFonts w:ascii="Times New Roman" w:hAnsi="Times New Roman"/>
          <w:sz w:val="24"/>
          <w:szCs w:val="24"/>
          <w:lang w:val="en-GB"/>
        </w:rPr>
        <w:t>tep-wise recommendations linked to disease severity and concomitant diseases.</w:t>
      </w:r>
    </w:p>
    <w:p w14:paraId="463B0C62" w14:textId="77777777" w:rsidR="00DB3C87" w:rsidRPr="00B56048" w:rsidRDefault="00DB3C87" w:rsidP="00DB3C87">
      <w:pPr>
        <w:pStyle w:val="ListParagraph"/>
        <w:numPr>
          <w:ilvl w:val="0"/>
          <w:numId w:val="1"/>
        </w:numPr>
        <w:pBdr>
          <w:top w:val="single" w:sz="4" w:space="1" w:color="auto"/>
          <w:left w:val="single" w:sz="4" w:space="4" w:color="auto"/>
          <w:bottom w:val="single" w:sz="4" w:space="1" w:color="auto"/>
          <w:right w:val="single" w:sz="4" w:space="4" w:color="auto"/>
        </w:pBdr>
        <w:spacing w:line="276" w:lineRule="auto"/>
        <w:jc w:val="both"/>
        <w:rPr>
          <w:rFonts w:ascii="Times New Roman" w:eastAsia="Times New Roman" w:hAnsi="Times New Roman"/>
          <w:sz w:val="24"/>
          <w:szCs w:val="24"/>
          <w:lang w:val="en-GB"/>
        </w:rPr>
      </w:pPr>
      <w:r w:rsidRPr="00B56048">
        <w:rPr>
          <w:rFonts w:ascii="Times New Roman" w:eastAsia="Times New Roman" w:hAnsi="Times New Roman"/>
          <w:sz w:val="24"/>
          <w:szCs w:val="24"/>
          <w:lang w:val="en-GB"/>
        </w:rPr>
        <w:t>The Wise List also includes around 10 “Wise piece of advice” (short, focussed messages) selected yearly to improve certain pharmacotherapeutic practices for which there are potential for improvement in quality of medicine use, e.g. “</w:t>
      </w:r>
      <w:r w:rsidRPr="00B56048">
        <w:rPr>
          <w:rFonts w:ascii="Times New Roman" w:eastAsia="Times New Roman" w:hAnsi="Times New Roman"/>
          <w:i/>
          <w:sz w:val="24"/>
          <w:szCs w:val="24"/>
          <w:lang w:val="en-GB"/>
        </w:rPr>
        <w:t>Do not treat uncomplicated acute bronchitis with antibiotics</w:t>
      </w:r>
      <w:r w:rsidRPr="00B56048">
        <w:rPr>
          <w:rFonts w:ascii="Times New Roman" w:eastAsia="Times New Roman" w:hAnsi="Times New Roman"/>
          <w:sz w:val="24"/>
          <w:szCs w:val="24"/>
          <w:lang w:val="en-GB"/>
        </w:rPr>
        <w:t>”</w:t>
      </w:r>
    </w:p>
    <w:p w14:paraId="6256E909" w14:textId="013FEEAF" w:rsidR="00DB3C87" w:rsidRPr="00B56048" w:rsidRDefault="00DB3C87" w:rsidP="00DB3C87">
      <w:pPr>
        <w:pStyle w:val="ListParagraph"/>
        <w:numPr>
          <w:ilvl w:val="0"/>
          <w:numId w:val="1"/>
        </w:num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sz w:val="24"/>
          <w:szCs w:val="24"/>
          <w:lang w:val="en-GB"/>
        </w:rPr>
      </w:pPr>
      <w:r w:rsidRPr="00B56048">
        <w:rPr>
          <w:rFonts w:ascii="Times New Roman" w:eastAsia="Times New Roman" w:hAnsi="Times New Roman"/>
          <w:sz w:val="24"/>
          <w:szCs w:val="24"/>
          <w:lang w:val="en-GB"/>
        </w:rPr>
        <w:t xml:space="preserve">The Wise List is communicated </w:t>
      </w:r>
      <w:r>
        <w:rPr>
          <w:rFonts w:ascii="Times New Roman" w:eastAsia="Times New Roman" w:hAnsi="Times New Roman"/>
          <w:sz w:val="24"/>
          <w:szCs w:val="24"/>
          <w:lang w:val="en-GB"/>
        </w:rPr>
        <w:t>according to</w:t>
      </w:r>
      <w:r w:rsidRPr="00B56048">
        <w:rPr>
          <w:rFonts w:ascii="Times New Roman" w:eastAsia="Times New Roman" w:hAnsi="Times New Roman"/>
          <w:sz w:val="24"/>
          <w:szCs w:val="24"/>
          <w:lang w:val="en-GB"/>
        </w:rPr>
        <w:t xml:space="preserve"> comprehensive communication, branding and marketi</w:t>
      </w:r>
      <w:r w:rsidRPr="00B56048">
        <w:rPr>
          <w:rFonts w:ascii="Times New Roman" w:hAnsi="Times New Roman"/>
          <w:sz w:val="24"/>
          <w:szCs w:val="24"/>
          <w:lang w:val="en-GB"/>
        </w:rPr>
        <w:t>ng strategy with experts in a key role and integrated with a program for continuous medical education</w:t>
      </w:r>
      <w:r>
        <w:rPr>
          <w:rFonts w:ascii="Times New Roman" w:hAnsi="Times New Roman"/>
          <w:sz w:val="24"/>
          <w:szCs w:val="24"/>
          <w:lang w:val="en-GB"/>
        </w:rPr>
        <w:t xml:space="preserve"> </w:t>
      </w:r>
      <w:r w:rsidRPr="00B56048">
        <w:rPr>
          <w:rFonts w:ascii="Times New Roman" w:hAnsi="Times New Roman"/>
          <w:sz w:val="24"/>
          <w:szCs w:val="24"/>
          <w:lang w:val="en-GB"/>
        </w:rPr>
        <w:fldChar w:fldCharType="begin">
          <w:fldData xml:space="preserve">PEVuZE5vdGU+PENpdGU+PEF1dGhvcj5HdXN0YWZzc29uPC9BdXRob3I+PFllYXI+MjAxMTwvWWVh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</w:fldData>
        </w:fldChar>
      </w:r>
      <w:r>
        <w:rPr>
          <w:rFonts w:ascii="Times New Roman" w:hAnsi="Times New Roman"/>
          <w:sz w:val="24"/>
          <w:szCs w:val="24"/>
          <w:lang w:val="en-GB"/>
        </w:rPr>
        <w:instrText xml:space="preserve"> ADDIN EN.CITE </w:instrText>
      </w:r>
      <w:r>
        <w:rPr>
          <w:rFonts w:ascii="Times New Roman" w:hAnsi="Times New Roman"/>
          <w:sz w:val="24"/>
          <w:szCs w:val="24"/>
          <w:lang w:val="en-GB"/>
        </w:rPr>
        <w:fldChar w:fldCharType="begin">
          <w:fldData xml:space="preserve">PEVuZE5vdGU+PENpdGU+PEF1dGhvcj5HdXN0YWZzc29uPC9BdXRob3I+PFllYXI+MjAxMTwvWWVh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</w:fldData>
        </w:fldChar>
      </w:r>
      <w:r>
        <w:rPr>
          <w:rFonts w:ascii="Times New Roman" w:hAnsi="Times New Roman"/>
          <w:sz w:val="24"/>
          <w:szCs w:val="24"/>
          <w:lang w:val="en-GB"/>
        </w:rPr>
        <w:instrText xml:space="preserve"> ADDIN EN.CITE.DATA </w:instrText>
      </w:r>
      <w:r>
        <w:rPr>
          <w:rFonts w:ascii="Times New Roman" w:hAnsi="Times New Roman"/>
          <w:sz w:val="24"/>
          <w:szCs w:val="24"/>
          <w:lang w:val="en-GB"/>
        </w:rPr>
      </w:r>
      <w:r>
        <w:rPr>
          <w:rFonts w:ascii="Times New Roman" w:hAnsi="Times New Roman"/>
          <w:sz w:val="24"/>
          <w:szCs w:val="24"/>
          <w:lang w:val="en-GB"/>
        </w:rPr>
        <w:fldChar w:fldCharType="end"/>
      </w:r>
      <w:r w:rsidRPr="00B56048">
        <w:rPr>
          <w:rFonts w:ascii="Times New Roman" w:hAnsi="Times New Roman"/>
          <w:sz w:val="24"/>
          <w:szCs w:val="24"/>
          <w:lang w:val="en-GB"/>
        </w:rPr>
      </w:r>
      <w:r w:rsidRPr="00B56048">
        <w:rPr>
          <w:rFonts w:ascii="Times New Roman" w:hAnsi="Times New Roman"/>
          <w:sz w:val="24"/>
          <w:szCs w:val="24"/>
          <w:lang w:val="en-GB"/>
        </w:rPr>
        <w:fldChar w:fldCharType="separate"/>
      </w:r>
      <w:r>
        <w:rPr>
          <w:rFonts w:ascii="Times New Roman" w:hAnsi="Times New Roman"/>
          <w:noProof/>
          <w:sz w:val="24"/>
          <w:szCs w:val="24"/>
          <w:lang w:val="en-GB"/>
        </w:rPr>
        <w:t>[3, 4]</w:t>
      </w:r>
      <w:r w:rsidRPr="00B56048">
        <w:rPr>
          <w:rFonts w:ascii="Times New Roman" w:hAnsi="Times New Roman"/>
          <w:sz w:val="24"/>
          <w:szCs w:val="24"/>
          <w:lang w:val="en-GB"/>
        </w:rPr>
        <w:fldChar w:fldCharType="end"/>
      </w:r>
      <w:r>
        <w:rPr>
          <w:rFonts w:ascii="Times New Roman" w:hAnsi="Times New Roman"/>
          <w:sz w:val="24"/>
          <w:szCs w:val="24"/>
          <w:lang w:val="en-GB"/>
        </w:rPr>
        <w:t xml:space="preserve"> </w:t>
      </w:r>
    </w:p>
    <w:p w14:paraId="3B36EB84" w14:textId="77777777" w:rsidR="00DB3C87" w:rsidRPr="00B56048" w:rsidRDefault="00DB3C87" w:rsidP="00DB3C87">
      <w:pPr>
        <w:spacing w:after="0"/>
        <w:rPr>
          <w:rFonts w:ascii="Times New Roman" w:hAnsi="Times New Roman" w:cs="Times New Roman"/>
          <w:b/>
          <w:sz w:val="24"/>
          <w:szCs w:val="24"/>
          <w:lang w:val="en-GB"/>
        </w:rPr>
      </w:pPr>
    </w:p>
    <w:p w14:paraId="19657C45" w14:textId="77777777" w:rsidR="00DB3C87" w:rsidRDefault="00DB3C87" w:rsidP="00EB5A12">
      <w:pPr>
        <w:spacing w:after="0"/>
        <w:rPr>
          <w:rFonts w:ascii="Times New Roman" w:hAnsi="Times New Roman" w:cs="Times New Roman"/>
          <w:b/>
          <w:i/>
          <w:sz w:val="24"/>
          <w:szCs w:val="24"/>
          <w:lang w:val="en-GB"/>
        </w:rPr>
      </w:pPr>
    </w:p>
    <w:p w14:paraId="07B28F65" w14:textId="77777777" w:rsidR="00EB5A12" w:rsidRPr="00B56048" w:rsidRDefault="00EB5A12" w:rsidP="00EB5A12">
      <w:pPr>
        <w:spacing w:after="0"/>
        <w:rPr>
          <w:rFonts w:ascii="Times New Roman" w:hAnsi="Times New Roman" w:cs="Times New Roman"/>
          <w:b/>
          <w:i/>
          <w:sz w:val="24"/>
          <w:szCs w:val="24"/>
          <w:lang w:val="en-GB"/>
        </w:rPr>
      </w:pPr>
      <w:r w:rsidRPr="00B56048">
        <w:rPr>
          <w:rFonts w:ascii="Times New Roman" w:hAnsi="Times New Roman" w:cs="Times New Roman"/>
          <w:b/>
          <w:i/>
          <w:sz w:val="24"/>
          <w:szCs w:val="24"/>
          <w:lang w:val="en-GB"/>
        </w:rPr>
        <w:t>Web-survey design</w:t>
      </w:r>
    </w:p>
    <w:p w14:paraId="6833C2A5" w14:textId="71FA14C9" w:rsidR="00EB5A12" w:rsidRPr="00B56048" w:rsidRDefault="00EB5A12" w:rsidP="00EB5A12">
      <w:pPr>
        <w:spacing w:after="0"/>
        <w:rPr>
          <w:rFonts w:ascii="Times New Roman" w:hAnsi="Times New Roman"/>
          <w:sz w:val="24"/>
          <w:szCs w:val="24"/>
          <w:lang w:val="en-GB"/>
        </w:rPr>
      </w:pPr>
      <w:r w:rsidRPr="004F1676">
        <w:rPr>
          <w:rFonts w:ascii="Times New Roman" w:hAnsi="Times New Roman" w:cs="Times New Roman"/>
          <w:sz w:val="24"/>
          <w:szCs w:val="24"/>
          <w:lang w:val="en-GB"/>
        </w:rPr>
        <w:t xml:space="preserve">The survey </w:t>
      </w:r>
      <w:r>
        <w:rPr>
          <w:rFonts w:ascii="Times New Roman" w:hAnsi="Times New Roman" w:cs="Times New Roman"/>
          <w:sz w:val="24"/>
          <w:szCs w:val="24"/>
          <w:lang w:val="en-GB"/>
        </w:rPr>
        <w:t>was</w:t>
      </w:r>
      <w:r w:rsidRPr="004F1676">
        <w:rPr>
          <w:rFonts w:ascii="Times New Roman" w:hAnsi="Times New Roman" w:cs="Times New Roman"/>
          <w:sz w:val="24"/>
          <w:szCs w:val="24"/>
          <w:lang w:val="en-GB"/>
        </w:rPr>
        <w:t xml:space="preserve"> designed and administrated in the web-survey system Easyresearch </w:t>
      </w:r>
      <w:r>
        <w:rPr>
          <w:rFonts w:ascii="Times New Roman" w:hAnsi="Times New Roman" w:cs="Times New Roman"/>
          <w:sz w:val="24"/>
          <w:szCs w:val="24"/>
          <w:lang w:val="en-GB"/>
        </w:rPr>
        <w:t>(</w:t>
      </w:r>
      <w:hyperlink r:id="rId5" w:history="1">
        <w:r w:rsidRPr="007F22B9">
          <w:rPr>
            <w:rStyle w:val="Hyperlink"/>
            <w:rFonts w:ascii="Times New Roman" w:hAnsi="Times New Roman" w:cs="Times New Roman"/>
            <w:sz w:val="24"/>
            <w:szCs w:val="24"/>
            <w:lang w:val="en-GB"/>
          </w:rPr>
          <w:t>www.easyresearch.se</w:t>
        </w:r>
      </w:hyperlink>
      <w:r w:rsidRPr="00D75333">
        <w:rPr>
          <w:rStyle w:val="Hyperlink"/>
          <w:rFonts w:ascii="Times New Roman" w:hAnsi="Times New Roman" w:cs="Times New Roman"/>
          <w:sz w:val="24"/>
          <w:szCs w:val="24"/>
          <w:lang w:val="en-GB"/>
        </w:rPr>
        <w:t xml:space="preserve">, </w:t>
      </w:r>
      <w:r w:rsidRPr="00D75333">
        <w:rPr>
          <w:rStyle w:val="Hyperlink"/>
          <w:rFonts w:ascii="Times New Roman" w:hAnsi="Times New Roman" w:cs="Times New Roman"/>
          <w:color w:val="000000" w:themeColor="text1"/>
          <w:sz w:val="24"/>
          <w:szCs w:val="24"/>
          <w:lang w:val="en-GB"/>
        </w:rPr>
        <w:t>Questback, New York, USA</w:t>
      </w:r>
      <w:r>
        <w:rPr>
          <w:rFonts w:ascii="Times New Roman" w:hAnsi="Times New Roman" w:cs="Times New Roman"/>
          <w:sz w:val="24"/>
          <w:szCs w:val="24"/>
          <w:lang w:val="en-GB"/>
        </w:rPr>
        <w:t>).</w:t>
      </w:r>
      <w:r w:rsidRPr="004F1676">
        <w:rPr>
          <w:rFonts w:ascii="Times New Roman" w:hAnsi="Times New Roman" w:cs="Times New Roman"/>
          <w:sz w:val="24"/>
          <w:szCs w:val="24"/>
          <w:lang w:val="en-GB"/>
        </w:rPr>
        <w:t xml:space="preserve"> It</w:t>
      </w:r>
      <w:r w:rsidRPr="00B56048">
        <w:rPr>
          <w:rFonts w:ascii="Times New Roman" w:hAnsi="Times New Roman"/>
          <w:sz w:val="24"/>
          <w:szCs w:val="24"/>
          <w:lang w:val="en-GB"/>
        </w:rPr>
        <w:t xml:space="preserve"> was designed with a screen-by-screen layout with one question in each screen and respondents clicking “next page” in order to proceed</w:t>
      </w:r>
      <w:r>
        <w:rPr>
          <w:rFonts w:ascii="Times New Roman" w:hAnsi="Times New Roman"/>
          <w:sz w:val="24"/>
          <w:szCs w:val="24"/>
          <w:lang w:val="en-GB"/>
        </w:rPr>
        <w:t xml:space="preserve"> </w:t>
      </w:r>
      <w:r>
        <w:rPr>
          <w:rFonts w:ascii="Times New Roman" w:hAnsi="Times New Roman"/>
          <w:sz w:val="24"/>
          <w:szCs w:val="24"/>
          <w:lang w:val="en-GB"/>
        </w:rPr>
        <w:fldChar w:fldCharType="begin"/>
      </w:r>
      <w:r w:rsidR="00DB3C87">
        <w:rPr>
          <w:rFonts w:ascii="Times New Roman" w:hAnsi="Times New Roman"/>
          <w:sz w:val="24"/>
          <w:szCs w:val="24"/>
          <w:lang w:val="en-GB"/>
        </w:rPr>
        <w:instrText xml:space="preserve"> ADDIN EN.CITE &lt;EndNote&gt;&lt;Cite&gt;&lt;Author&gt;Peytchev&lt;/Author&gt;&lt;Year&gt;2006&lt;/Year&gt;&lt;RecNum&gt;3059&lt;/RecNum&gt;&lt;DisplayText&gt;[5]&lt;/DisplayText&gt;&lt;record&gt;&lt;rec-number&gt;3059&lt;/rec-number&gt;&lt;foreign-keys&gt;&lt;key app="EN" db-id="ew0f9v5wuw2tr4ed9t5vt9pn5tedextvrftr" timestamp="1489595432"&gt;3059&lt;/key&gt;&lt;/foreign-keys&gt;&lt;ref-type name="Journal Article"&gt;17&lt;/ref-type&gt;&lt;contributors&gt;&lt;authors&gt;&lt;author&gt;Peytchev, A.&lt;/author&gt;&lt;author&gt;Couper, M.P.&lt;/author&gt;&lt;author&gt;McCabe, S.E.&lt;/author&gt;&lt;author&gt;Crawford, S.D.&lt;/author&gt;&lt;/authors&gt;&lt;/contributors&gt;&lt;titles&gt;&lt;title&gt;Web survey design: Paging versus scrolling.&lt;/title&gt;&lt;secondary-title&gt;Public Opinion Quarterly&lt;/secondary-title&gt;&lt;/titles&gt;&lt;periodical&gt;&lt;full-title&gt;Public Opinion Quarterly&lt;/full-title&gt;&lt;/periodical&gt;&lt;pages&gt;596-607&lt;/pages&gt;&lt;volume&gt;70&lt;/volume&gt;&lt;number&gt;4&lt;/number&gt;&lt;dates&gt;&lt;year&gt;2006&lt;/year&gt;&lt;pub-dates&gt;&lt;date&gt;01 January 2006&lt;/date&gt;&lt;/pub-dates&gt;&lt;/dates&gt;&lt;urls&gt;&lt;/urls&gt;&lt;electronic-resource-num&gt;https://doi.org/10.1093/poq/nfl028&lt;/electronic-resource-num&gt;&lt;/record&gt;&lt;/Cite&gt;&lt;/EndNote&gt;</w:instrText>
      </w:r>
      <w:r>
        <w:rPr>
          <w:rFonts w:ascii="Times New Roman" w:hAnsi="Times New Roman"/>
          <w:sz w:val="24"/>
          <w:szCs w:val="24"/>
          <w:lang w:val="en-GB"/>
        </w:rPr>
        <w:fldChar w:fldCharType="separate"/>
      </w:r>
      <w:r w:rsidR="00DB3C87">
        <w:rPr>
          <w:rFonts w:ascii="Times New Roman" w:hAnsi="Times New Roman"/>
          <w:noProof/>
          <w:sz w:val="24"/>
          <w:szCs w:val="24"/>
          <w:lang w:val="en-GB"/>
        </w:rPr>
        <w:t>[5]</w:t>
      </w:r>
      <w:r>
        <w:rPr>
          <w:rFonts w:ascii="Times New Roman" w:hAnsi="Times New Roman"/>
          <w:sz w:val="24"/>
          <w:szCs w:val="24"/>
          <w:lang w:val="en-GB"/>
        </w:rPr>
        <w:fldChar w:fldCharType="end"/>
      </w:r>
      <w:r w:rsidRPr="00B56048">
        <w:rPr>
          <w:rFonts w:ascii="Times New Roman" w:hAnsi="Times New Roman"/>
          <w:sz w:val="24"/>
          <w:szCs w:val="24"/>
          <w:lang w:val="en-GB"/>
        </w:rPr>
        <w:t xml:space="preserve">. </w:t>
      </w:r>
    </w:p>
    <w:p w14:paraId="24BF338C" w14:textId="77777777" w:rsidR="00EB5A12" w:rsidRPr="00B56048" w:rsidRDefault="00EB5A12" w:rsidP="00EB5A12">
      <w:pPr>
        <w:spacing w:after="0"/>
        <w:rPr>
          <w:rFonts w:ascii="Times New Roman" w:hAnsi="Times New Roman"/>
          <w:sz w:val="24"/>
          <w:szCs w:val="24"/>
          <w:lang w:val="en-GB"/>
        </w:rPr>
      </w:pPr>
    </w:p>
    <w:p w14:paraId="56294226" w14:textId="77777777" w:rsidR="00EB5A12" w:rsidRDefault="00EB5A12" w:rsidP="00EB5A12">
      <w:pPr>
        <w:spacing w:after="0"/>
        <w:rPr>
          <w:rFonts w:ascii="Times New Roman" w:hAnsi="Times New Roman"/>
          <w:sz w:val="24"/>
          <w:szCs w:val="24"/>
          <w:lang w:val="en-GB"/>
        </w:rPr>
      </w:pPr>
      <w:r w:rsidRPr="00B56048">
        <w:rPr>
          <w:rFonts w:ascii="Times New Roman" w:hAnsi="Times New Roman"/>
          <w:sz w:val="24"/>
          <w:szCs w:val="24"/>
          <w:lang w:val="en-GB"/>
        </w:rPr>
        <w:t>Some questions contained binary (yes/no) variables, some were multiple choice</w:t>
      </w:r>
      <w:r>
        <w:rPr>
          <w:rFonts w:ascii="Times New Roman" w:hAnsi="Times New Roman"/>
          <w:sz w:val="24"/>
          <w:szCs w:val="24"/>
          <w:lang w:val="en-GB"/>
        </w:rPr>
        <w:t>, some</w:t>
      </w:r>
      <w:r w:rsidRPr="00B56048">
        <w:rPr>
          <w:rFonts w:ascii="Times New Roman" w:hAnsi="Times New Roman"/>
          <w:sz w:val="24"/>
          <w:szCs w:val="24"/>
          <w:lang w:val="en-GB"/>
        </w:rPr>
        <w:t xml:space="preserve"> grading (1-6) </w:t>
      </w:r>
      <w:r>
        <w:rPr>
          <w:rFonts w:ascii="Times New Roman" w:hAnsi="Times New Roman"/>
          <w:sz w:val="24"/>
          <w:szCs w:val="24"/>
          <w:lang w:val="en-GB"/>
        </w:rPr>
        <w:t xml:space="preserve">type </w:t>
      </w:r>
      <w:r w:rsidRPr="00B56048">
        <w:rPr>
          <w:rFonts w:ascii="Times New Roman" w:hAnsi="Times New Roman"/>
          <w:sz w:val="24"/>
          <w:szCs w:val="24"/>
          <w:lang w:val="en-GB"/>
        </w:rPr>
        <w:t xml:space="preserve">and some questions were open-ended. </w:t>
      </w:r>
      <w:r>
        <w:rPr>
          <w:rFonts w:ascii="Times New Roman" w:hAnsi="Times New Roman"/>
          <w:sz w:val="24"/>
          <w:szCs w:val="24"/>
          <w:lang w:val="en-GB"/>
        </w:rPr>
        <w:t xml:space="preserve">The </w:t>
      </w:r>
      <w:r w:rsidRPr="00B56048">
        <w:rPr>
          <w:rFonts w:ascii="Times New Roman" w:hAnsi="Times New Roman"/>
          <w:sz w:val="24"/>
          <w:szCs w:val="24"/>
          <w:lang w:val="en-GB"/>
        </w:rPr>
        <w:t xml:space="preserve">appropriateness of the </w:t>
      </w:r>
      <w:r>
        <w:rPr>
          <w:rFonts w:ascii="Times New Roman" w:hAnsi="Times New Roman"/>
          <w:sz w:val="24"/>
          <w:szCs w:val="24"/>
          <w:lang w:val="en-GB"/>
        </w:rPr>
        <w:t xml:space="preserve">survey design and questions was ensured by </w:t>
      </w:r>
      <w:r w:rsidRPr="00B56048">
        <w:rPr>
          <w:rFonts w:ascii="Times New Roman" w:hAnsi="Times New Roman"/>
          <w:sz w:val="24"/>
          <w:szCs w:val="24"/>
          <w:lang w:val="en-GB"/>
        </w:rPr>
        <w:t>pilot test</w:t>
      </w:r>
      <w:r>
        <w:rPr>
          <w:rFonts w:ascii="Times New Roman" w:hAnsi="Times New Roman"/>
          <w:sz w:val="24"/>
          <w:szCs w:val="24"/>
          <w:lang w:val="en-GB"/>
        </w:rPr>
        <w:t>ing in</w:t>
      </w:r>
      <w:r w:rsidRPr="00B56048">
        <w:rPr>
          <w:rFonts w:ascii="Times New Roman" w:hAnsi="Times New Roman"/>
          <w:sz w:val="24"/>
          <w:szCs w:val="24"/>
          <w:lang w:val="en-GB"/>
        </w:rPr>
        <w:t xml:space="preserve"> 13 individuals </w:t>
      </w:r>
      <w:r>
        <w:rPr>
          <w:rFonts w:ascii="Times New Roman" w:hAnsi="Times New Roman"/>
          <w:sz w:val="24"/>
          <w:szCs w:val="24"/>
          <w:lang w:val="en-GB"/>
        </w:rPr>
        <w:t xml:space="preserve">(physicians, pharmacist, nurses and social scientists) </w:t>
      </w:r>
      <w:r w:rsidRPr="00B56048">
        <w:rPr>
          <w:rFonts w:ascii="Times New Roman" w:hAnsi="Times New Roman"/>
          <w:sz w:val="24"/>
          <w:szCs w:val="24"/>
          <w:lang w:val="en-GB"/>
        </w:rPr>
        <w:t xml:space="preserve">who </w:t>
      </w:r>
      <w:r>
        <w:rPr>
          <w:rFonts w:ascii="Times New Roman" w:hAnsi="Times New Roman"/>
          <w:sz w:val="24"/>
          <w:szCs w:val="24"/>
          <w:lang w:val="en-GB"/>
        </w:rPr>
        <w:t>were familiar with</w:t>
      </w:r>
      <w:r w:rsidRPr="00B56048">
        <w:rPr>
          <w:rFonts w:ascii="Times New Roman" w:hAnsi="Times New Roman"/>
          <w:sz w:val="24"/>
          <w:szCs w:val="24"/>
          <w:lang w:val="en-GB"/>
        </w:rPr>
        <w:t xml:space="preserve"> the Wise List </w:t>
      </w:r>
      <w:r>
        <w:rPr>
          <w:rFonts w:ascii="Times New Roman" w:hAnsi="Times New Roman"/>
          <w:sz w:val="24"/>
          <w:szCs w:val="24"/>
          <w:lang w:val="en-GB"/>
        </w:rPr>
        <w:t xml:space="preserve">concept </w:t>
      </w:r>
      <w:r w:rsidRPr="00B56048">
        <w:rPr>
          <w:rFonts w:ascii="Times New Roman" w:hAnsi="Times New Roman"/>
          <w:sz w:val="24"/>
          <w:szCs w:val="24"/>
          <w:lang w:val="en-GB"/>
        </w:rPr>
        <w:t>but were not part of the intended study population. Based on feedback received, minor adjustments were made after the pilot testing.</w:t>
      </w:r>
    </w:p>
    <w:p w14:paraId="35476716" w14:textId="77777777" w:rsidR="00FD0A99" w:rsidRDefault="00FD0A99" w:rsidP="00EB5A12">
      <w:pPr>
        <w:spacing w:after="0"/>
        <w:rPr>
          <w:rFonts w:ascii="Times New Roman" w:hAnsi="Times New Roman"/>
          <w:sz w:val="24"/>
          <w:szCs w:val="24"/>
          <w:lang w:val="en-GB"/>
        </w:rPr>
      </w:pPr>
    </w:p>
    <w:p w14:paraId="00D25F2F" w14:textId="77777777" w:rsidR="00DB3C87" w:rsidRDefault="00DB3C87" w:rsidP="00EB5A12">
      <w:pPr>
        <w:spacing w:after="0"/>
        <w:rPr>
          <w:rFonts w:ascii="Times New Roman" w:hAnsi="Times New Roman"/>
          <w:sz w:val="24"/>
          <w:szCs w:val="24"/>
          <w:lang w:val="en-GB"/>
        </w:rPr>
      </w:pPr>
    </w:p>
    <w:p w14:paraId="219A3C88" w14:textId="77777777" w:rsidR="00DB3C87" w:rsidRDefault="00DB3C87" w:rsidP="00EB5A12">
      <w:pPr>
        <w:spacing w:after="0"/>
        <w:rPr>
          <w:rFonts w:ascii="Times New Roman" w:hAnsi="Times New Roman"/>
          <w:sz w:val="24"/>
          <w:szCs w:val="24"/>
          <w:lang w:val="en-GB"/>
        </w:rPr>
      </w:pPr>
    </w:p>
    <w:p w14:paraId="771D62B6" w14:textId="77777777" w:rsidR="00FD0A99" w:rsidRPr="00B56048" w:rsidRDefault="00FD0A99" w:rsidP="00FD0A99">
      <w:pPr>
        <w:spacing w:after="0"/>
        <w:rPr>
          <w:rFonts w:ascii="Times New Roman" w:hAnsi="Times New Roman"/>
          <w:b/>
          <w:i/>
          <w:sz w:val="24"/>
          <w:szCs w:val="24"/>
          <w:lang w:val="en-GB"/>
        </w:rPr>
      </w:pPr>
      <w:r w:rsidRPr="00B56048">
        <w:rPr>
          <w:rFonts w:ascii="Times New Roman" w:hAnsi="Times New Roman"/>
          <w:b/>
          <w:i/>
          <w:sz w:val="24"/>
          <w:szCs w:val="24"/>
          <w:lang w:val="en-GB"/>
        </w:rPr>
        <w:lastRenderedPageBreak/>
        <w:t>Data management and analysis</w:t>
      </w:r>
    </w:p>
    <w:p w14:paraId="3D60CFE9" w14:textId="77777777" w:rsidR="00FD0A99" w:rsidRPr="00B56048" w:rsidRDefault="00FD0A99" w:rsidP="00FD0A99">
      <w:pPr>
        <w:spacing w:after="0"/>
        <w:rPr>
          <w:rFonts w:ascii="Times New Roman" w:hAnsi="Times New Roman"/>
          <w:sz w:val="24"/>
          <w:szCs w:val="24"/>
          <w:lang w:val="en-GB"/>
        </w:rPr>
      </w:pPr>
      <w:r w:rsidRPr="00B56048">
        <w:rPr>
          <w:rFonts w:ascii="Times New Roman" w:hAnsi="Times New Roman"/>
          <w:sz w:val="24"/>
          <w:szCs w:val="24"/>
          <w:lang w:val="en-GB"/>
        </w:rPr>
        <w:t xml:space="preserve">All questionnaires were saved in a database through the Easyresearch software system </w:t>
      </w:r>
      <w:r>
        <w:rPr>
          <w:rFonts w:ascii="Times New Roman" w:hAnsi="Times New Roman"/>
          <w:sz w:val="24"/>
          <w:szCs w:val="24"/>
          <w:lang w:val="en-GB"/>
        </w:rPr>
        <w:t>(</w:t>
      </w:r>
      <w:hyperlink r:id="rId6" w:history="1">
        <w:r w:rsidRPr="001D6682">
          <w:rPr>
            <w:rStyle w:val="Hyperlink"/>
            <w:rFonts w:ascii="Times New Roman" w:hAnsi="Times New Roman"/>
            <w:sz w:val="24"/>
            <w:szCs w:val="24"/>
            <w:lang w:val="en-GB"/>
          </w:rPr>
          <w:t>www.easyresearch.se</w:t>
        </w:r>
      </w:hyperlink>
      <w:r w:rsidRPr="00B56048">
        <w:rPr>
          <w:rFonts w:ascii="Times New Roman" w:hAnsi="Times New Roman"/>
          <w:sz w:val="24"/>
          <w:szCs w:val="24"/>
          <w:lang w:val="en-GB"/>
        </w:rPr>
        <w:t xml:space="preserve">) and later downloaded as an excel file. </w:t>
      </w:r>
      <w:r w:rsidRPr="00B56048">
        <w:rPr>
          <w:rFonts w:ascii="Times New Roman" w:hAnsi="Times New Roman" w:cs="Times New Roman"/>
          <w:sz w:val="24"/>
          <w:szCs w:val="24"/>
          <w:lang w:val="en-GB"/>
        </w:rPr>
        <w:t xml:space="preserve">Descriptive statistics were calculated for each response </w:t>
      </w:r>
      <w:r>
        <w:rPr>
          <w:rFonts w:ascii="Times New Roman" w:hAnsi="Times New Roman" w:cs="Times New Roman"/>
          <w:sz w:val="24"/>
          <w:szCs w:val="24"/>
          <w:lang w:val="en-GB"/>
        </w:rPr>
        <w:t>prior to</w:t>
      </w:r>
      <w:r w:rsidRPr="00B56048">
        <w:rPr>
          <w:rFonts w:ascii="Times New Roman" w:hAnsi="Times New Roman" w:cs="Times New Roman"/>
          <w:sz w:val="24"/>
          <w:szCs w:val="24"/>
          <w:lang w:val="en-GB"/>
        </w:rPr>
        <w:t xml:space="preserve"> further analysis. These descriptive findings were analysed and compared by subgroup based on demographic variables such as educational level (including foundation year trainees, speciality trainees and </w:t>
      </w:r>
      <w:r>
        <w:rPr>
          <w:rFonts w:ascii="Times New Roman" w:hAnsi="Times New Roman" w:cs="Times New Roman"/>
          <w:sz w:val="24"/>
          <w:szCs w:val="24"/>
          <w:lang w:val="en-GB"/>
        </w:rPr>
        <w:t>specialists</w:t>
      </w:r>
      <w:r w:rsidRPr="00B56048">
        <w:rPr>
          <w:rFonts w:ascii="Times New Roman" w:hAnsi="Times New Roman" w:cs="Times New Roman"/>
          <w:sz w:val="24"/>
          <w:szCs w:val="24"/>
          <w:lang w:val="en-GB"/>
        </w:rPr>
        <w:t>) and work experience (number of year as a registered physician).</w:t>
      </w:r>
    </w:p>
    <w:p w14:paraId="4614F7C9" w14:textId="77777777" w:rsidR="00FD0A99" w:rsidRPr="00B56048" w:rsidRDefault="00FD0A99" w:rsidP="00FD0A99">
      <w:pPr>
        <w:spacing w:after="0"/>
        <w:rPr>
          <w:rFonts w:ascii="Times New Roman" w:hAnsi="Times New Roman" w:cs="Times New Roman"/>
          <w:sz w:val="24"/>
          <w:szCs w:val="24"/>
          <w:lang w:val="en-GB"/>
        </w:rPr>
      </w:pPr>
    </w:p>
    <w:p w14:paraId="2D72A134" w14:textId="77777777" w:rsidR="00FD0A99" w:rsidRPr="00266193" w:rsidRDefault="00FD0A99" w:rsidP="00FD0A99">
      <w:pPr>
        <w:spacing w:after="0"/>
        <w:rPr>
          <w:rFonts w:ascii="Times New Roman" w:hAnsi="Times New Roman" w:cs="Times New Roman"/>
          <w:sz w:val="24"/>
          <w:szCs w:val="24"/>
          <w:lang w:val="en-GB"/>
        </w:rPr>
      </w:pPr>
      <w:r>
        <w:rPr>
          <w:rFonts w:ascii="Times New Roman" w:hAnsi="Times New Roman" w:cs="Times New Roman"/>
          <w:sz w:val="24"/>
          <w:szCs w:val="24"/>
          <w:lang w:val="en-GB"/>
        </w:rPr>
        <w:t>As n</w:t>
      </w:r>
      <w:r w:rsidRPr="00B56048">
        <w:rPr>
          <w:rFonts w:ascii="Times New Roman" w:hAnsi="Times New Roman" w:cs="Times New Roman"/>
          <w:sz w:val="24"/>
          <w:szCs w:val="24"/>
          <w:lang w:val="en-GB"/>
        </w:rPr>
        <w:t>ot all respondents answered all questions</w:t>
      </w:r>
      <w:r>
        <w:rPr>
          <w:rFonts w:ascii="Times New Roman" w:hAnsi="Times New Roman" w:cs="Times New Roman"/>
          <w:sz w:val="24"/>
          <w:szCs w:val="24"/>
          <w:lang w:val="en-GB"/>
        </w:rPr>
        <w:t xml:space="preserve"> </w:t>
      </w:r>
      <w:r w:rsidRPr="00B56048">
        <w:rPr>
          <w:rFonts w:ascii="Times New Roman" w:hAnsi="Times New Roman" w:cs="Times New Roman"/>
          <w:sz w:val="24"/>
          <w:szCs w:val="24"/>
          <w:lang w:val="en-GB"/>
        </w:rPr>
        <w:t>the number of respondents varied for each</w:t>
      </w:r>
      <w:r>
        <w:rPr>
          <w:rFonts w:ascii="Times New Roman" w:hAnsi="Times New Roman" w:cs="Times New Roman"/>
          <w:sz w:val="24"/>
          <w:szCs w:val="24"/>
          <w:lang w:val="en-GB"/>
        </w:rPr>
        <w:t xml:space="preserve"> question, although the non-response rate was less than 5% per question for almost all questions.</w:t>
      </w:r>
    </w:p>
    <w:p w14:paraId="219F10CC" w14:textId="77777777" w:rsidR="00FD0A99" w:rsidRPr="00B56048" w:rsidRDefault="00FD0A99" w:rsidP="00FD0A99">
      <w:pPr>
        <w:autoSpaceDE w:val="0"/>
        <w:autoSpaceDN w:val="0"/>
        <w:adjustRightInd w:val="0"/>
        <w:spacing w:after="0"/>
        <w:rPr>
          <w:rFonts w:ascii="Times New Roman" w:hAnsi="Times New Roman"/>
          <w:sz w:val="24"/>
          <w:szCs w:val="24"/>
          <w:lang w:val="en-GB"/>
        </w:rPr>
      </w:pPr>
    </w:p>
    <w:p w14:paraId="6E5431D5" w14:textId="37B97EAE" w:rsidR="00FD0A99" w:rsidRDefault="00FD0A99" w:rsidP="00FD0A99">
      <w:pPr>
        <w:autoSpaceDE w:val="0"/>
        <w:autoSpaceDN w:val="0"/>
        <w:adjustRightInd w:val="0"/>
        <w:spacing w:after="0"/>
        <w:rPr>
          <w:rFonts w:ascii="Times New Roman" w:hAnsi="Times New Roman" w:cs="Times New Roman"/>
          <w:sz w:val="24"/>
          <w:szCs w:val="24"/>
          <w:lang w:val="en-GB"/>
        </w:rPr>
      </w:pPr>
      <w:r w:rsidRPr="00B56048">
        <w:rPr>
          <w:rFonts w:ascii="Times New Roman" w:hAnsi="Times New Roman" w:cs="Times New Roman"/>
          <w:sz w:val="24"/>
          <w:szCs w:val="24"/>
          <w:lang w:val="en-GB"/>
        </w:rPr>
        <w:t xml:space="preserve">The open answers in the web-survey have been categorised using a thematic analysis and are presented with a selection of quotes from the respondents </w:t>
      </w:r>
      <w:r w:rsidRPr="00B56048">
        <w:rPr>
          <w:rFonts w:ascii="Times New Roman" w:hAnsi="Times New Roman" w:cs="Times New Roman"/>
          <w:sz w:val="24"/>
          <w:szCs w:val="24"/>
          <w:lang w:val="en-GB"/>
        </w:rPr>
        <w:fldChar w:fldCharType="begin"/>
      </w:r>
      <w:r w:rsidR="00DB3C87">
        <w:rPr>
          <w:rFonts w:ascii="Times New Roman" w:hAnsi="Times New Roman" w:cs="Times New Roman"/>
          <w:sz w:val="24"/>
          <w:szCs w:val="24"/>
          <w:lang w:val="en-GB"/>
        </w:rPr>
        <w:instrText xml:space="preserve"> ADDIN EN.CITE &lt;EndNote&gt;&lt;Cite&gt;&lt;Author&gt;Patton&lt;/Author&gt;&lt;Year&gt;2002&lt;/Year&gt;&lt;RecNum&gt;3054&lt;/RecNum&gt;&lt;DisplayText&gt;[6]&lt;/DisplayText&gt;&lt;record&gt;&lt;rec-number&gt;3054&lt;/rec-number&gt;&lt;foreign-keys&gt;&lt;key app="EN" db-id="ew0f9v5wuw2tr4ed9t5vt9pn5tedextvrftr" timestamp="1489591507"&gt;3054&lt;/key&gt;&lt;/foreign-keys&gt;&lt;ref-type name="Book"&gt;6&lt;/ref-type&gt;&lt;contributors&gt;&lt;authors&gt;&lt;author&gt;Patton, M.Q.&lt;/author&gt;&lt;/authors&gt;&lt;/contributors&gt;&lt;titles&gt;&lt;title&gt;Qualitative Research and Evaluation Methods&lt;/title&gt;&lt;/titles&gt;&lt;edition&gt;3rd edition&lt;/edition&gt;&lt;dates&gt;&lt;year&gt;2002&lt;/year&gt;&lt;/dates&gt;&lt;pub-location&gt;Thousand Oaks, California&lt;/pub-location&gt;&lt;publisher&gt;Sage Publications&lt;/publisher&gt;&lt;urls&gt;&lt;/urls&gt;&lt;/record&gt;&lt;/Cite&gt;&lt;/EndNote&gt;</w:instrText>
      </w:r>
      <w:r w:rsidRPr="00B56048">
        <w:rPr>
          <w:rFonts w:ascii="Times New Roman" w:hAnsi="Times New Roman" w:cs="Times New Roman"/>
          <w:sz w:val="24"/>
          <w:szCs w:val="24"/>
          <w:lang w:val="en-GB"/>
        </w:rPr>
        <w:fldChar w:fldCharType="separate"/>
      </w:r>
      <w:r w:rsidR="00DB3C87">
        <w:rPr>
          <w:rFonts w:ascii="Times New Roman" w:hAnsi="Times New Roman" w:cs="Times New Roman"/>
          <w:noProof/>
          <w:sz w:val="24"/>
          <w:szCs w:val="24"/>
          <w:lang w:val="en-GB"/>
        </w:rPr>
        <w:t>[6]</w:t>
      </w:r>
      <w:r w:rsidRPr="00B56048">
        <w:rPr>
          <w:rFonts w:ascii="Times New Roman" w:hAnsi="Times New Roman" w:cs="Times New Roman"/>
          <w:sz w:val="24"/>
          <w:szCs w:val="24"/>
          <w:lang w:val="en-GB"/>
        </w:rPr>
        <w:fldChar w:fldCharType="end"/>
      </w:r>
      <w:r w:rsidRPr="00B56048">
        <w:rPr>
          <w:rFonts w:ascii="Times New Roman" w:hAnsi="Times New Roman" w:cs="Times New Roman"/>
          <w:sz w:val="24"/>
          <w:szCs w:val="24"/>
          <w:lang w:val="en-GB"/>
        </w:rPr>
        <w:t xml:space="preserve">. The quotes </w:t>
      </w:r>
      <w:r>
        <w:rPr>
          <w:rFonts w:ascii="Times New Roman" w:hAnsi="Times New Roman" w:cs="Times New Roman"/>
          <w:sz w:val="24"/>
          <w:szCs w:val="24"/>
          <w:lang w:val="en-GB"/>
        </w:rPr>
        <w:t xml:space="preserve">selected for this paper </w:t>
      </w:r>
      <w:r w:rsidRPr="00B56048">
        <w:rPr>
          <w:rFonts w:ascii="Times New Roman" w:hAnsi="Times New Roman" w:cs="Times New Roman"/>
          <w:sz w:val="24"/>
          <w:szCs w:val="24"/>
          <w:lang w:val="en-GB"/>
        </w:rPr>
        <w:t xml:space="preserve">were translated </w:t>
      </w:r>
      <w:r>
        <w:rPr>
          <w:rFonts w:ascii="Times New Roman" w:hAnsi="Times New Roman" w:cs="Times New Roman"/>
          <w:sz w:val="24"/>
          <w:szCs w:val="24"/>
          <w:lang w:val="en-GB"/>
        </w:rPr>
        <w:t>into English</w:t>
      </w:r>
      <w:r w:rsidRPr="00B56048">
        <w:rPr>
          <w:rFonts w:ascii="Times New Roman" w:hAnsi="Times New Roman" w:cs="Times New Roman"/>
          <w:sz w:val="24"/>
          <w:szCs w:val="24"/>
          <w:lang w:val="en-GB"/>
        </w:rPr>
        <w:t>.</w:t>
      </w:r>
    </w:p>
    <w:p w14:paraId="5E68DEC0" w14:textId="77777777" w:rsidR="00AE694D" w:rsidRDefault="00AE694D" w:rsidP="00FD0A99">
      <w:pPr>
        <w:autoSpaceDE w:val="0"/>
        <w:autoSpaceDN w:val="0"/>
        <w:adjustRightInd w:val="0"/>
        <w:spacing w:after="0"/>
        <w:rPr>
          <w:rFonts w:ascii="Times New Roman" w:hAnsi="Times New Roman" w:cs="Times New Roman"/>
          <w:sz w:val="24"/>
          <w:szCs w:val="24"/>
          <w:lang w:val="en-GB"/>
        </w:rPr>
      </w:pPr>
    </w:p>
    <w:p w14:paraId="78364BF4" w14:textId="77777777" w:rsidR="00AE694D" w:rsidRPr="00B56048" w:rsidRDefault="00AE694D" w:rsidP="00FD0A99">
      <w:pPr>
        <w:autoSpaceDE w:val="0"/>
        <w:autoSpaceDN w:val="0"/>
        <w:adjustRightInd w:val="0"/>
        <w:spacing w:after="0"/>
        <w:rPr>
          <w:rFonts w:ascii="Times New Roman" w:hAnsi="Times New Roman" w:cs="Times New Roman"/>
          <w:sz w:val="24"/>
          <w:szCs w:val="24"/>
          <w:lang w:val="en-GB"/>
        </w:rPr>
      </w:pPr>
      <w:bookmarkStart w:id="0" w:name="_GoBack"/>
      <w:bookmarkEnd w:id="0"/>
    </w:p>
    <w:p w14:paraId="0F4A74A9" w14:textId="77777777" w:rsidR="00FD0A99" w:rsidRPr="00B56048" w:rsidRDefault="00FD0A99" w:rsidP="00EB5A12">
      <w:pPr>
        <w:spacing w:after="0"/>
        <w:rPr>
          <w:rFonts w:ascii="Times New Roman" w:hAnsi="Times New Roman"/>
          <w:sz w:val="24"/>
          <w:szCs w:val="24"/>
          <w:lang w:val="en-GB"/>
        </w:rPr>
      </w:pPr>
    </w:p>
    <w:p w14:paraId="7EAA5B83" w14:textId="77777777" w:rsidR="00AE694D" w:rsidRPr="00037B1D" w:rsidRDefault="00AE694D" w:rsidP="00AE694D">
      <w:pPr>
        <w:rPr>
          <w:rFonts w:ascii="Times New Roman" w:hAnsi="Times New Roman" w:cs="Times New Roman"/>
          <w:sz w:val="24"/>
          <w:szCs w:val="24"/>
          <w:lang w:val="en-GB"/>
        </w:rPr>
      </w:pPr>
      <w:r w:rsidRPr="00037B1D">
        <w:rPr>
          <w:rFonts w:ascii="Times New Roman" w:hAnsi="Times New Roman" w:cs="Times New Roman"/>
          <w:b/>
          <w:sz w:val="24"/>
          <w:szCs w:val="24"/>
          <w:lang w:val="en-GB"/>
        </w:rPr>
        <w:t>Table 2</w:t>
      </w:r>
      <w:r w:rsidRPr="00037B1D">
        <w:rPr>
          <w:rFonts w:ascii="Times New Roman" w:hAnsi="Times New Roman" w:cs="Times New Roman"/>
          <w:sz w:val="24"/>
          <w:szCs w:val="24"/>
          <w:lang w:val="en-GB"/>
        </w:rPr>
        <w:t>: Suggestions for improvements in the Wise List from the respondents’ open answers in the survey</w:t>
      </w:r>
    </w:p>
    <w:tbl>
      <w:tblPr>
        <w:tblStyle w:val="TableGrid"/>
        <w:tblW w:w="5000" w:type="pct"/>
        <w:tblLook w:val="04A0" w:firstRow="1" w:lastRow="0" w:firstColumn="1" w:lastColumn="0" w:noHBand="0" w:noVBand="1"/>
      </w:tblPr>
      <w:tblGrid>
        <w:gridCol w:w="1443"/>
        <w:gridCol w:w="2467"/>
        <w:gridCol w:w="3787"/>
        <w:gridCol w:w="1359"/>
      </w:tblGrid>
      <w:tr w:rsidR="00AE694D" w:rsidRPr="00037B1D" w14:paraId="5AA276F4" w14:textId="77777777" w:rsidTr="00D20FA4">
        <w:tc>
          <w:tcPr>
            <w:tcW w:w="850" w:type="pct"/>
            <w:tcBorders>
              <w:top w:val="single" w:sz="4" w:space="0" w:color="auto"/>
              <w:left w:val="single" w:sz="4" w:space="0" w:color="auto"/>
              <w:bottom w:val="single" w:sz="4" w:space="0" w:color="auto"/>
              <w:right w:val="single" w:sz="4" w:space="0" w:color="auto"/>
            </w:tcBorders>
            <w:hideMark/>
          </w:tcPr>
          <w:p w14:paraId="68859E22" w14:textId="77777777" w:rsidR="00AE694D" w:rsidRPr="00037B1D" w:rsidRDefault="00AE694D" w:rsidP="00D20FA4">
            <w:pPr>
              <w:rPr>
                <w:b/>
                <w:u w:val="single"/>
                <w:lang w:val="en-GB"/>
              </w:rPr>
            </w:pPr>
            <w:r w:rsidRPr="00037B1D">
              <w:rPr>
                <w:b/>
                <w:lang w:val="en-GB"/>
              </w:rPr>
              <w:t>Category</w:t>
            </w:r>
          </w:p>
        </w:tc>
        <w:tc>
          <w:tcPr>
            <w:tcW w:w="1415" w:type="pct"/>
            <w:tcBorders>
              <w:top w:val="single" w:sz="4" w:space="0" w:color="auto"/>
              <w:left w:val="single" w:sz="4" w:space="0" w:color="auto"/>
              <w:bottom w:val="single" w:sz="4" w:space="0" w:color="auto"/>
              <w:right w:val="single" w:sz="4" w:space="0" w:color="auto"/>
            </w:tcBorders>
            <w:hideMark/>
          </w:tcPr>
          <w:p w14:paraId="69106DC5" w14:textId="77777777" w:rsidR="00AE694D" w:rsidRPr="00037B1D" w:rsidRDefault="00AE694D" w:rsidP="00D20FA4">
            <w:pPr>
              <w:rPr>
                <w:b/>
                <w:lang w:val="en-GB"/>
              </w:rPr>
            </w:pPr>
            <w:r w:rsidRPr="00037B1D">
              <w:rPr>
                <w:b/>
                <w:lang w:val="en-GB"/>
              </w:rPr>
              <w:t>Description of content in the category</w:t>
            </w:r>
          </w:p>
        </w:tc>
        <w:tc>
          <w:tcPr>
            <w:tcW w:w="2144" w:type="pct"/>
            <w:tcBorders>
              <w:top w:val="single" w:sz="4" w:space="0" w:color="auto"/>
              <w:left w:val="single" w:sz="4" w:space="0" w:color="auto"/>
              <w:bottom w:val="single" w:sz="4" w:space="0" w:color="auto"/>
              <w:right w:val="single" w:sz="4" w:space="0" w:color="auto"/>
            </w:tcBorders>
            <w:hideMark/>
          </w:tcPr>
          <w:p w14:paraId="364FFC3A" w14:textId="77777777" w:rsidR="00AE694D" w:rsidRPr="00037B1D" w:rsidRDefault="00AE694D" w:rsidP="00D20FA4">
            <w:pPr>
              <w:rPr>
                <w:b/>
                <w:lang w:val="en-GB"/>
              </w:rPr>
            </w:pPr>
            <w:r w:rsidRPr="00037B1D">
              <w:rPr>
                <w:b/>
                <w:lang w:val="en-GB"/>
              </w:rPr>
              <w:t>Example of quotes from respondents</w:t>
            </w:r>
          </w:p>
        </w:tc>
        <w:tc>
          <w:tcPr>
            <w:tcW w:w="590" w:type="pct"/>
            <w:tcBorders>
              <w:top w:val="single" w:sz="4" w:space="0" w:color="auto"/>
              <w:left w:val="single" w:sz="4" w:space="0" w:color="auto"/>
              <w:bottom w:val="single" w:sz="4" w:space="0" w:color="auto"/>
              <w:right w:val="single" w:sz="4" w:space="0" w:color="auto"/>
            </w:tcBorders>
            <w:hideMark/>
          </w:tcPr>
          <w:p w14:paraId="358C18DC" w14:textId="77777777" w:rsidR="00AE694D" w:rsidRPr="00037B1D" w:rsidRDefault="00AE694D" w:rsidP="00D20FA4">
            <w:pPr>
              <w:rPr>
                <w:b/>
                <w:lang w:val="en-GB"/>
              </w:rPr>
            </w:pPr>
            <w:r w:rsidRPr="00037B1D">
              <w:rPr>
                <w:b/>
                <w:lang w:val="en-GB"/>
              </w:rPr>
              <w:t>Number of respondents (n)</w:t>
            </w:r>
          </w:p>
        </w:tc>
      </w:tr>
      <w:tr w:rsidR="00AE694D" w:rsidRPr="00037B1D" w14:paraId="6BFCB7DA" w14:textId="77777777" w:rsidTr="00D20FA4">
        <w:tc>
          <w:tcPr>
            <w:tcW w:w="850" w:type="pct"/>
            <w:tcBorders>
              <w:top w:val="single" w:sz="4" w:space="0" w:color="auto"/>
              <w:left w:val="single" w:sz="4" w:space="0" w:color="auto"/>
              <w:bottom w:val="single" w:sz="4" w:space="0" w:color="auto"/>
              <w:right w:val="single" w:sz="4" w:space="0" w:color="auto"/>
            </w:tcBorders>
            <w:hideMark/>
          </w:tcPr>
          <w:p w14:paraId="25BA4FF9" w14:textId="77777777" w:rsidR="00AE694D" w:rsidRPr="00037B1D" w:rsidRDefault="00AE694D" w:rsidP="00D20FA4">
            <w:pPr>
              <w:rPr>
                <w:sz w:val="20"/>
                <w:szCs w:val="20"/>
                <w:lang w:val="en-GB"/>
              </w:rPr>
            </w:pPr>
            <w:r w:rsidRPr="00037B1D">
              <w:rPr>
                <w:sz w:val="20"/>
                <w:szCs w:val="20"/>
                <w:lang w:val="en-GB"/>
              </w:rPr>
              <w:t xml:space="preserve">Increased usability </w:t>
            </w:r>
          </w:p>
        </w:tc>
        <w:tc>
          <w:tcPr>
            <w:tcW w:w="1415" w:type="pct"/>
            <w:tcBorders>
              <w:top w:val="single" w:sz="4" w:space="0" w:color="auto"/>
              <w:left w:val="single" w:sz="4" w:space="0" w:color="auto"/>
              <w:bottom w:val="single" w:sz="4" w:space="0" w:color="auto"/>
              <w:right w:val="single" w:sz="4" w:space="0" w:color="auto"/>
            </w:tcBorders>
          </w:tcPr>
          <w:p w14:paraId="779ADB6B" w14:textId="77777777" w:rsidR="00AE694D" w:rsidRPr="00037B1D" w:rsidRDefault="00AE694D" w:rsidP="00AE694D">
            <w:pPr>
              <w:pStyle w:val="ListParagraph"/>
              <w:numPr>
                <w:ilvl w:val="0"/>
                <w:numId w:val="2"/>
              </w:numPr>
              <w:ind w:left="122" w:hanging="122"/>
              <w:rPr>
                <w:rFonts w:asciiTheme="minorHAnsi" w:hAnsiTheme="minorHAnsi"/>
                <w:sz w:val="20"/>
                <w:szCs w:val="20"/>
                <w:lang w:val="en-GB"/>
              </w:rPr>
            </w:pPr>
            <w:r w:rsidRPr="00037B1D">
              <w:rPr>
                <w:rFonts w:asciiTheme="minorHAnsi" w:hAnsiTheme="minorHAnsi"/>
                <w:sz w:val="20"/>
                <w:szCs w:val="20"/>
                <w:lang w:val="en-GB"/>
              </w:rPr>
              <w:t>The usability in the paper version could be improved with for example colour tabs for the different chapters.</w:t>
            </w:r>
          </w:p>
          <w:p w14:paraId="0AE0A185" w14:textId="77777777" w:rsidR="00AE694D" w:rsidRPr="00037B1D" w:rsidRDefault="00AE694D" w:rsidP="00AE694D">
            <w:pPr>
              <w:pStyle w:val="ListParagraph"/>
              <w:numPr>
                <w:ilvl w:val="0"/>
                <w:numId w:val="2"/>
              </w:numPr>
              <w:ind w:left="122" w:hanging="122"/>
              <w:rPr>
                <w:rFonts w:asciiTheme="minorHAnsi" w:hAnsiTheme="minorHAnsi"/>
                <w:sz w:val="20"/>
                <w:szCs w:val="20"/>
                <w:lang w:val="en-GB"/>
              </w:rPr>
            </w:pPr>
            <w:r w:rsidRPr="00037B1D">
              <w:rPr>
                <w:rFonts w:asciiTheme="minorHAnsi" w:hAnsiTheme="minorHAnsi"/>
                <w:sz w:val="20"/>
                <w:szCs w:val="20"/>
                <w:lang w:val="en-GB"/>
              </w:rPr>
              <w:t>Simplify the website by a more intuitive interface which should make it easier to search for a medicine on line.</w:t>
            </w:r>
          </w:p>
          <w:p w14:paraId="66A1125A" w14:textId="77777777" w:rsidR="00AE694D" w:rsidRPr="00037B1D" w:rsidRDefault="00AE694D" w:rsidP="00AE694D">
            <w:pPr>
              <w:pStyle w:val="ListParagraph"/>
              <w:numPr>
                <w:ilvl w:val="0"/>
                <w:numId w:val="2"/>
              </w:numPr>
              <w:ind w:left="122" w:hanging="122"/>
              <w:rPr>
                <w:rFonts w:asciiTheme="minorHAnsi" w:hAnsiTheme="minorHAnsi"/>
                <w:sz w:val="20"/>
                <w:szCs w:val="20"/>
                <w:lang w:val="en-GB"/>
              </w:rPr>
            </w:pPr>
            <w:r w:rsidRPr="00037B1D">
              <w:rPr>
                <w:rFonts w:asciiTheme="minorHAnsi" w:hAnsiTheme="minorHAnsi"/>
                <w:sz w:val="20"/>
                <w:szCs w:val="20"/>
                <w:lang w:val="en-GB"/>
              </w:rPr>
              <w:t>Integration of the electronic version of The Wise List into all medicine prescribing tools.</w:t>
            </w:r>
          </w:p>
        </w:tc>
        <w:tc>
          <w:tcPr>
            <w:tcW w:w="2144" w:type="pct"/>
            <w:tcBorders>
              <w:top w:val="single" w:sz="4" w:space="0" w:color="auto"/>
              <w:left w:val="single" w:sz="4" w:space="0" w:color="auto"/>
              <w:bottom w:val="single" w:sz="4" w:space="0" w:color="auto"/>
              <w:right w:val="single" w:sz="4" w:space="0" w:color="auto"/>
            </w:tcBorders>
          </w:tcPr>
          <w:p w14:paraId="4C49F8E3" w14:textId="77777777" w:rsidR="00AE694D" w:rsidRPr="00037B1D" w:rsidRDefault="00AE694D" w:rsidP="00D20FA4">
            <w:pPr>
              <w:tabs>
                <w:tab w:val="left" w:pos="5217"/>
              </w:tabs>
              <w:ind w:left="114" w:right="308"/>
              <w:rPr>
                <w:i/>
                <w:color w:val="000000"/>
                <w:sz w:val="20"/>
                <w:szCs w:val="20"/>
                <w:lang w:val="en-GB"/>
              </w:rPr>
            </w:pPr>
            <w:r w:rsidRPr="00037B1D">
              <w:rPr>
                <w:i/>
                <w:color w:val="000000"/>
                <w:sz w:val="20"/>
                <w:szCs w:val="20"/>
                <w:lang w:val="en-GB"/>
              </w:rPr>
              <w:t>“A “tab system” using different colours so that you don’t need to search for different sections but can see where they are”</w:t>
            </w:r>
          </w:p>
          <w:p w14:paraId="4CDDEF69" w14:textId="77777777" w:rsidR="00AE694D" w:rsidRPr="00037B1D" w:rsidRDefault="00AE694D" w:rsidP="00D20FA4">
            <w:pPr>
              <w:tabs>
                <w:tab w:val="left" w:pos="5217"/>
              </w:tabs>
              <w:ind w:left="114" w:right="308"/>
              <w:rPr>
                <w:i/>
                <w:color w:val="000000"/>
                <w:sz w:val="20"/>
                <w:szCs w:val="20"/>
                <w:lang w:val="en-GB"/>
              </w:rPr>
            </w:pPr>
          </w:p>
          <w:p w14:paraId="79366BE7" w14:textId="77777777" w:rsidR="00AE694D" w:rsidRPr="00037B1D" w:rsidRDefault="00AE694D" w:rsidP="00D20FA4">
            <w:pPr>
              <w:tabs>
                <w:tab w:val="left" w:pos="5217"/>
              </w:tabs>
              <w:ind w:left="114" w:right="308"/>
              <w:rPr>
                <w:i/>
                <w:color w:val="000000"/>
                <w:sz w:val="20"/>
                <w:szCs w:val="20"/>
                <w:lang w:val="en-GB"/>
              </w:rPr>
            </w:pPr>
            <w:r w:rsidRPr="00037B1D">
              <w:rPr>
                <w:i/>
                <w:color w:val="000000"/>
                <w:sz w:val="20"/>
                <w:szCs w:val="20"/>
                <w:lang w:val="en-GB"/>
              </w:rPr>
              <w:t>“Better search functions. Somewhat messy when searching on janusinfo.se. Creating a separate website?”</w:t>
            </w:r>
          </w:p>
          <w:p w14:paraId="37D6782D" w14:textId="77777777" w:rsidR="00AE694D" w:rsidRPr="00037B1D" w:rsidRDefault="00AE694D" w:rsidP="00D20FA4">
            <w:pPr>
              <w:tabs>
                <w:tab w:val="left" w:pos="5217"/>
              </w:tabs>
              <w:ind w:left="114" w:right="308"/>
              <w:rPr>
                <w:i/>
                <w:color w:val="000000"/>
                <w:sz w:val="20"/>
                <w:szCs w:val="20"/>
                <w:lang w:val="en-GB"/>
              </w:rPr>
            </w:pPr>
          </w:p>
          <w:p w14:paraId="39CD288B" w14:textId="77777777" w:rsidR="00AE694D" w:rsidRPr="00037B1D" w:rsidRDefault="00AE694D" w:rsidP="00D20FA4">
            <w:pPr>
              <w:tabs>
                <w:tab w:val="left" w:pos="5217"/>
              </w:tabs>
              <w:ind w:left="114" w:right="308"/>
              <w:rPr>
                <w:i/>
                <w:color w:val="000000"/>
                <w:sz w:val="20"/>
                <w:szCs w:val="20"/>
                <w:lang w:val="en-GB"/>
              </w:rPr>
            </w:pPr>
            <w:r w:rsidRPr="00037B1D">
              <w:rPr>
                <w:i/>
                <w:color w:val="000000"/>
                <w:sz w:val="20"/>
                <w:szCs w:val="20"/>
                <w:lang w:val="en-GB"/>
              </w:rPr>
              <w:t>“Better overview linked to the patient record, e.g. the prescribing module in TC [</w:t>
            </w:r>
            <w:r w:rsidRPr="00037B1D">
              <w:rPr>
                <w:color w:val="000000"/>
                <w:sz w:val="20"/>
                <w:szCs w:val="20"/>
                <w:lang w:val="en-GB"/>
              </w:rPr>
              <w:t>patient record system used by most prescribers in Stockholm]</w:t>
            </w:r>
            <w:r w:rsidRPr="00037B1D">
              <w:rPr>
                <w:i/>
                <w:color w:val="000000"/>
                <w:sz w:val="20"/>
                <w:szCs w:val="20"/>
                <w:lang w:val="en-GB"/>
              </w:rPr>
              <w:t xml:space="preserve">, maybe a visible window/button (voluntary, that would not force us to always click through more steps, a bit like Njuren </w:t>
            </w:r>
            <w:r w:rsidRPr="00037B1D">
              <w:rPr>
                <w:color w:val="000000"/>
                <w:sz w:val="20"/>
                <w:szCs w:val="20"/>
                <w:lang w:val="en-GB"/>
              </w:rPr>
              <w:t>[support tool for renal function used by prescribers in Stockholm]</w:t>
            </w:r>
            <w:r w:rsidRPr="00037B1D">
              <w:rPr>
                <w:i/>
                <w:color w:val="000000"/>
                <w:sz w:val="20"/>
                <w:szCs w:val="20"/>
                <w:lang w:val="en-GB"/>
              </w:rPr>
              <w:t>, indicating that you have selected a non-recommended medicine and enables you to click the window to see the recommended alternative.”</w:t>
            </w:r>
          </w:p>
          <w:p w14:paraId="0E99404E" w14:textId="77777777" w:rsidR="00AE694D" w:rsidRPr="00037B1D" w:rsidRDefault="00AE694D" w:rsidP="00D20FA4">
            <w:pPr>
              <w:tabs>
                <w:tab w:val="left" w:pos="5217"/>
              </w:tabs>
              <w:ind w:left="114" w:right="308"/>
              <w:rPr>
                <w:i/>
                <w:sz w:val="20"/>
                <w:szCs w:val="20"/>
                <w:lang w:val="en-GB"/>
              </w:rPr>
            </w:pPr>
          </w:p>
        </w:tc>
        <w:tc>
          <w:tcPr>
            <w:tcW w:w="590" w:type="pct"/>
            <w:tcBorders>
              <w:top w:val="single" w:sz="4" w:space="0" w:color="auto"/>
              <w:left w:val="single" w:sz="4" w:space="0" w:color="auto"/>
              <w:bottom w:val="single" w:sz="4" w:space="0" w:color="auto"/>
              <w:right w:val="single" w:sz="4" w:space="0" w:color="auto"/>
            </w:tcBorders>
            <w:hideMark/>
          </w:tcPr>
          <w:p w14:paraId="2844A1B7" w14:textId="77777777" w:rsidR="00AE694D" w:rsidRPr="00037B1D" w:rsidRDefault="00AE694D" w:rsidP="00D20FA4">
            <w:pPr>
              <w:rPr>
                <w:sz w:val="20"/>
                <w:szCs w:val="20"/>
                <w:lang w:val="en-GB"/>
              </w:rPr>
            </w:pPr>
            <w:r w:rsidRPr="00037B1D">
              <w:rPr>
                <w:sz w:val="20"/>
                <w:szCs w:val="20"/>
                <w:lang w:val="en-GB"/>
              </w:rPr>
              <w:t>24</w:t>
            </w:r>
          </w:p>
        </w:tc>
      </w:tr>
      <w:tr w:rsidR="00AE694D" w:rsidRPr="00037B1D" w14:paraId="5DE03414" w14:textId="77777777" w:rsidTr="00D20FA4">
        <w:tc>
          <w:tcPr>
            <w:tcW w:w="850" w:type="pct"/>
            <w:tcBorders>
              <w:top w:val="single" w:sz="4" w:space="0" w:color="auto"/>
              <w:left w:val="single" w:sz="4" w:space="0" w:color="auto"/>
              <w:bottom w:val="single" w:sz="4" w:space="0" w:color="auto"/>
              <w:right w:val="single" w:sz="4" w:space="0" w:color="auto"/>
            </w:tcBorders>
            <w:hideMark/>
          </w:tcPr>
          <w:p w14:paraId="5926263F" w14:textId="77777777" w:rsidR="00AE694D" w:rsidRPr="00037B1D" w:rsidRDefault="00AE694D" w:rsidP="00D20FA4">
            <w:pPr>
              <w:pStyle w:val="ListParagraph"/>
              <w:ind w:left="0"/>
              <w:rPr>
                <w:rFonts w:asciiTheme="minorHAnsi" w:hAnsiTheme="minorHAnsi"/>
                <w:sz w:val="20"/>
                <w:szCs w:val="20"/>
                <w:lang w:val="en-GB"/>
              </w:rPr>
            </w:pPr>
            <w:r w:rsidRPr="00037B1D">
              <w:rPr>
                <w:rFonts w:asciiTheme="minorHAnsi" w:hAnsiTheme="minorHAnsi"/>
                <w:sz w:val="20"/>
                <w:szCs w:val="20"/>
                <w:lang w:val="en-GB"/>
              </w:rPr>
              <w:t>Annual changes in the Wise List</w:t>
            </w:r>
          </w:p>
          <w:p w14:paraId="27962910" w14:textId="77777777" w:rsidR="00AE694D" w:rsidRPr="00037B1D" w:rsidRDefault="00AE694D" w:rsidP="00D20FA4">
            <w:pPr>
              <w:rPr>
                <w:sz w:val="20"/>
                <w:szCs w:val="20"/>
                <w:lang w:val="en-GB"/>
              </w:rPr>
            </w:pPr>
          </w:p>
        </w:tc>
        <w:tc>
          <w:tcPr>
            <w:tcW w:w="1415" w:type="pct"/>
            <w:tcBorders>
              <w:top w:val="single" w:sz="4" w:space="0" w:color="auto"/>
              <w:left w:val="single" w:sz="4" w:space="0" w:color="auto"/>
              <w:bottom w:val="single" w:sz="4" w:space="0" w:color="auto"/>
              <w:right w:val="single" w:sz="4" w:space="0" w:color="auto"/>
            </w:tcBorders>
          </w:tcPr>
          <w:p w14:paraId="46B20D0D" w14:textId="77777777" w:rsidR="00AE694D" w:rsidRPr="00037B1D" w:rsidRDefault="00AE694D" w:rsidP="00AE694D">
            <w:pPr>
              <w:pStyle w:val="ListParagraph"/>
              <w:numPr>
                <w:ilvl w:val="0"/>
                <w:numId w:val="2"/>
              </w:numPr>
              <w:ind w:left="122" w:hanging="122"/>
              <w:rPr>
                <w:rFonts w:asciiTheme="minorHAnsi" w:hAnsiTheme="minorHAnsi"/>
                <w:sz w:val="20"/>
                <w:szCs w:val="20"/>
                <w:lang w:val="en-GB"/>
              </w:rPr>
            </w:pPr>
            <w:r w:rsidRPr="00037B1D">
              <w:rPr>
                <w:rFonts w:asciiTheme="minorHAnsi" w:hAnsiTheme="minorHAnsi"/>
                <w:sz w:val="20"/>
                <w:szCs w:val="20"/>
                <w:lang w:val="en-GB"/>
              </w:rPr>
              <w:t xml:space="preserve">The recommended first line substances for a certain diagnosis sometimes change on an annual basis. These frequent changes could lead to decreased trust among both physicians and patients as the prescribing physicians might have difficulties to explain to the patient why the treatment changes. </w:t>
            </w:r>
          </w:p>
          <w:p w14:paraId="37AB7514" w14:textId="77777777" w:rsidR="00AE694D" w:rsidRPr="00037B1D" w:rsidRDefault="00AE694D" w:rsidP="00D20FA4">
            <w:pPr>
              <w:ind w:left="264" w:hanging="142"/>
              <w:rPr>
                <w:sz w:val="20"/>
                <w:szCs w:val="20"/>
                <w:lang w:val="en-GB"/>
              </w:rPr>
            </w:pPr>
          </w:p>
        </w:tc>
        <w:tc>
          <w:tcPr>
            <w:tcW w:w="2144" w:type="pct"/>
            <w:tcBorders>
              <w:top w:val="single" w:sz="4" w:space="0" w:color="auto"/>
              <w:left w:val="single" w:sz="4" w:space="0" w:color="auto"/>
              <w:bottom w:val="single" w:sz="4" w:space="0" w:color="auto"/>
              <w:right w:val="single" w:sz="4" w:space="0" w:color="auto"/>
            </w:tcBorders>
          </w:tcPr>
          <w:p w14:paraId="47B75370" w14:textId="77777777" w:rsidR="00AE694D" w:rsidRPr="00037B1D" w:rsidRDefault="00AE694D" w:rsidP="00D20FA4">
            <w:pPr>
              <w:tabs>
                <w:tab w:val="left" w:pos="9639"/>
              </w:tabs>
              <w:ind w:left="114" w:right="166"/>
              <w:rPr>
                <w:i/>
                <w:color w:val="000000"/>
                <w:sz w:val="20"/>
                <w:szCs w:val="20"/>
                <w:lang w:val="en-GB"/>
              </w:rPr>
            </w:pPr>
            <w:r w:rsidRPr="00037B1D">
              <w:rPr>
                <w:i/>
                <w:color w:val="000000"/>
                <w:sz w:val="20"/>
                <w:szCs w:val="20"/>
                <w:lang w:val="en-GB"/>
              </w:rPr>
              <w:t>“Let the fact that a medicine has been on the Wise List be part of the consideration when updating the list. A lot of time and trust building is spent convincing patients to change medicine, especially when you have to change back to a previously used medicine.”</w:t>
            </w:r>
          </w:p>
          <w:p w14:paraId="5F08BAFD" w14:textId="77777777" w:rsidR="00AE694D" w:rsidRPr="00037B1D" w:rsidRDefault="00AE694D" w:rsidP="00D20FA4">
            <w:pPr>
              <w:tabs>
                <w:tab w:val="left" w:pos="9639"/>
              </w:tabs>
              <w:ind w:left="114" w:right="166"/>
              <w:rPr>
                <w:sz w:val="20"/>
                <w:szCs w:val="20"/>
                <w:lang w:val="en-GB"/>
              </w:rPr>
            </w:pPr>
          </w:p>
        </w:tc>
        <w:tc>
          <w:tcPr>
            <w:tcW w:w="590" w:type="pct"/>
            <w:tcBorders>
              <w:top w:val="single" w:sz="4" w:space="0" w:color="auto"/>
              <w:left w:val="single" w:sz="4" w:space="0" w:color="auto"/>
              <w:bottom w:val="single" w:sz="4" w:space="0" w:color="auto"/>
              <w:right w:val="single" w:sz="4" w:space="0" w:color="auto"/>
            </w:tcBorders>
            <w:hideMark/>
          </w:tcPr>
          <w:p w14:paraId="6CFA6ACD" w14:textId="77777777" w:rsidR="00AE694D" w:rsidRPr="00037B1D" w:rsidRDefault="00AE694D" w:rsidP="00D20FA4">
            <w:pPr>
              <w:rPr>
                <w:sz w:val="20"/>
                <w:szCs w:val="20"/>
                <w:lang w:val="en-GB"/>
              </w:rPr>
            </w:pPr>
            <w:r w:rsidRPr="00037B1D">
              <w:rPr>
                <w:sz w:val="20"/>
                <w:szCs w:val="20"/>
                <w:lang w:val="en-GB"/>
              </w:rPr>
              <w:t>12</w:t>
            </w:r>
          </w:p>
        </w:tc>
      </w:tr>
      <w:tr w:rsidR="00AE694D" w:rsidRPr="00037B1D" w14:paraId="6E98CF6B" w14:textId="77777777" w:rsidTr="00D20FA4">
        <w:tc>
          <w:tcPr>
            <w:tcW w:w="850" w:type="pct"/>
            <w:tcBorders>
              <w:top w:val="single" w:sz="4" w:space="0" w:color="auto"/>
              <w:left w:val="single" w:sz="4" w:space="0" w:color="auto"/>
              <w:bottom w:val="single" w:sz="4" w:space="0" w:color="auto"/>
              <w:right w:val="single" w:sz="4" w:space="0" w:color="auto"/>
            </w:tcBorders>
            <w:hideMark/>
          </w:tcPr>
          <w:p w14:paraId="7D3ADBF9" w14:textId="77777777" w:rsidR="00AE694D" w:rsidRPr="00037B1D" w:rsidRDefault="00AE694D" w:rsidP="00D20FA4">
            <w:pPr>
              <w:rPr>
                <w:sz w:val="20"/>
                <w:szCs w:val="20"/>
                <w:lang w:val="en-GB"/>
              </w:rPr>
            </w:pPr>
            <w:r w:rsidRPr="00037B1D">
              <w:rPr>
                <w:sz w:val="20"/>
                <w:szCs w:val="20"/>
                <w:lang w:val="en-GB"/>
              </w:rPr>
              <w:t>Clear motivation when replacing a medicine</w:t>
            </w:r>
          </w:p>
        </w:tc>
        <w:tc>
          <w:tcPr>
            <w:tcW w:w="1415" w:type="pct"/>
            <w:tcBorders>
              <w:top w:val="single" w:sz="4" w:space="0" w:color="auto"/>
              <w:left w:val="single" w:sz="4" w:space="0" w:color="auto"/>
              <w:bottom w:val="single" w:sz="4" w:space="0" w:color="auto"/>
              <w:right w:val="single" w:sz="4" w:space="0" w:color="auto"/>
            </w:tcBorders>
          </w:tcPr>
          <w:p w14:paraId="5615D132" w14:textId="77777777" w:rsidR="00AE694D" w:rsidRPr="00037B1D" w:rsidRDefault="00AE694D" w:rsidP="00AE694D">
            <w:pPr>
              <w:pStyle w:val="ListParagraph"/>
              <w:numPr>
                <w:ilvl w:val="0"/>
                <w:numId w:val="2"/>
              </w:numPr>
              <w:ind w:left="122" w:hanging="122"/>
              <w:rPr>
                <w:rFonts w:asciiTheme="minorHAnsi" w:hAnsiTheme="minorHAnsi"/>
                <w:sz w:val="20"/>
                <w:szCs w:val="20"/>
                <w:lang w:val="en-GB"/>
              </w:rPr>
            </w:pPr>
            <w:r w:rsidRPr="00037B1D">
              <w:rPr>
                <w:rFonts w:asciiTheme="minorHAnsi" w:hAnsiTheme="minorHAnsi"/>
                <w:sz w:val="20"/>
                <w:szCs w:val="20"/>
                <w:lang w:val="en-GB"/>
              </w:rPr>
              <w:t>Include a statement motivating why a medicine has been replaced on the Wise List, to make it easier to see what changes have been made*</w:t>
            </w:r>
          </w:p>
          <w:p w14:paraId="1E07612E" w14:textId="77777777" w:rsidR="00AE694D" w:rsidRPr="00037B1D" w:rsidRDefault="00AE694D" w:rsidP="00AE694D">
            <w:pPr>
              <w:pStyle w:val="ListParagraph"/>
              <w:numPr>
                <w:ilvl w:val="0"/>
                <w:numId w:val="2"/>
              </w:numPr>
              <w:ind w:left="122" w:hanging="122"/>
              <w:rPr>
                <w:rFonts w:asciiTheme="minorHAnsi" w:hAnsiTheme="minorHAnsi"/>
                <w:sz w:val="20"/>
                <w:szCs w:val="20"/>
                <w:lang w:val="en-GB"/>
              </w:rPr>
            </w:pPr>
            <w:r w:rsidRPr="00037B1D">
              <w:rPr>
                <w:rFonts w:asciiTheme="minorHAnsi" w:hAnsiTheme="minorHAnsi"/>
                <w:sz w:val="20"/>
                <w:szCs w:val="20"/>
                <w:lang w:val="en-GB"/>
              </w:rPr>
              <w:t xml:space="preserve">Keep the old </w:t>
            </w:r>
            <w:r w:rsidRPr="00037B1D">
              <w:rPr>
                <w:rFonts w:asciiTheme="minorHAnsi" w:hAnsiTheme="minorHAnsi"/>
                <w:color w:val="222222"/>
                <w:sz w:val="20"/>
                <w:szCs w:val="20"/>
                <w:lang w:val="en-GB"/>
              </w:rPr>
              <w:t>recommendations parallel with the new during a transitional period.</w:t>
            </w:r>
          </w:p>
          <w:p w14:paraId="1C27D869" w14:textId="77777777" w:rsidR="00AE694D" w:rsidRPr="00037B1D" w:rsidRDefault="00AE694D" w:rsidP="00D20FA4">
            <w:pPr>
              <w:ind w:left="264" w:hanging="142"/>
              <w:rPr>
                <w:sz w:val="20"/>
                <w:szCs w:val="20"/>
                <w:lang w:val="en-GB"/>
              </w:rPr>
            </w:pPr>
          </w:p>
        </w:tc>
        <w:tc>
          <w:tcPr>
            <w:tcW w:w="2144" w:type="pct"/>
            <w:tcBorders>
              <w:top w:val="single" w:sz="4" w:space="0" w:color="auto"/>
              <w:left w:val="single" w:sz="4" w:space="0" w:color="auto"/>
              <w:bottom w:val="single" w:sz="4" w:space="0" w:color="auto"/>
              <w:right w:val="single" w:sz="4" w:space="0" w:color="auto"/>
            </w:tcBorders>
          </w:tcPr>
          <w:p w14:paraId="3FA5FE8C" w14:textId="77777777" w:rsidR="00AE694D" w:rsidRPr="00037B1D" w:rsidRDefault="00AE694D" w:rsidP="00D20FA4">
            <w:pPr>
              <w:ind w:left="114" w:right="24"/>
              <w:rPr>
                <w:i/>
                <w:color w:val="000000"/>
                <w:sz w:val="20"/>
                <w:szCs w:val="20"/>
                <w:lang w:val="en-GB"/>
              </w:rPr>
            </w:pPr>
            <w:r w:rsidRPr="00037B1D">
              <w:rPr>
                <w:i/>
                <w:color w:val="000000"/>
                <w:sz w:val="20"/>
                <w:szCs w:val="20"/>
                <w:lang w:val="en-GB"/>
              </w:rPr>
              <w:t xml:space="preserve">“I would like to see motivations for reasons why a substance has been changed from one year to another, e.g. clickable links next to the new substance.” </w:t>
            </w:r>
          </w:p>
          <w:p w14:paraId="5E2328DC" w14:textId="77777777" w:rsidR="00AE694D" w:rsidRPr="00037B1D" w:rsidRDefault="00AE694D" w:rsidP="00D20FA4">
            <w:pPr>
              <w:ind w:left="114" w:right="24"/>
              <w:rPr>
                <w:i/>
                <w:color w:val="000000"/>
                <w:sz w:val="20"/>
                <w:szCs w:val="20"/>
                <w:lang w:val="en-GB"/>
              </w:rPr>
            </w:pPr>
            <w:r w:rsidRPr="00037B1D">
              <w:rPr>
                <w:i/>
                <w:color w:val="000000"/>
                <w:sz w:val="20"/>
                <w:szCs w:val="20"/>
                <w:lang w:val="en-GB"/>
              </w:rPr>
              <w:tab/>
            </w:r>
          </w:p>
          <w:p w14:paraId="05E35E43" w14:textId="77777777" w:rsidR="00AE694D" w:rsidRPr="00037B1D" w:rsidRDefault="00AE694D" w:rsidP="00D20FA4">
            <w:pPr>
              <w:rPr>
                <w:sz w:val="20"/>
                <w:szCs w:val="20"/>
                <w:lang w:val="en-GB"/>
              </w:rPr>
            </w:pPr>
          </w:p>
        </w:tc>
        <w:tc>
          <w:tcPr>
            <w:tcW w:w="590" w:type="pct"/>
            <w:tcBorders>
              <w:top w:val="single" w:sz="4" w:space="0" w:color="auto"/>
              <w:left w:val="single" w:sz="4" w:space="0" w:color="auto"/>
              <w:bottom w:val="single" w:sz="4" w:space="0" w:color="auto"/>
              <w:right w:val="single" w:sz="4" w:space="0" w:color="auto"/>
            </w:tcBorders>
            <w:hideMark/>
          </w:tcPr>
          <w:p w14:paraId="7EA3D7C0" w14:textId="77777777" w:rsidR="00AE694D" w:rsidRPr="00037B1D" w:rsidRDefault="00AE694D" w:rsidP="00D20FA4">
            <w:pPr>
              <w:rPr>
                <w:sz w:val="20"/>
                <w:szCs w:val="20"/>
                <w:lang w:val="en-GB"/>
              </w:rPr>
            </w:pPr>
            <w:r w:rsidRPr="00037B1D">
              <w:rPr>
                <w:sz w:val="20"/>
                <w:szCs w:val="20"/>
                <w:lang w:val="en-GB"/>
              </w:rPr>
              <w:t>12</w:t>
            </w:r>
          </w:p>
        </w:tc>
      </w:tr>
      <w:tr w:rsidR="00AE694D" w:rsidRPr="00037B1D" w14:paraId="41697772" w14:textId="77777777" w:rsidTr="00D20FA4">
        <w:tc>
          <w:tcPr>
            <w:tcW w:w="850" w:type="pct"/>
            <w:tcBorders>
              <w:top w:val="single" w:sz="4" w:space="0" w:color="auto"/>
              <w:left w:val="single" w:sz="4" w:space="0" w:color="auto"/>
              <w:bottom w:val="single" w:sz="4" w:space="0" w:color="auto"/>
              <w:right w:val="single" w:sz="4" w:space="0" w:color="auto"/>
            </w:tcBorders>
          </w:tcPr>
          <w:p w14:paraId="775A20A6" w14:textId="77777777" w:rsidR="00AE694D" w:rsidRPr="00037B1D" w:rsidRDefault="00AE694D" w:rsidP="00D20FA4">
            <w:pPr>
              <w:rPr>
                <w:sz w:val="20"/>
                <w:szCs w:val="20"/>
                <w:lang w:val="en-GB"/>
              </w:rPr>
            </w:pPr>
            <w:r w:rsidRPr="00037B1D">
              <w:rPr>
                <w:sz w:val="20"/>
                <w:szCs w:val="20"/>
                <w:lang w:val="en-GB"/>
              </w:rPr>
              <w:t xml:space="preserve">Dosage and treatment length </w:t>
            </w:r>
          </w:p>
          <w:p w14:paraId="57A365FB" w14:textId="77777777" w:rsidR="00AE694D" w:rsidRPr="00037B1D" w:rsidRDefault="00AE694D" w:rsidP="00D20FA4">
            <w:pPr>
              <w:rPr>
                <w:sz w:val="20"/>
                <w:szCs w:val="20"/>
                <w:lang w:val="en-GB"/>
              </w:rPr>
            </w:pPr>
          </w:p>
        </w:tc>
        <w:tc>
          <w:tcPr>
            <w:tcW w:w="1415" w:type="pct"/>
            <w:tcBorders>
              <w:top w:val="single" w:sz="4" w:space="0" w:color="auto"/>
              <w:left w:val="single" w:sz="4" w:space="0" w:color="auto"/>
              <w:bottom w:val="single" w:sz="4" w:space="0" w:color="auto"/>
              <w:right w:val="single" w:sz="4" w:space="0" w:color="auto"/>
            </w:tcBorders>
          </w:tcPr>
          <w:p w14:paraId="328C3AC1" w14:textId="77777777" w:rsidR="00AE694D" w:rsidRPr="00037B1D" w:rsidRDefault="00AE694D" w:rsidP="00AE694D">
            <w:pPr>
              <w:pStyle w:val="ListParagraph"/>
              <w:numPr>
                <w:ilvl w:val="0"/>
                <w:numId w:val="2"/>
              </w:numPr>
              <w:ind w:left="176" w:hanging="142"/>
              <w:rPr>
                <w:rFonts w:asciiTheme="minorHAnsi" w:hAnsiTheme="minorHAnsi"/>
                <w:color w:val="000000"/>
                <w:sz w:val="20"/>
                <w:szCs w:val="20"/>
                <w:lang w:val="en-GB"/>
              </w:rPr>
            </w:pPr>
            <w:r w:rsidRPr="00037B1D">
              <w:rPr>
                <w:rFonts w:asciiTheme="minorHAnsi" w:hAnsiTheme="minorHAnsi"/>
                <w:color w:val="000000"/>
                <w:sz w:val="20"/>
                <w:szCs w:val="20"/>
                <w:lang w:val="en-GB"/>
              </w:rPr>
              <w:t xml:space="preserve">More information and advice on dose for a recommended medicine and recommended treatment length. </w:t>
            </w:r>
          </w:p>
          <w:p w14:paraId="48B6DF85" w14:textId="77777777" w:rsidR="00AE694D" w:rsidRPr="00037B1D" w:rsidRDefault="00AE694D" w:rsidP="00D20FA4">
            <w:pPr>
              <w:rPr>
                <w:sz w:val="20"/>
                <w:szCs w:val="20"/>
                <w:lang w:val="en-GB"/>
              </w:rPr>
            </w:pPr>
          </w:p>
        </w:tc>
        <w:tc>
          <w:tcPr>
            <w:tcW w:w="2144" w:type="pct"/>
            <w:tcBorders>
              <w:top w:val="single" w:sz="4" w:space="0" w:color="auto"/>
              <w:left w:val="single" w:sz="4" w:space="0" w:color="auto"/>
              <w:bottom w:val="single" w:sz="4" w:space="0" w:color="auto"/>
              <w:right w:val="single" w:sz="4" w:space="0" w:color="auto"/>
            </w:tcBorders>
          </w:tcPr>
          <w:p w14:paraId="2AA9D041" w14:textId="77777777" w:rsidR="00AE694D" w:rsidRPr="00037B1D" w:rsidRDefault="00AE694D" w:rsidP="00D20FA4">
            <w:pPr>
              <w:rPr>
                <w:i/>
                <w:color w:val="000000"/>
                <w:sz w:val="20"/>
                <w:szCs w:val="20"/>
                <w:lang w:val="en-GB"/>
              </w:rPr>
            </w:pPr>
            <w:r w:rsidRPr="00037B1D">
              <w:rPr>
                <w:i/>
                <w:color w:val="000000"/>
                <w:sz w:val="20"/>
                <w:szCs w:val="20"/>
                <w:lang w:val="en-GB"/>
              </w:rPr>
              <w:t>“suggested dosing and advice on treatment initiation would help.”</w:t>
            </w:r>
          </w:p>
          <w:p w14:paraId="4FA70669" w14:textId="77777777" w:rsidR="00AE694D" w:rsidRPr="00037B1D" w:rsidRDefault="00AE694D" w:rsidP="00D20FA4">
            <w:pPr>
              <w:rPr>
                <w:i/>
                <w:color w:val="000000"/>
                <w:sz w:val="20"/>
                <w:szCs w:val="20"/>
                <w:lang w:val="en-GB"/>
              </w:rPr>
            </w:pPr>
            <w:r w:rsidRPr="00037B1D">
              <w:rPr>
                <w:i/>
                <w:color w:val="000000"/>
                <w:sz w:val="20"/>
                <w:szCs w:val="20"/>
                <w:lang w:val="en-GB"/>
              </w:rPr>
              <w:t>“more information regarding dosing and how long to continue treatment.”</w:t>
            </w:r>
          </w:p>
          <w:p w14:paraId="55ADB7D8" w14:textId="77777777" w:rsidR="00AE694D" w:rsidRPr="00037B1D" w:rsidRDefault="00AE694D" w:rsidP="00D20FA4">
            <w:pPr>
              <w:rPr>
                <w:color w:val="000000"/>
                <w:sz w:val="20"/>
                <w:szCs w:val="20"/>
                <w:lang w:val="en-GB"/>
              </w:rPr>
            </w:pPr>
          </w:p>
        </w:tc>
        <w:tc>
          <w:tcPr>
            <w:tcW w:w="590" w:type="pct"/>
            <w:tcBorders>
              <w:top w:val="single" w:sz="4" w:space="0" w:color="auto"/>
              <w:left w:val="single" w:sz="4" w:space="0" w:color="auto"/>
              <w:bottom w:val="single" w:sz="4" w:space="0" w:color="auto"/>
              <w:right w:val="single" w:sz="4" w:space="0" w:color="auto"/>
            </w:tcBorders>
          </w:tcPr>
          <w:p w14:paraId="0472C12C" w14:textId="77777777" w:rsidR="00AE694D" w:rsidRPr="00037B1D" w:rsidRDefault="00AE694D" w:rsidP="00D20FA4">
            <w:pPr>
              <w:rPr>
                <w:sz w:val="20"/>
                <w:szCs w:val="20"/>
                <w:lang w:val="en-GB"/>
              </w:rPr>
            </w:pPr>
            <w:r w:rsidRPr="00037B1D">
              <w:rPr>
                <w:sz w:val="20"/>
                <w:szCs w:val="20"/>
                <w:lang w:val="en-GB"/>
              </w:rPr>
              <w:t>12</w:t>
            </w:r>
          </w:p>
        </w:tc>
      </w:tr>
      <w:tr w:rsidR="00AE694D" w:rsidRPr="00037B1D" w14:paraId="019F61FD" w14:textId="77777777" w:rsidTr="00D20FA4">
        <w:tc>
          <w:tcPr>
            <w:tcW w:w="850" w:type="pct"/>
            <w:tcBorders>
              <w:top w:val="single" w:sz="4" w:space="0" w:color="auto"/>
              <w:left w:val="single" w:sz="4" w:space="0" w:color="auto"/>
              <w:bottom w:val="single" w:sz="4" w:space="0" w:color="auto"/>
              <w:right w:val="single" w:sz="4" w:space="0" w:color="auto"/>
            </w:tcBorders>
          </w:tcPr>
          <w:p w14:paraId="06182EAD" w14:textId="77777777" w:rsidR="00AE694D" w:rsidRPr="00037B1D" w:rsidRDefault="00AE694D" w:rsidP="00D20FA4">
            <w:pPr>
              <w:rPr>
                <w:sz w:val="20"/>
                <w:szCs w:val="20"/>
                <w:lang w:val="en-GB"/>
              </w:rPr>
            </w:pPr>
            <w:r w:rsidRPr="00037B1D">
              <w:rPr>
                <w:sz w:val="20"/>
                <w:szCs w:val="20"/>
                <w:lang w:val="en-GB"/>
              </w:rPr>
              <w:t>One national list on recommended medicines</w:t>
            </w:r>
          </w:p>
          <w:p w14:paraId="68C369A7" w14:textId="77777777" w:rsidR="00AE694D" w:rsidRPr="00037B1D" w:rsidRDefault="00AE694D" w:rsidP="00D20FA4">
            <w:pPr>
              <w:rPr>
                <w:sz w:val="20"/>
                <w:szCs w:val="20"/>
                <w:lang w:val="en-GB"/>
              </w:rPr>
            </w:pPr>
          </w:p>
        </w:tc>
        <w:tc>
          <w:tcPr>
            <w:tcW w:w="1415" w:type="pct"/>
            <w:tcBorders>
              <w:top w:val="single" w:sz="4" w:space="0" w:color="auto"/>
              <w:left w:val="single" w:sz="4" w:space="0" w:color="auto"/>
              <w:bottom w:val="single" w:sz="4" w:space="0" w:color="auto"/>
              <w:right w:val="single" w:sz="4" w:space="0" w:color="auto"/>
            </w:tcBorders>
          </w:tcPr>
          <w:p w14:paraId="2BB91E76" w14:textId="77777777" w:rsidR="00AE694D" w:rsidRPr="00037B1D" w:rsidRDefault="00AE694D" w:rsidP="00AE694D">
            <w:pPr>
              <w:pStyle w:val="ListParagraph"/>
              <w:numPr>
                <w:ilvl w:val="0"/>
                <w:numId w:val="2"/>
              </w:numPr>
              <w:ind w:left="176" w:hanging="176"/>
              <w:rPr>
                <w:rFonts w:asciiTheme="minorHAnsi" w:hAnsiTheme="minorHAnsi" w:cstheme="minorBidi"/>
                <w:sz w:val="20"/>
                <w:szCs w:val="20"/>
                <w:lang w:val="en-GB"/>
              </w:rPr>
            </w:pPr>
            <w:r w:rsidRPr="00037B1D">
              <w:rPr>
                <w:rFonts w:asciiTheme="minorHAnsi" w:hAnsiTheme="minorHAnsi"/>
                <w:sz w:val="20"/>
                <w:szCs w:val="20"/>
                <w:lang w:val="en-GB"/>
              </w:rPr>
              <w:t>The Wise List trustworthiness would improve if it was part of a national list with recommended medicines for the whole country. Variations in recommended medicines lists between regions are sometimes confusing for the prescribing physicians.</w:t>
            </w:r>
          </w:p>
          <w:p w14:paraId="77D252D4" w14:textId="77777777" w:rsidR="00AE694D" w:rsidRPr="00037B1D" w:rsidRDefault="00AE694D" w:rsidP="00D20FA4">
            <w:pPr>
              <w:rPr>
                <w:sz w:val="20"/>
                <w:szCs w:val="20"/>
                <w:lang w:val="en-GB"/>
              </w:rPr>
            </w:pPr>
          </w:p>
        </w:tc>
        <w:tc>
          <w:tcPr>
            <w:tcW w:w="2144" w:type="pct"/>
            <w:tcBorders>
              <w:top w:val="single" w:sz="4" w:space="0" w:color="auto"/>
              <w:left w:val="single" w:sz="4" w:space="0" w:color="auto"/>
              <w:bottom w:val="single" w:sz="4" w:space="0" w:color="auto"/>
              <w:right w:val="single" w:sz="4" w:space="0" w:color="auto"/>
            </w:tcBorders>
          </w:tcPr>
          <w:p w14:paraId="5AC09789" w14:textId="77777777" w:rsidR="00AE694D" w:rsidRPr="00037B1D" w:rsidRDefault="00AE694D" w:rsidP="00D20FA4">
            <w:pPr>
              <w:ind w:right="827"/>
              <w:rPr>
                <w:i/>
                <w:color w:val="000000"/>
                <w:sz w:val="20"/>
                <w:szCs w:val="20"/>
                <w:lang w:val="en-GB"/>
              </w:rPr>
            </w:pPr>
            <w:r w:rsidRPr="00037B1D">
              <w:rPr>
                <w:i/>
                <w:color w:val="000000"/>
                <w:sz w:val="20"/>
                <w:szCs w:val="20"/>
                <w:lang w:val="en-GB"/>
              </w:rPr>
              <w:t>“The trustworthiness would improve if the list was nationwide. When the lists vary within the country it seems arbitrary what substance has been recommended in a healthcare region.”</w:t>
            </w:r>
          </w:p>
          <w:p w14:paraId="29823AD0" w14:textId="77777777" w:rsidR="00AE694D" w:rsidRPr="00037B1D" w:rsidRDefault="00AE694D" w:rsidP="00D20FA4">
            <w:pPr>
              <w:ind w:right="827"/>
              <w:rPr>
                <w:sz w:val="20"/>
                <w:szCs w:val="20"/>
                <w:lang w:val="en-GB"/>
              </w:rPr>
            </w:pPr>
          </w:p>
        </w:tc>
        <w:tc>
          <w:tcPr>
            <w:tcW w:w="590" w:type="pct"/>
            <w:tcBorders>
              <w:top w:val="single" w:sz="4" w:space="0" w:color="auto"/>
              <w:left w:val="single" w:sz="4" w:space="0" w:color="auto"/>
              <w:bottom w:val="single" w:sz="4" w:space="0" w:color="auto"/>
              <w:right w:val="single" w:sz="4" w:space="0" w:color="auto"/>
            </w:tcBorders>
            <w:hideMark/>
          </w:tcPr>
          <w:p w14:paraId="04170174" w14:textId="77777777" w:rsidR="00AE694D" w:rsidRPr="00037B1D" w:rsidRDefault="00AE694D" w:rsidP="00D20FA4">
            <w:pPr>
              <w:rPr>
                <w:sz w:val="20"/>
                <w:szCs w:val="20"/>
                <w:lang w:val="en-GB"/>
              </w:rPr>
            </w:pPr>
            <w:r w:rsidRPr="00037B1D">
              <w:rPr>
                <w:sz w:val="20"/>
                <w:szCs w:val="20"/>
                <w:lang w:val="en-GB"/>
              </w:rPr>
              <w:t>12</w:t>
            </w:r>
          </w:p>
        </w:tc>
      </w:tr>
      <w:tr w:rsidR="00AE694D" w:rsidRPr="00037B1D" w14:paraId="0878ECAE" w14:textId="77777777" w:rsidTr="00D20FA4">
        <w:tc>
          <w:tcPr>
            <w:tcW w:w="850" w:type="pct"/>
            <w:tcBorders>
              <w:top w:val="single" w:sz="4" w:space="0" w:color="auto"/>
              <w:left w:val="single" w:sz="4" w:space="0" w:color="auto"/>
              <w:bottom w:val="single" w:sz="4" w:space="0" w:color="auto"/>
              <w:right w:val="single" w:sz="4" w:space="0" w:color="auto"/>
            </w:tcBorders>
          </w:tcPr>
          <w:p w14:paraId="5A7EC5C8" w14:textId="77777777" w:rsidR="00AE694D" w:rsidRPr="00037B1D" w:rsidRDefault="00AE694D" w:rsidP="00D20FA4">
            <w:pPr>
              <w:rPr>
                <w:sz w:val="20"/>
                <w:szCs w:val="20"/>
                <w:lang w:val="en-GB"/>
              </w:rPr>
            </w:pPr>
            <w:r w:rsidRPr="00037B1D">
              <w:rPr>
                <w:sz w:val="20"/>
                <w:szCs w:val="20"/>
                <w:lang w:val="en-GB"/>
              </w:rPr>
              <w:t>Coordination between primary and secondary care among recommended medicines</w:t>
            </w:r>
          </w:p>
          <w:p w14:paraId="4C765D34" w14:textId="77777777" w:rsidR="00AE694D" w:rsidRPr="00037B1D" w:rsidRDefault="00AE694D" w:rsidP="00D20FA4">
            <w:pPr>
              <w:rPr>
                <w:sz w:val="20"/>
                <w:szCs w:val="20"/>
                <w:lang w:val="en-GB"/>
              </w:rPr>
            </w:pPr>
          </w:p>
        </w:tc>
        <w:tc>
          <w:tcPr>
            <w:tcW w:w="1415" w:type="pct"/>
            <w:tcBorders>
              <w:top w:val="single" w:sz="4" w:space="0" w:color="auto"/>
              <w:left w:val="single" w:sz="4" w:space="0" w:color="auto"/>
              <w:bottom w:val="single" w:sz="4" w:space="0" w:color="auto"/>
              <w:right w:val="single" w:sz="4" w:space="0" w:color="auto"/>
            </w:tcBorders>
          </w:tcPr>
          <w:p w14:paraId="73E26722" w14:textId="77777777" w:rsidR="00AE694D" w:rsidRPr="00037B1D" w:rsidRDefault="00AE694D" w:rsidP="00AE694D">
            <w:pPr>
              <w:pStyle w:val="ListParagraph"/>
              <w:numPr>
                <w:ilvl w:val="0"/>
                <w:numId w:val="2"/>
              </w:numPr>
              <w:ind w:left="176" w:hanging="142"/>
              <w:rPr>
                <w:rFonts w:asciiTheme="minorHAnsi" w:hAnsiTheme="minorHAnsi"/>
                <w:sz w:val="20"/>
                <w:szCs w:val="20"/>
                <w:lang w:val="en-GB"/>
              </w:rPr>
            </w:pPr>
            <w:r w:rsidRPr="00037B1D">
              <w:rPr>
                <w:rFonts w:asciiTheme="minorHAnsi" w:hAnsiTheme="minorHAnsi"/>
                <w:sz w:val="20"/>
                <w:szCs w:val="20"/>
                <w:lang w:val="en-GB"/>
              </w:rPr>
              <w:t>When a medicine is prescribed by a physician in specialist care it is often difficult for the GP to change it to a substance recommended on the Wise List. The respondents therefore wanted a better developed coordination between primary and secondary care.</w:t>
            </w:r>
          </w:p>
        </w:tc>
        <w:tc>
          <w:tcPr>
            <w:tcW w:w="2144" w:type="pct"/>
            <w:tcBorders>
              <w:top w:val="single" w:sz="4" w:space="0" w:color="auto"/>
              <w:left w:val="single" w:sz="4" w:space="0" w:color="auto"/>
              <w:bottom w:val="single" w:sz="4" w:space="0" w:color="auto"/>
              <w:right w:val="single" w:sz="4" w:space="0" w:color="auto"/>
            </w:tcBorders>
          </w:tcPr>
          <w:p w14:paraId="4F9B7BFC" w14:textId="77777777" w:rsidR="00AE694D" w:rsidRPr="00037B1D" w:rsidRDefault="00AE694D" w:rsidP="00D20FA4">
            <w:pPr>
              <w:ind w:right="827"/>
              <w:rPr>
                <w:i/>
                <w:color w:val="000000"/>
                <w:sz w:val="20"/>
                <w:szCs w:val="20"/>
                <w:lang w:val="en-GB"/>
              </w:rPr>
            </w:pPr>
            <w:r w:rsidRPr="00037B1D">
              <w:rPr>
                <w:i/>
                <w:color w:val="000000"/>
                <w:sz w:val="20"/>
                <w:szCs w:val="20"/>
                <w:lang w:val="en-GB"/>
              </w:rPr>
              <w:t xml:space="preserve">“More information (and maybe more external pressure) is needed to ensure specialist care follows the recommendations. The primary care is often held responsible for treatments that are not according to the Wise List, although in many cases a physician in specialist care has prescribed the “wrong” substance and the primary care takes over responsibility for the patient. </w:t>
            </w:r>
          </w:p>
          <w:p w14:paraId="1AF05D79" w14:textId="77777777" w:rsidR="00AE694D" w:rsidRPr="00037B1D" w:rsidRDefault="00AE694D" w:rsidP="00D20FA4">
            <w:pPr>
              <w:ind w:right="827"/>
              <w:rPr>
                <w:sz w:val="20"/>
                <w:szCs w:val="20"/>
                <w:lang w:val="en-GB"/>
              </w:rPr>
            </w:pPr>
          </w:p>
        </w:tc>
        <w:tc>
          <w:tcPr>
            <w:tcW w:w="590" w:type="pct"/>
            <w:tcBorders>
              <w:top w:val="single" w:sz="4" w:space="0" w:color="auto"/>
              <w:left w:val="single" w:sz="4" w:space="0" w:color="auto"/>
              <w:bottom w:val="single" w:sz="4" w:space="0" w:color="auto"/>
              <w:right w:val="single" w:sz="4" w:space="0" w:color="auto"/>
            </w:tcBorders>
          </w:tcPr>
          <w:p w14:paraId="123EA627" w14:textId="77777777" w:rsidR="00AE694D" w:rsidRPr="00037B1D" w:rsidRDefault="00AE694D" w:rsidP="00D20FA4">
            <w:pPr>
              <w:rPr>
                <w:sz w:val="20"/>
                <w:szCs w:val="20"/>
                <w:lang w:val="en-GB"/>
              </w:rPr>
            </w:pPr>
            <w:r w:rsidRPr="00037B1D">
              <w:rPr>
                <w:sz w:val="20"/>
                <w:szCs w:val="20"/>
                <w:lang w:val="en-GB"/>
              </w:rPr>
              <w:t>5</w:t>
            </w:r>
          </w:p>
        </w:tc>
      </w:tr>
      <w:tr w:rsidR="00AE694D" w:rsidRPr="00037B1D" w14:paraId="0B37DDD9" w14:textId="77777777" w:rsidTr="00D20FA4">
        <w:tc>
          <w:tcPr>
            <w:tcW w:w="850" w:type="pct"/>
            <w:tcBorders>
              <w:top w:val="single" w:sz="4" w:space="0" w:color="auto"/>
              <w:left w:val="single" w:sz="4" w:space="0" w:color="auto"/>
              <w:bottom w:val="single" w:sz="4" w:space="0" w:color="auto"/>
              <w:right w:val="single" w:sz="4" w:space="0" w:color="auto"/>
            </w:tcBorders>
          </w:tcPr>
          <w:p w14:paraId="221C7FC4" w14:textId="77777777" w:rsidR="00AE694D" w:rsidRPr="00037B1D" w:rsidRDefault="00AE694D" w:rsidP="00D20FA4">
            <w:pPr>
              <w:pStyle w:val="ListParagraph"/>
              <w:ind w:left="0"/>
              <w:rPr>
                <w:rFonts w:asciiTheme="minorHAnsi" w:hAnsiTheme="minorHAnsi"/>
                <w:sz w:val="20"/>
                <w:szCs w:val="20"/>
                <w:lang w:val="en-GB"/>
              </w:rPr>
            </w:pPr>
            <w:r w:rsidRPr="00037B1D">
              <w:rPr>
                <w:rFonts w:asciiTheme="minorHAnsi" w:hAnsiTheme="minorHAnsi"/>
                <w:sz w:val="20"/>
                <w:szCs w:val="20"/>
                <w:lang w:val="en-GB"/>
              </w:rPr>
              <w:t xml:space="preserve">The system with “incentives and fines” hampers therapeutic principles </w:t>
            </w:r>
          </w:p>
          <w:p w14:paraId="3A5E50A7" w14:textId="77777777" w:rsidR="00AE694D" w:rsidRPr="00037B1D" w:rsidRDefault="00AE694D" w:rsidP="00D20FA4">
            <w:pPr>
              <w:rPr>
                <w:sz w:val="20"/>
                <w:szCs w:val="20"/>
                <w:lang w:val="en-GB"/>
              </w:rPr>
            </w:pPr>
          </w:p>
        </w:tc>
        <w:tc>
          <w:tcPr>
            <w:tcW w:w="1415" w:type="pct"/>
            <w:tcBorders>
              <w:top w:val="single" w:sz="4" w:space="0" w:color="auto"/>
              <w:left w:val="single" w:sz="4" w:space="0" w:color="auto"/>
              <w:bottom w:val="single" w:sz="4" w:space="0" w:color="auto"/>
              <w:right w:val="single" w:sz="4" w:space="0" w:color="auto"/>
            </w:tcBorders>
          </w:tcPr>
          <w:p w14:paraId="4F48F753" w14:textId="77777777" w:rsidR="00AE694D" w:rsidRPr="00037B1D" w:rsidRDefault="00AE694D" w:rsidP="00AE694D">
            <w:pPr>
              <w:pStyle w:val="ListParagraph"/>
              <w:numPr>
                <w:ilvl w:val="0"/>
                <w:numId w:val="2"/>
              </w:numPr>
              <w:ind w:left="176" w:hanging="142"/>
              <w:rPr>
                <w:rFonts w:asciiTheme="minorHAnsi" w:hAnsiTheme="minorHAnsi"/>
                <w:sz w:val="20"/>
                <w:szCs w:val="20"/>
                <w:lang w:val="en-GB"/>
              </w:rPr>
            </w:pPr>
            <w:r w:rsidRPr="00037B1D">
              <w:rPr>
                <w:rFonts w:asciiTheme="minorHAnsi" w:hAnsiTheme="minorHAnsi"/>
                <w:color w:val="000000"/>
                <w:sz w:val="20"/>
                <w:szCs w:val="20"/>
                <w:lang w:val="en-GB"/>
              </w:rPr>
              <w:t xml:space="preserve">It should be specified when a medicine is recommended due to economic reasons instead of therapeutic principles. Some physicians felt that the system with economic incentives and fines hampers the idea that that the Wise List is based on therapeutic principals. </w:t>
            </w:r>
          </w:p>
          <w:p w14:paraId="3D451121" w14:textId="77777777" w:rsidR="00AE694D" w:rsidRPr="00037B1D" w:rsidRDefault="00AE694D" w:rsidP="00D20FA4">
            <w:pPr>
              <w:rPr>
                <w:sz w:val="20"/>
                <w:szCs w:val="20"/>
                <w:lang w:val="en-GB"/>
              </w:rPr>
            </w:pPr>
          </w:p>
        </w:tc>
        <w:tc>
          <w:tcPr>
            <w:tcW w:w="2144" w:type="pct"/>
            <w:tcBorders>
              <w:top w:val="single" w:sz="4" w:space="0" w:color="auto"/>
              <w:left w:val="single" w:sz="4" w:space="0" w:color="auto"/>
              <w:bottom w:val="single" w:sz="4" w:space="0" w:color="auto"/>
              <w:right w:val="single" w:sz="4" w:space="0" w:color="auto"/>
            </w:tcBorders>
          </w:tcPr>
          <w:p w14:paraId="1DAF00FF" w14:textId="77777777" w:rsidR="00AE694D" w:rsidRPr="00037B1D" w:rsidRDefault="00AE694D" w:rsidP="00D20FA4">
            <w:pPr>
              <w:ind w:right="827"/>
              <w:rPr>
                <w:i/>
                <w:color w:val="000000"/>
                <w:sz w:val="20"/>
                <w:szCs w:val="20"/>
                <w:lang w:val="en-GB"/>
              </w:rPr>
            </w:pPr>
            <w:r w:rsidRPr="00037B1D">
              <w:rPr>
                <w:i/>
                <w:color w:val="000000"/>
                <w:sz w:val="20"/>
                <w:szCs w:val="20"/>
                <w:lang w:val="en-GB"/>
              </w:rPr>
              <w:t xml:space="preserve">“Fewer individual substance recommendations, more therapeutic principles, in cases when price is the only reason a substance has been selected this should be stated.” </w:t>
            </w:r>
          </w:p>
          <w:p w14:paraId="5DC60097" w14:textId="77777777" w:rsidR="00AE694D" w:rsidRPr="00037B1D" w:rsidRDefault="00AE694D" w:rsidP="00D20FA4">
            <w:pPr>
              <w:ind w:right="827"/>
              <w:rPr>
                <w:color w:val="000000"/>
                <w:sz w:val="20"/>
                <w:szCs w:val="20"/>
                <w:lang w:val="en-GB"/>
              </w:rPr>
            </w:pPr>
          </w:p>
        </w:tc>
        <w:tc>
          <w:tcPr>
            <w:tcW w:w="590" w:type="pct"/>
            <w:tcBorders>
              <w:top w:val="single" w:sz="4" w:space="0" w:color="auto"/>
              <w:left w:val="single" w:sz="4" w:space="0" w:color="auto"/>
              <w:bottom w:val="single" w:sz="4" w:space="0" w:color="auto"/>
              <w:right w:val="single" w:sz="4" w:space="0" w:color="auto"/>
            </w:tcBorders>
          </w:tcPr>
          <w:p w14:paraId="1011856A" w14:textId="77777777" w:rsidR="00AE694D" w:rsidRPr="00037B1D" w:rsidRDefault="00AE694D" w:rsidP="00D20FA4">
            <w:pPr>
              <w:rPr>
                <w:sz w:val="20"/>
                <w:szCs w:val="20"/>
                <w:lang w:val="en-GB"/>
              </w:rPr>
            </w:pPr>
            <w:r w:rsidRPr="00037B1D">
              <w:rPr>
                <w:sz w:val="20"/>
                <w:szCs w:val="20"/>
                <w:lang w:val="en-GB"/>
              </w:rPr>
              <w:t>4</w:t>
            </w:r>
          </w:p>
        </w:tc>
      </w:tr>
      <w:tr w:rsidR="00AE694D" w:rsidRPr="00037B1D" w14:paraId="5C4A1436" w14:textId="77777777" w:rsidTr="00D20FA4">
        <w:tc>
          <w:tcPr>
            <w:tcW w:w="850" w:type="pct"/>
            <w:tcBorders>
              <w:top w:val="single" w:sz="4" w:space="0" w:color="auto"/>
              <w:left w:val="single" w:sz="4" w:space="0" w:color="auto"/>
              <w:bottom w:val="single" w:sz="4" w:space="0" w:color="auto"/>
              <w:right w:val="single" w:sz="4" w:space="0" w:color="auto"/>
            </w:tcBorders>
          </w:tcPr>
          <w:p w14:paraId="794672FE" w14:textId="77777777" w:rsidR="00AE694D" w:rsidRPr="00037B1D" w:rsidRDefault="00AE694D" w:rsidP="00D20FA4">
            <w:pPr>
              <w:rPr>
                <w:sz w:val="20"/>
                <w:szCs w:val="20"/>
                <w:lang w:val="en-GB"/>
              </w:rPr>
            </w:pPr>
            <w:r w:rsidRPr="00037B1D">
              <w:rPr>
                <w:sz w:val="20"/>
                <w:szCs w:val="20"/>
                <w:lang w:val="en-GB"/>
              </w:rPr>
              <w:t xml:space="preserve">Herbal medicines </w:t>
            </w:r>
          </w:p>
          <w:p w14:paraId="1EB67E13" w14:textId="77777777" w:rsidR="00AE694D" w:rsidRPr="00037B1D" w:rsidRDefault="00AE694D" w:rsidP="00D20FA4">
            <w:pPr>
              <w:rPr>
                <w:sz w:val="20"/>
                <w:szCs w:val="20"/>
                <w:lang w:val="en-GB"/>
              </w:rPr>
            </w:pPr>
          </w:p>
        </w:tc>
        <w:tc>
          <w:tcPr>
            <w:tcW w:w="1415" w:type="pct"/>
            <w:tcBorders>
              <w:top w:val="single" w:sz="4" w:space="0" w:color="auto"/>
              <w:left w:val="single" w:sz="4" w:space="0" w:color="auto"/>
              <w:bottom w:val="single" w:sz="4" w:space="0" w:color="auto"/>
              <w:right w:val="single" w:sz="4" w:space="0" w:color="auto"/>
            </w:tcBorders>
          </w:tcPr>
          <w:p w14:paraId="5A0F65DC" w14:textId="77777777" w:rsidR="00AE694D" w:rsidRPr="00037B1D" w:rsidRDefault="00AE694D" w:rsidP="00AE694D">
            <w:pPr>
              <w:pStyle w:val="ListParagraph"/>
              <w:numPr>
                <w:ilvl w:val="0"/>
                <w:numId w:val="2"/>
              </w:numPr>
              <w:ind w:left="176" w:right="-51" w:hanging="142"/>
              <w:rPr>
                <w:rFonts w:asciiTheme="minorHAnsi" w:hAnsiTheme="minorHAnsi"/>
                <w:sz w:val="20"/>
                <w:szCs w:val="20"/>
                <w:lang w:val="en-GB"/>
              </w:rPr>
            </w:pPr>
            <w:r w:rsidRPr="00037B1D">
              <w:rPr>
                <w:rFonts w:asciiTheme="minorHAnsi" w:hAnsiTheme="minorHAnsi"/>
                <w:sz w:val="20"/>
                <w:szCs w:val="20"/>
                <w:lang w:val="en-GB"/>
              </w:rPr>
              <w:t xml:space="preserve">Include information on herbal medicines’ interactions with recommended medicines. </w:t>
            </w:r>
          </w:p>
        </w:tc>
        <w:tc>
          <w:tcPr>
            <w:tcW w:w="2144" w:type="pct"/>
            <w:tcBorders>
              <w:top w:val="single" w:sz="4" w:space="0" w:color="auto"/>
              <w:left w:val="single" w:sz="4" w:space="0" w:color="auto"/>
              <w:bottom w:val="single" w:sz="4" w:space="0" w:color="auto"/>
              <w:right w:val="single" w:sz="4" w:space="0" w:color="auto"/>
            </w:tcBorders>
          </w:tcPr>
          <w:p w14:paraId="1BC3834A" w14:textId="77777777" w:rsidR="00AE694D" w:rsidRPr="00037B1D" w:rsidRDefault="00AE694D" w:rsidP="00D20FA4">
            <w:pPr>
              <w:rPr>
                <w:sz w:val="20"/>
                <w:szCs w:val="20"/>
                <w:lang w:val="en-GB"/>
              </w:rPr>
            </w:pPr>
          </w:p>
        </w:tc>
        <w:tc>
          <w:tcPr>
            <w:tcW w:w="590" w:type="pct"/>
            <w:tcBorders>
              <w:top w:val="single" w:sz="4" w:space="0" w:color="auto"/>
              <w:left w:val="single" w:sz="4" w:space="0" w:color="auto"/>
              <w:bottom w:val="single" w:sz="4" w:space="0" w:color="auto"/>
              <w:right w:val="single" w:sz="4" w:space="0" w:color="auto"/>
            </w:tcBorders>
          </w:tcPr>
          <w:p w14:paraId="3690639B" w14:textId="77777777" w:rsidR="00AE694D" w:rsidRPr="00037B1D" w:rsidRDefault="00AE694D" w:rsidP="00D20FA4">
            <w:pPr>
              <w:rPr>
                <w:sz w:val="20"/>
                <w:szCs w:val="20"/>
                <w:lang w:val="en-GB"/>
              </w:rPr>
            </w:pPr>
            <w:r w:rsidRPr="00037B1D">
              <w:rPr>
                <w:sz w:val="20"/>
                <w:szCs w:val="20"/>
                <w:lang w:val="en-GB"/>
              </w:rPr>
              <w:t>3</w:t>
            </w:r>
          </w:p>
        </w:tc>
      </w:tr>
      <w:tr w:rsidR="00AE694D" w:rsidRPr="00037B1D" w14:paraId="17A9D1B9" w14:textId="77777777" w:rsidTr="00D20FA4">
        <w:tc>
          <w:tcPr>
            <w:tcW w:w="850" w:type="pct"/>
            <w:tcBorders>
              <w:top w:val="single" w:sz="4" w:space="0" w:color="auto"/>
              <w:left w:val="single" w:sz="4" w:space="0" w:color="auto"/>
              <w:bottom w:val="single" w:sz="4" w:space="0" w:color="auto"/>
              <w:right w:val="single" w:sz="4" w:space="0" w:color="auto"/>
            </w:tcBorders>
          </w:tcPr>
          <w:p w14:paraId="20F652D5" w14:textId="77777777" w:rsidR="00AE694D" w:rsidRPr="00037B1D" w:rsidRDefault="00AE694D" w:rsidP="00D20FA4">
            <w:pPr>
              <w:rPr>
                <w:sz w:val="20"/>
                <w:szCs w:val="20"/>
                <w:lang w:val="en-GB"/>
              </w:rPr>
            </w:pPr>
            <w:r w:rsidRPr="00037B1D">
              <w:rPr>
                <w:sz w:val="20"/>
                <w:szCs w:val="20"/>
                <w:lang w:val="en-GB"/>
              </w:rPr>
              <w:t>Devices for drug delivery and disease monitoring</w:t>
            </w:r>
          </w:p>
        </w:tc>
        <w:tc>
          <w:tcPr>
            <w:tcW w:w="1415" w:type="pct"/>
            <w:tcBorders>
              <w:top w:val="single" w:sz="4" w:space="0" w:color="auto"/>
              <w:left w:val="single" w:sz="4" w:space="0" w:color="auto"/>
              <w:bottom w:val="single" w:sz="4" w:space="0" w:color="auto"/>
              <w:right w:val="single" w:sz="4" w:space="0" w:color="auto"/>
            </w:tcBorders>
          </w:tcPr>
          <w:p w14:paraId="24D4687B" w14:textId="77777777" w:rsidR="00AE694D" w:rsidRPr="00037B1D" w:rsidRDefault="00AE694D" w:rsidP="00AE694D">
            <w:pPr>
              <w:pStyle w:val="ListParagraph"/>
              <w:numPr>
                <w:ilvl w:val="0"/>
                <w:numId w:val="2"/>
              </w:numPr>
              <w:ind w:left="176" w:right="56" w:hanging="142"/>
              <w:rPr>
                <w:rFonts w:asciiTheme="minorHAnsi" w:hAnsiTheme="minorHAnsi"/>
                <w:sz w:val="20"/>
                <w:szCs w:val="20"/>
                <w:lang w:val="en-GB"/>
              </w:rPr>
            </w:pPr>
            <w:r w:rsidRPr="00037B1D">
              <w:rPr>
                <w:rFonts w:asciiTheme="minorHAnsi" w:hAnsiTheme="minorHAnsi"/>
                <w:sz w:val="20"/>
                <w:szCs w:val="20"/>
                <w:lang w:val="en-GB"/>
              </w:rPr>
              <w:t>Include list of the drug delivery and diseas monitoring devices, such as nebulisers, injection tools, test sticks et., available for the patients.</w:t>
            </w:r>
          </w:p>
          <w:p w14:paraId="03B90BE2" w14:textId="77777777" w:rsidR="00AE694D" w:rsidRPr="00037B1D" w:rsidRDefault="00AE694D" w:rsidP="00D20FA4">
            <w:pPr>
              <w:rPr>
                <w:sz w:val="20"/>
                <w:szCs w:val="20"/>
                <w:lang w:val="en-GB"/>
              </w:rPr>
            </w:pPr>
          </w:p>
        </w:tc>
        <w:tc>
          <w:tcPr>
            <w:tcW w:w="2144" w:type="pct"/>
            <w:tcBorders>
              <w:top w:val="single" w:sz="4" w:space="0" w:color="auto"/>
              <w:left w:val="single" w:sz="4" w:space="0" w:color="auto"/>
              <w:bottom w:val="single" w:sz="4" w:space="0" w:color="auto"/>
              <w:right w:val="single" w:sz="4" w:space="0" w:color="auto"/>
            </w:tcBorders>
          </w:tcPr>
          <w:p w14:paraId="6D097E5E" w14:textId="77777777" w:rsidR="00AE694D" w:rsidRPr="00037B1D" w:rsidRDefault="00AE694D" w:rsidP="00D20FA4">
            <w:pPr>
              <w:rPr>
                <w:sz w:val="20"/>
                <w:szCs w:val="20"/>
                <w:lang w:val="en-GB"/>
              </w:rPr>
            </w:pPr>
          </w:p>
        </w:tc>
        <w:tc>
          <w:tcPr>
            <w:tcW w:w="590" w:type="pct"/>
            <w:tcBorders>
              <w:top w:val="single" w:sz="4" w:space="0" w:color="auto"/>
              <w:left w:val="single" w:sz="4" w:space="0" w:color="auto"/>
              <w:bottom w:val="single" w:sz="4" w:space="0" w:color="auto"/>
              <w:right w:val="single" w:sz="4" w:space="0" w:color="auto"/>
            </w:tcBorders>
          </w:tcPr>
          <w:p w14:paraId="2041CEDE" w14:textId="77777777" w:rsidR="00AE694D" w:rsidRPr="00037B1D" w:rsidRDefault="00AE694D" w:rsidP="00D20FA4">
            <w:pPr>
              <w:rPr>
                <w:sz w:val="20"/>
                <w:szCs w:val="20"/>
                <w:lang w:val="en-GB"/>
              </w:rPr>
            </w:pPr>
            <w:r w:rsidRPr="00037B1D">
              <w:rPr>
                <w:sz w:val="20"/>
                <w:szCs w:val="20"/>
                <w:lang w:val="en-GB"/>
              </w:rPr>
              <w:t>3</w:t>
            </w:r>
          </w:p>
        </w:tc>
      </w:tr>
    </w:tbl>
    <w:p w14:paraId="68DF6D16" w14:textId="77777777" w:rsidR="00AE694D" w:rsidRPr="00037B1D" w:rsidRDefault="00AE694D" w:rsidP="00AE694D">
      <w:pPr>
        <w:spacing w:after="0"/>
        <w:rPr>
          <w:rFonts w:ascii="Times New Roman" w:hAnsi="Times New Roman" w:cs="Times New Roman"/>
          <w:sz w:val="24"/>
          <w:szCs w:val="24"/>
          <w:lang w:val="en-GB"/>
        </w:rPr>
      </w:pPr>
      <w:r w:rsidRPr="00037B1D">
        <w:rPr>
          <w:rFonts w:ascii="Times New Roman" w:hAnsi="Times New Roman" w:cs="Times New Roman"/>
          <w:b/>
          <w:sz w:val="24"/>
          <w:szCs w:val="24"/>
          <w:lang w:val="en-GB"/>
        </w:rPr>
        <w:t>*</w:t>
      </w:r>
      <w:r w:rsidRPr="00037B1D">
        <w:rPr>
          <w:rFonts w:ascii="Times New Roman" w:hAnsi="Times New Roman" w:cs="Times New Roman"/>
          <w:sz w:val="24"/>
          <w:szCs w:val="24"/>
          <w:lang w:val="en-GB"/>
        </w:rPr>
        <w:t>this already exists in the web version of the Wise List, but does not seem to be known by all respondents.</w:t>
      </w:r>
    </w:p>
    <w:p w14:paraId="39DEC669" w14:textId="77777777" w:rsidR="00FD0A99" w:rsidRPr="00FD0A99" w:rsidRDefault="00FD0A99">
      <w:pPr>
        <w:rPr>
          <w:rFonts w:ascii="Times New Roman" w:hAnsi="Times New Roman" w:cs="Times New Roman"/>
          <w:sz w:val="24"/>
          <w:szCs w:val="24"/>
        </w:rPr>
      </w:pPr>
    </w:p>
    <w:p w14:paraId="7CD19F93" w14:textId="10E3CF2E" w:rsidR="00FD0A99" w:rsidRPr="00FD0A99" w:rsidRDefault="00FD0A99">
      <w:pPr>
        <w:rPr>
          <w:rFonts w:ascii="Times New Roman" w:hAnsi="Times New Roman" w:cs="Times New Roman"/>
          <w:sz w:val="24"/>
          <w:szCs w:val="24"/>
        </w:rPr>
      </w:pPr>
      <w:r w:rsidRPr="00FD0A99">
        <w:rPr>
          <w:rFonts w:ascii="Times New Roman" w:hAnsi="Times New Roman" w:cs="Times New Roman"/>
          <w:b/>
          <w:sz w:val="24"/>
          <w:szCs w:val="24"/>
        </w:rPr>
        <w:t>References</w:t>
      </w:r>
      <w:r w:rsidRPr="00FD0A99">
        <w:rPr>
          <w:rFonts w:ascii="Times New Roman" w:hAnsi="Times New Roman" w:cs="Times New Roman"/>
          <w:sz w:val="24"/>
          <w:szCs w:val="24"/>
        </w:rPr>
        <w:t>:</w:t>
      </w:r>
    </w:p>
    <w:p w14:paraId="52EFE18F" w14:textId="77777777" w:rsidR="00FD0A99" w:rsidRPr="00FD0A99" w:rsidRDefault="00FD0A99">
      <w:pPr>
        <w:rPr>
          <w:rFonts w:ascii="Times New Roman" w:hAnsi="Times New Roman" w:cs="Times New Roman"/>
          <w:sz w:val="24"/>
          <w:szCs w:val="24"/>
        </w:rPr>
      </w:pPr>
    </w:p>
    <w:p w14:paraId="31BDA74A" w14:textId="77777777" w:rsidR="00DB3C87" w:rsidRPr="00DB3C87" w:rsidRDefault="00FD0A99" w:rsidP="00DB3C87">
      <w:pPr>
        <w:pStyle w:val="EndNoteBibliography"/>
        <w:spacing w:after="0"/>
        <w:ind w:left="720" w:hanging="720"/>
        <w:rPr>
          <w:noProof/>
        </w:rPr>
      </w:pPr>
      <w:r w:rsidRPr="00FD0A99">
        <w:rPr>
          <w:rFonts w:ascii="Times New Roman" w:hAnsi="Times New Roman" w:cs="Times New Roman"/>
          <w:sz w:val="24"/>
          <w:szCs w:val="24"/>
        </w:rPr>
        <w:fldChar w:fldCharType="begin"/>
      </w:r>
      <w:r w:rsidRPr="00FD0A99">
        <w:rPr>
          <w:rFonts w:ascii="Times New Roman" w:hAnsi="Times New Roman" w:cs="Times New Roman"/>
          <w:sz w:val="24"/>
          <w:szCs w:val="24"/>
        </w:rPr>
        <w:instrText xml:space="preserve"> ADDIN EN.REFLIST </w:instrText>
      </w:r>
      <w:r w:rsidRPr="00FD0A99">
        <w:rPr>
          <w:rFonts w:ascii="Times New Roman" w:hAnsi="Times New Roman" w:cs="Times New Roman"/>
          <w:sz w:val="24"/>
          <w:szCs w:val="24"/>
        </w:rPr>
        <w:fldChar w:fldCharType="separate"/>
      </w:r>
      <w:r w:rsidR="00DB3C87" w:rsidRPr="00DB3C87">
        <w:rPr>
          <w:noProof/>
        </w:rPr>
        <w:t>1.</w:t>
      </w:r>
      <w:r w:rsidR="00DB3C87" w:rsidRPr="00DB3C87">
        <w:rPr>
          <w:noProof/>
        </w:rPr>
        <w:tab/>
        <w:t xml:space="preserve">Eriksen, J., et al., </w:t>
      </w:r>
      <w:r w:rsidR="00DB3C87" w:rsidRPr="00DB3C87">
        <w:rPr>
          <w:i/>
          <w:noProof/>
        </w:rPr>
        <w:t>High adherence to the 'Wise List' treatment recommendations in Stockholm: a 15-year retrospective review of a multifaceted approach promoting rational use of medicines.</w:t>
      </w:r>
      <w:r w:rsidR="00DB3C87" w:rsidRPr="00DB3C87">
        <w:rPr>
          <w:noProof/>
        </w:rPr>
        <w:t xml:space="preserve"> BMJ Open, 2017. </w:t>
      </w:r>
      <w:r w:rsidR="00DB3C87" w:rsidRPr="00DB3C87">
        <w:rPr>
          <w:b/>
          <w:noProof/>
        </w:rPr>
        <w:t>7</w:t>
      </w:r>
      <w:r w:rsidR="00DB3C87" w:rsidRPr="00DB3C87">
        <w:rPr>
          <w:noProof/>
        </w:rPr>
        <w:t>(4): p. e014345.</w:t>
      </w:r>
    </w:p>
    <w:p w14:paraId="7986F1DC" w14:textId="157D3E79" w:rsidR="00DB3C87" w:rsidRPr="00DB3C87" w:rsidRDefault="00DB3C87" w:rsidP="00DB3C87">
      <w:pPr>
        <w:pStyle w:val="EndNoteBibliography"/>
        <w:spacing w:after="0"/>
        <w:ind w:left="720" w:hanging="720"/>
        <w:rPr>
          <w:noProof/>
        </w:rPr>
      </w:pPr>
      <w:r w:rsidRPr="00DB3C87">
        <w:rPr>
          <w:noProof/>
        </w:rPr>
        <w:t>2.</w:t>
      </w:r>
      <w:r w:rsidRPr="00DB3C87">
        <w:rPr>
          <w:noProof/>
        </w:rPr>
        <w:tab/>
        <w:t xml:space="preserve">Stockholm County Counsil, D.T.C. </w:t>
      </w:r>
      <w:r w:rsidRPr="00DB3C87">
        <w:rPr>
          <w:i/>
          <w:noProof/>
        </w:rPr>
        <w:t>Jävspolicy för läkemedelskommittéorganisationen i Stockholms läns landsting (SLL)</w:t>
      </w:r>
      <w:r w:rsidRPr="00DB3C87">
        <w:rPr>
          <w:noProof/>
        </w:rPr>
        <w:t xml:space="preserve">. 2011  [cited 2016; Available from: </w:t>
      </w:r>
      <w:hyperlink r:id="rId7" w:history="1">
        <w:r w:rsidRPr="00DB3C87">
          <w:rPr>
            <w:rStyle w:val="Hyperlink"/>
            <w:rFonts w:asciiTheme="minorHAnsi" w:hAnsiTheme="minorHAnsi"/>
            <w:noProof/>
          </w:rPr>
          <w:t>http://www.janusinfo.se/Global/SLK/javspolicy_slk_2011_2.pdf</w:t>
        </w:r>
      </w:hyperlink>
      <w:r w:rsidRPr="00DB3C87">
        <w:rPr>
          <w:noProof/>
        </w:rPr>
        <w:t>.</w:t>
      </w:r>
    </w:p>
    <w:p w14:paraId="347870B3" w14:textId="77777777" w:rsidR="00DB3C87" w:rsidRPr="00DB3C87" w:rsidRDefault="00DB3C87" w:rsidP="00DB3C87">
      <w:pPr>
        <w:pStyle w:val="EndNoteBibliography"/>
        <w:spacing w:after="0"/>
        <w:ind w:left="720" w:hanging="720"/>
        <w:rPr>
          <w:noProof/>
        </w:rPr>
      </w:pPr>
      <w:r w:rsidRPr="00DB3C87">
        <w:rPr>
          <w:noProof/>
        </w:rPr>
        <w:t>3.</w:t>
      </w:r>
      <w:r w:rsidRPr="00DB3C87">
        <w:rPr>
          <w:noProof/>
        </w:rPr>
        <w:tab/>
        <w:t xml:space="preserve">Gustafsson, L.L., et al., </w:t>
      </w:r>
      <w:r w:rsidRPr="00DB3C87">
        <w:rPr>
          <w:i/>
          <w:noProof/>
        </w:rPr>
        <w:t>The 'wise list'- a comprehensive concept to select, communicate and achieve adherence to recommendations of essential drugs in ambulatory care in Stockholm.</w:t>
      </w:r>
      <w:r w:rsidRPr="00DB3C87">
        <w:rPr>
          <w:noProof/>
        </w:rPr>
        <w:t xml:space="preserve"> Basic Clin Pharmacol Toxicol, 2011. </w:t>
      </w:r>
      <w:r w:rsidRPr="00DB3C87">
        <w:rPr>
          <w:b/>
          <w:noProof/>
        </w:rPr>
        <w:t>108</w:t>
      </w:r>
      <w:r w:rsidRPr="00DB3C87">
        <w:rPr>
          <w:noProof/>
        </w:rPr>
        <w:t>(4): p. 224-33.</w:t>
      </w:r>
    </w:p>
    <w:p w14:paraId="0321BCA5" w14:textId="77777777" w:rsidR="00DB3C87" w:rsidRPr="00DB3C87" w:rsidRDefault="00DB3C87" w:rsidP="00DB3C87">
      <w:pPr>
        <w:pStyle w:val="EndNoteBibliography"/>
        <w:spacing w:after="0"/>
        <w:ind w:left="720" w:hanging="720"/>
        <w:rPr>
          <w:noProof/>
        </w:rPr>
      </w:pPr>
      <w:r w:rsidRPr="00DB3C87">
        <w:rPr>
          <w:noProof/>
        </w:rPr>
        <w:t>4.</w:t>
      </w:r>
      <w:r w:rsidRPr="00DB3C87">
        <w:rPr>
          <w:noProof/>
        </w:rPr>
        <w:tab/>
        <w:t xml:space="preserve">Bjorkhem-Bergman, L., et al., </w:t>
      </w:r>
      <w:r w:rsidRPr="00DB3C87">
        <w:rPr>
          <w:i/>
          <w:noProof/>
        </w:rPr>
        <w:t>Interface management of pharmacotherapy. Joint hospital and primary care drug recommendations.</w:t>
      </w:r>
      <w:r w:rsidRPr="00DB3C87">
        <w:rPr>
          <w:noProof/>
        </w:rPr>
        <w:t xml:space="preserve"> Eur J Clin Pharmacol, 2013. </w:t>
      </w:r>
      <w:r w:rsidRPr="00DB3C87">
        <w:rPr>
          <w:b/>
          <w:noProof/>
        </w:rPr>
        <w:t>69 Suppl 1</w:t>
      </w:r>
      <w:r w:rsidRPr="00DB3C87">
        <w:rPr>
          <w:noProof/>
        </w:rPr>
        <w:t>: p. 73-8.</w:t>
      </w:r>
    </w:p>
    <w:p w14:paraId="26EFB243" w14:textId="77777777" w:rsidR="00DB3C87" w:rsidRPr="00DB3C87" w:rsidRDefault="00DB3C87" w:rsidP="00DB3C87">
      <w:pPr>
        <w:pStyle w:val="EndNoteBibliography"/>
        <w:spacing w:after="0"/>
        <w:ind w:left="720" w:hanging="720"/>
        <w:rPr>
          <w:noProof/>
        </w:rPr>
      </w:pPr>
      <w:r w:rsidRPr="00DB3C87">
        <w:rPr>
          <w:noProof/>
        </w:rPr>
        <w:t>5.</w:t>
      </w:r>
      <w:r w:rsidRPr="00DB3C87">
        <w:rPr>
          <w:noProof/>
        </w:rPr>
        <w:tab/>
        <w:t xml:space="preserve">Peytchev, A., et al., </w:t>
      </w:r>
      <w:r w:rsidRPr="00DB3C87">
        <w:rPr>
          <w:i/>
          <w:noProof/>
        </w:rPr>
        <w:t>Web survey design: Paging versus scrolling.</w:t>
      </w:r>
      <w:r w:rsidRPr="00DB3C87">
        <w:rPr>
          <w:noProof/>
        </w:rPr>
        <w:t xml:space="preserve"> Public Opinion Quarterly, 2006. </w:t>
      </w:r>
      <w:r w:rsidRPr="00DB3C87">
        <w:rPr>
          <w:b/>
          <w:noProof/>
        </w:rPr>
        <w:t>70</w:t>
      </w:r>
      <w:r w:rsidRPr="00DB3C87">
        <w:rPr>
          <w:noProof/>
        </w:rPr>
        <w:t>(4): p. 596-607.</w:t>
      </w:r>
    </w:p>
    <w:p w14:paraId="6B530DBC" w14:textId="77777777" w:rsidR="00DB3C87" w:rsidRPr="00DB3C87" w:rsidRDefault="00DB3C87" w:rsidP="00DB3C87">
      <w:pPr>
        <w:pStyle w:val="EndNoteBibliography"/>
        <w:ind w:left="720" w:hanging="720"/>
        <w:rPr>
          <w:noProof/>
        </w:rPr>
      </w:pPr>
      <w:r w:rsidRPr="00DB3C87">
        <w:rPr>
          <w:noProof/>
        </w:rPr>
        <w:t>6.</w:t>
      </w:r>
      <w:r w:rsidRPr="00DB3C87">
        <w:rPr>
          <w:noProof/>
        </w:rPr>
        <w:tab/>
        <w:t xml:space="preserve">Patton, M.Q., </w:t>
      </w:r>
      <w:r w:rsidRPr="00DB3C87">
        <w:rPr>
          <w:i/>
          <w:noProof/>
        </w:rPr>
        <w:t>Qualitative Research and Evaluation Methods</w:t>
      </w:r>
      <w:r w:rsidRPr="00DB3C87">
        <w:rPr>
          <w:noProof/>
        </w:rPr>
        <w:t>. 3rd edition ed. 2002, Thousand Oaks, California: Sage Publications.</w:t>
      </w:r>
    </w:p>
    <w:p w14:paraId="07DB7FCE" w14:textId="2DF356BB" w:rsidR="00337D93" w:rsidRDefault="00FD0A99">
      <w:r w:rsidRPr="00FD0A99">
        <w:rPr>
          <w:rFonts w:ascii="Times New Roman" w:hAnsi="Times New Roman" w:cs="Times New Roman"/>
          <w:sz w:val="24"/>
          <w:szCs w:val="24"/>
        </w:rPr>
        <w:fldChar w:fldCharType="end"/>
      </w:r>
    </w:p>
    <w:sectPr w:rsidR="00337D93" w:rsidSect="00C262F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F42248"/>
    <w:multiLevelType w:val="hybridMultilevel"/>
    <w:tmpl w:val="DA0691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7F53DC6"/>
    <w:multiLevelType w:val="hybridMultilevel"/>
    <w:tmpl w:val="71624982"/>
    <w:lvl w:ilvl="0" w:tplc="F7563E82">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visionView w:markup="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0f9v5wuw2tr4ed9t5vt9pn5tedextvrftr&quot;&gt;PhD&lt;record-ids&gt;&lt;item&gt;1701&lt;/item&gt;&lt;item&gt;1721&lt;/item&gt;&lt;item&gt;2659&lt;/item&gt;&lt;item&gt;3054&lt;/item&gt;&lt;item&gt;3059&lt;/item&gt;&lt;item&gt;3182&lt;/item&gt;&lt;/record-ids&gt;&lt;/item&gt;&lt;/Libraries&gt;"/>
  </w:docVars>
  <w:rsids>
    <w:rsidRoot w:val="00EB5A12"/>
    <w:rsid w:val="000018A4"/>
    <w:rsid w:val="00003AB7"/>
    <w:rsid w:val="00010A3F"/>
    <w:rsid w:val="000143E2"/>
    <w:rsid w:val="00014855"/>
    <w:rsid w:val="0001727E"/>
    <w:rsid w:val="00024B5F"/>
    <w:rsid w:val="00033FF2"/>
    <w:rsid w:val="00035AD3"/>
    <w:rsid w:val="00037C59"/>
    <w:rsid w:val="000410C6"/>
    <w:rsid w:val="000457BD"/>
    <w:rsid w:val="00051EDE"/>
    <w:rsid w:val="00054689"/>
    <w:rsid w:val="000645A8"/>
    <w:rsid w:val="00094665"/>
    <w:rsid w:val="000958DE"/>
    <w:rsid w:val="000A1EC3"/>
    <w:rsid w:val="000A4271"/>
    <w:rsid w:val="000D6036"/>
    <w:rsid w:val="000D7B13"/>
    <w:rsid w:val="000E1B31"/>
    <w:rsid w:val="000E2665"/>
    <w:rsid w:val="000F28F5"/>
    <w:rsid w:val="000F7E54"/>
    <w:rsid w:val="0010023F"/>
    <w:rsid w:val="00105A67"/>
    <w:rsid w:val="00115C2A"/>
    <w:rsid w:val="00116478"/>
    <w:rsid w:val="001166BB"/>
    <w:rsid w:val="00123457"/>
    <w:rsid w:val="00135F24"/>
    <w:rsid w:val="00142178"/>
    <w:rsid w:val="00145C6F"/>
    <w:rsid w:val="00153035"/>
    <w:rsid w:val="0015449D"/>
    <w:rsid w:val="00155308"/>
    <w:rsid w:val="00157795"/>
    <w:rsid w:val="0016331D"/>
    <w:rsid w:val="00167BAC"/>
    <w:rsid w:val="00176A49"/>
    <w:rsid w:val="001773F5"/>
    <w:rsid w:val="00186092"/>
    <w:rsid w:val="001919DC"/>
    <w:rsid w:val="001A5C3D"/>
    <w:rsid w:val="001B1302"/>
    <w:rsid w:val="001B2ED6"/>
    <w:rsid w:val="001B7BE1"/>
    <w:rsid w:val="001D24F1"/>
    <w:rsid w:val="001E2464"/>
    <w:rsid w:val="001F25AC"/>
    <w:rsid w:val="001F4EF6"/>
    <w:rsid w:val="001F52B9"/>
    <w:rsid w:val="001F7033"/>
    <w:rsid w:val="0020482C"/>
    <w:rsid w:val="00205911"/>
    <w:rsid w:val="002079B2"/>
    <w:rsid w:val="00215794"/>
    <w:rsid w:val="00220B87"/>
    <w:rsid w:val="0023364A"/>
    <w:rsid w:val="00234663"/>
    <w:rsid w:val="0023583F"/>
    <w:rsid w:val="00240AE2"/>
    <w:rsid w:val="002510AE"/>
    <w:rsid w:val="002531EA"/>
    <w:rsid w:val="002538D0"/>
    <w:rsid w:val="002554BA"/>
    <w:rsid w:val="00276D64"/>
    <w:rsid w:val="00284572"/>
    <w:rsid w:val="00284693"/>
    <w:rsid w:val="0028645A"/>
    <w:rsid w:val="00291970"/>
    <w:rsid w:val="002A571A"/>
    <w:rsid w:val="002B6AD9"/>
    <w:rsid w:val="002B6D5E"/>
    <w:rsid w:val="002C1631"/>
    <w:rsid w:val="002C18E8"/>
    <w:rsid w:val="002C30E6"/>
    <w:rsid w:val="002C3BC8"/>
    <w:rsid w:val="002D2285"/>
    <w:rsid w:val="002E0CF3"/>
    <w:rsid w:val="002E55A5"/>
    <w:rsid w:val="002F10DB"/>
    <w:rsid w:val="00301401"/>
    <w:rsid w:val="003054AF"/>
    <w:rsid w:val="00315652"/>
    <w:rsid w:val="00327EF8"/>
    <w:rsid w:val="00330540"/>
    <w:rsid w:val="003340C7"/>
    <w:rsid w:val="00337D93"/>
    <w:rsid w:val="00340039"/>
    <w:rsid w:val="00340B98"/>
    <w:rsid w:val="003467F8"/>
    <w:rsid w:val="0034701A"/>
    <w:rsid w:val="0036470A"/>
    <w:rsid w:val="00376320"/>
    <w:rsid w:val="00390986"/>
    <w:rsid w:val="003960C6"/>
    <w:rsid w:val="003A1DBF"/>
    <w:rsid w:val="003A51FF"/>
    <w:rsid w:val="003A7725"/>
    <w:rsid w:val="003B28B2"/>
    <w:rsid w:val="003B37D3"/>
    <w:rsid w:val="003B6F4A"/>
    <w:rsid w:val="003D2726"/>
    <w:rsid w:val="003D31CC"/>
    <w:rsid w:val="003E33DC"/>
    <w:rsid w:val="003E583F"/>
    <w:rsid w:val="003E7B06"/>
    <w:rsid w:val="003F3664"/>
    <w:rsid w:val="00406B98"/>
    <w:rsid w:val="00422EB2"/>
    <w:rsid w:val="00433556"/>
    <w:rsid w:val="0045421E"/>
    <w:rsid w:val="00455AFA"/>
    <w:rsid w:val="0046474A"/>
    <w:rsid w:val="00480A97"/>
    <w:rsid w:val="00483F20"/>
    <w:rsid w:val="00485DBF"/>
    <w:rsid w:val="004946F5"/>
    <w:rsid w:val="004A59B1"/>
    <w:rsid w:val="004A5AB7"/>
    <w:rsid w:val="004B4AF1"/>
    <w:rsid w:val="004B617D"/>
    <w:rsid w:val="004B791D"/>
    <w:rsid w:val="004C0647"/>
    <w:rsid w:val="004C23C7"/>
    <w:rsid w:val="004C6635"/>
    <w:rsid w:val="004D47B0"/>
    <w:rsid w:val="004D585A"/>
    <w:rsid w:val="004D6F22"/>
    <w:rsid w:val="004F0CBB"/>
    <w:rsid w:val="004F2B3A"/>
    <w:rsid w:val="004F3124"/>
    <w:rsid w:val="004F736E"/>
    <w:rsid w:val="004F739D"/>
    <w:rsid w:val="00500A50"/>
    <w:rsid w:val="00506974"/>
    <w:rsid w:val="00513C37"/>
    <w:rsid w:val="00513D8B"/>
    <w:rsid w:val="00521559"/>
    <w:rsid w:val="00523EBA"/>
    <w:rsid w:val="005325C8"/>
    <w:rsid w:val="0053325D"/>
    <w:rsid w:val="00541949"/>
    <w:rsid w:val="00545BC4"/>
    <w:rsid w:val="0056011F"/>
    <w:rsid w:val="00562152"/>
    <w:rsid w:val="0056365B"/>
    <w:rsid w:val="00571072"/>
    <w:rsid w:val="005715DE"/>
    <w:rsid w:val="005762DC"/>
    <w:rsid w:val="00580067"/>
    <w:rsid w:val="005842C2"/>
    <w:rsid w:val="005B2532"/>
    <w:rsid w:val="005B6686"/>
    <w:rsid w:val="005C0978"/>
    <w:rsid w:val="005E3477"/>
    <w:rsid w:val="005E434A"/>
    <w:rsid w:val="005F6E91"/>
    <w:rsid w:val="00601A47"/>
    <w:rsid w:val="006021DF"/>
    <w:rsid w:val="00603C00"/>
    <w:rsid w:val="00604348"/>
    <w:rsid w:val="00604614"/>
    <w:rsid w:val="00606046"/>
    <w:rsid w:val="00611391"/>
    <w:rsid w:val="00613D03"/>
    <w:rsid w:val="006174AA"/>
    <w:rsid w:val="00624EB9"/>
    <w:rsid w:val="00631964"/>
    <w:rsid w:val="00650F43"/>
    <w:rsid w:val="00657BA7"/>
    <w:rsid w:val="00670C29"/>
    <w:rsid w:val="00684DAB"/>
    <w:rsid w:val="0069104F"/>
    <w:rsid w:val="006978D8"/>
    <w:rsid w:val="006A01C9"/>
    <w:rsid w:val="006A631A"/>
    <w:rsid w:val="006B47B7"/>
    <w:rsid w:val="006B605D"/>
    <w:rsid w:val="006C3674"/>
    <w:rsid w:val="006C6118"/>
    <w:rsid w:val="006D452B"/>
    <w:rsid w:val="006F2594"/>
    <w:rsid w:val="00700986"/>
    <w:rsid w:val="007115B4"/>
    <w:rsid w:val="00715F1D"/>
    <w:rsid w:val="00722722"/>
    <w:rsid w:val="0073033A"/>
    <w:rsid w:val="007305E1"/>
    <w:rsid w:val="0073668E"/>
    <w:rsid w:val="007665A0"/>
    <w:rsid w:val="007746C0"/>
    <w:rsid w:val="00792AA6"/>
    <w:rsid w:val="007A2183"/>
    <w:rsid w:val="007A6C6D"/>
    <w:rsid w:val="007E2C39"/>
    <w:rsid w:val="007E32B0"/>
    <w:rsid w:val="007F3032"/>
    <w:rsid w:val="007F3316"/>
    <w:rsid w:val="0081155F"/>
    <w:rsid w:val="008123BA"/>
    <w:rsid w:val="00812463"/>
    <w:rsid w:val="00824668"/>
    <w:rsid w:val="00832951"/>
    <w:rsid w:val="0085176D"/>
    <w:rsid w:val="00852FF4"/>
    <w:rsid w:val="00855044"/>
    <w:rsid w:val="00862FB2"/>
    <w:rsid w:val="00877582"/>
    <w:rsid w:val="00884E8D"/>
    <w:rsid w:val="00885349"/>
    <w:rsid w:val="008876E5"/>
    <w:rsid w:val="00895CB8"/>
    <w:rsid w:val="0089709A"/>
    <w:rsid w:val="008A7445"/>
    <w:rsid w:val="008C0CFE"/>
    <w:rsid w:val="008C26AF"/>
    <w:rsid w:val="008E2E94"/>
    <w:rsid w:val="008E493B"/>
    <w:rsid w:val="008E768C"/>
    <w:rsid w:val="008F7112"/>
    <w:rsid w:val="0091549D"/>
    <w:rsid w:val="00931EED"/>
    <w:rsid w:val="009321D0"/>
    <w:rsid w:val="0093371B"/>
    <w:rsid w:val="00935E08"/>
    <w:rsid w:val="00940E34"/>
    <w:rsid w:val="009451C5"/>
    <w:rsid w:val="009505F4"/>
    <w:rsid w:val="00956B52"/>
    <w:rsid w:val="0097063F"/>
    <w:rsid w:val="0097507C"/>
    <w:rsid w:val="009754BC"/>
    <w:rsid w:val="009804A7"/>
    <w:rsid w:val="0098603F"/>
    <w:rsid w:val="009A2D81"/>
    <w:rsid w:val="009A532D"/>
    <w:rsid w:val="009A7B50"/>
    <w:rsid w:val="009B1D50"/>
    <w:rsid w:val="009B6C56"/>
    <w:rsid w:val="009C4C1B"/>
    <w:rsid w:val="009D2DB1"/>
    <w:rsid w:val="009D3F0B"/>
    <w:rsid w:val="009D4DF3"/>
    <w:rsid w:val="009E0870"/>
    <w:rsid w:val="009E477B"/>
    <w:rsid w:val="009F7630"/>
    <w:rsid w:val="00A05809"/>
    <w:rsid w:val="00A0672C"/>
    <w:rsid w:val="00A06800"/>
    <w:rsid w:val="00A102DD"/>
    <w:rsid w:val="00A1077B"/>
    <w:rsid w:val="00A16840"/>
    <w:rsid w:val="00A22070"/>
    <w:rsid w:val="00A260CB"/>
    <w:rsid w:val="00A27162"/>
    <w:rsid w:val="00A32DE5"/>
    <w:rsid w:val="00A339C3"/>
    <w:rsid w:val="00A33E23"/>
    <w:rsid w:val="00A53023"/>
    <w:rsid w:val="00A60F16"/>
    <w:rsid w:val="00A6580F"/>
    <w:rsid w:val="00A65F9E"/>
    <w:rsid w:val="00A6678E"/>
    <w:rsid w:val="00A704AC"/>
    <w:rsid w:val="00A7654C"/>
    <w:rsid w:val="00A775A2"/>
    <w:rsid w:val="00A82261"/>
    <w:rsid w:val="00A90062"/>
    <w:rsid w:val="00AA1F26"/>
    <w:rsid w:val="00AA2FC6"/>
    <w:rsid w:val="00AB15D7"/>
    <w:rsid w:val="00AB75B8"/>
    <w:rsid w:val="00AC6B06"/>
    <w:rsid w:val="00AE6103"/>
    <w:rsid w:val="00AE694D"/>
    <w:rsid w:val="00AF4853"/>
    <w:rsid w:val="00B04397"/>
    <w:rsid w:val="00B10769"/>
    <w:rsid w:val="00B10FEE"/>
    <w:rsid w:val="00B31729"/>
    <w:rsid w:val="00B33DE7"/>
    <w:rsid w:val="00B42649"/>
    <w:rsid w:val="00B43C51"/>
    <w:rsid w:val="00B4595E"/>
    <w:rsid w:val="00B551FF"/>
    <w:rsid w:val="00B5649D"/>
    <w:rsid w:val="00B65B59"/>
    <w:rsid w:val="00B7078F"/>
    <w:rsid w:val="00B773D3"/>
    <w:rsid w:val="00B81E42"/>
    <w:rsid w:val="00B84D47"/>
    <w:rsid w:val="00B86D15"/>
    <w:rsid w:val="00B87D0F"/>
    <w:rsid w:val="00BA141D"/>
    <w:rsid w:val="00BA1471"/>
    <w:rsid w:val="00BA6553"/>
    <w:rsid w:val="00BB39EA"/>
    <w:rsid w:val="00BB6095"/>
    <w:rsid w:val="00BB6E4D"/>
    <w:rsid w:val="00BD53BE"/>
    <w:rsid w:val="00BE300D"/>
    <w:rsid w:val="00BE4EE4"/>
    <w:rsid w:val="00BE56DD"/>
    <w:rsid w:val="00BE5F9B"/>
    <w:rsid w:val="00C150E0"/>
    <w:rsid w:val="00C262FC"/>
    <w:rsid w:val="00C27E79"/>
    <w:rsid w:val="00C345B9"/>
    <w:rsid w:val="00C3548A"/>
    <w:rsid w:val="00C42372"/>
    <w:rsid w:val="00C5135A"/>
    <w:rsid w:val="00C66D0A"/>
    <w:rsid w:val="00C73E85"/>
    <w:rsid w:val="00C76631"/>
    <w:rsid w:val="00C76DAC"/>
    <w:rsid w:val="00CA3181"/>
    <w:rsid w:val="00CA6906"/>
    <w:rsid w:val="00CC0242"/>
    <w:rsid w:val="00CC3ABE"/>
    <w:rsid w:val="00CC4882"/>
    <w:rsid w:val="00CD3DCE"/>
    <w:rsid w:val="00CE09E0"/>
    <w:rsid w:val="00CE29FE"/>
    <w:rsid w:val="00CE4044"/>
    <w:rsid w:val="00CF02CD"/>
    <w:rsid w:val="00CF3760"/>
    <w:rsid w:val="00D004DD"/>
    <w:rsid w:val="00D05334"/>
    <w:rsid w:val="00D07ABA"/>
    <w:rsid w:val="00D2729C"/>
    <w:rsid w:val="00D312D6"/>
    <w:rsid w:val="00D4150F"/>
    <w:rsid w:val="00D673F8"/>
    <w:rsid w:val="00D70B30"/>
    <w:rsid w:val="00D76F7D"/>
    <w:rsid w:val="00D81D62"/>
    <w:rsid w:val="00D81ED0"/>
    <w:rsid w:val="00D83007"/>
    <w:rsid w:val="00D86D1D"/>
    <w:rsid w:val="00D94F16"/>
    <w:rsid w:val="00D9551F"/>
    <w:rsid w:val="00DA5BC8"/>
    <w:rsid w:val="00DA77AB"/>
    <w:rsid w:val="00DB145E"/>
    <w:rsid w:val="00DB2FD0"/>
    <w:rsid w:val="00DB3C87"/>
    <w:rsid w:val="00DC74FA"/>
    <w:rsid w:val="00DD2DDF"/>
    <w:rsid w:val="00DD7F96"/>
    <w:rsid w:val="00DE3349"/>
    <w:rsid w:val="00DF00C5"/>
    <w:rsid w:val="00DF2094"/>
    <w:rsid w:val="00DF5B55"/>
    <w:rsid w:val="00E0455F"/>
    <w:rsid w:val="00E0703C"/>
    <w:rsid w:val="00E12986"/>
    <w:rsid w:val="00E15084"/>
    <w:rsid w:val="00E158B2"/>
    <w:rsid w:val="00E2083F"/>
    <w:rsid w:val="00E20858"/>
    <w:rsid w:val="00E2259D"/>
    <w:rsid w:val="00E30F9A"/>
    <w:rsid w:val="00E337C5"/>
    <w:rsid w:val="00E43C75"/>
    <w:rsid w:val="00E43E3B"/>
    <w:rsid w:val="00E53626"/>
    <w:rsid w:val="00E56F5B"/>
    <w:rsid w:val="00E601F0"/>
    <w:rsid w:val="00E75AB7"/>
    <w:rsid w:val="00E800F5"/>
    <w:rsid w:val="00E95E26"/>
    <w:rsid w:val="00EB5A12"/>
    <w:rsid w:val="00EC0B85"/>
    <w:rsid w:val="00EC6059"/>
    <w:rsid w:val="00EC68D6"/>
    <w:rsid w:val="00EC6CA6"/>
    <w:rsid w:val="00ED2A11"/>
    <w:rsid w:val="00ED3965"/>
    <w:rsid w:val="00ED39F0"/>
    <w:rsid w:val="00EE183E"/>
    <w:rsid w:val="00EE7544"/>
    <w:rsid w:val="00EF4BCD"/>
    <w:rsid w:val="00F05BCC"/>
    <w:rsid w:val="00F23455"/>
    <w:rsid w:val="00F24E23"/>
    <w:rsid w:val="00F42FCE"/>
    <w:rsid w:val="00F449FF"/>
    <w:rsid w:val="00F46DCD"/>
    <w:rsid w:val="00F5195C"/>
    <w:rsid w:val="00F5249B"/>
    <w:rsid w:val="00F63F5D"/>
    <w:rsid w:val="00F72322"/>
    <w:rsid w:val="00F72D94"/>
    <w:rsid w:val="00F74197"/>
    <w:rsid w:val="00F75572"/>
    <w:rsid w:val="00F83AB1"/>
    <w:rsid w:val="00F90A2A"/>
    <w:rsid w:val="00FA4AAE"/>
    <w:rsid w:val="00FA6692"/>
    <w:rsid w:val="00FB5989"/>
    <w:rsid w:val="00FD0A99"/>
    <w:rsid w:val="00FD36AE"/>
    <w:rsid w:val="00FD7967"/>
    <w:rsid w:val="00FD7DA0"/>
    <w:rsid w:val="00FE5155"/>
    <w:rsid w:val="00FF5AA0"/>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EC04F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A12"/>
    <w:pPr>
      <w:spacing w:after="200" w:line="276" w:lineRule="auto"/>
    </w:pPr>
    <w:rPr>
      <w:rFonts w:eastAsiaTheme="minorEastAsia"/>
      <w:sz w:val="22"/>
      <w:szCs w:val="22"/>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A12"/>
    <w:rPr>
      <w:color w:val="0563C1" w:themeColor="hyperlink"/>
      <w:u w:val="single"/>
    </w:rPr>
  </w:style>
  <w:style w:type="paragraph" w:customStyle="1" w:styleId="EndNoteBibliographyTitle">
    <w:name w:val="EndNote Bibliography Title"/>
    <w:basedOn w:val="Normal"/>
    <w:rsid w:val="00FD0A99"/>
    <w:pPr>
      <w:spacing w:after="0"/>
      <w:jc w:val="center"/>
    </w:pPr>
    <w:rPr>
      <w:rFonts w:ascii="Calibri" w:hAnsi="Calibri"/>
    </w:rPr>
  </w:style>
  <w:style w:type="paragraph" w:customStyle="1" w:styleId="EndNoteBibliography">
    <w:name w:val="EndNote Bibliography"/>
    <w:basedOn w:val="Normal"/>
    <w:rsid w:val="00FD0A99"/>
    <w:pPr>
      <w:spacing w:line="240" w:lineRule="auto"/>
    </w:pPr>
    <w:rPr>
      <w:rFonts w:ascii="Calibri" w:hAnsi="Calibri"/>
    </w:rPr>
  </w:style>
  <w:style w:type="paragraph" w:styleId="ListParagraph">
    <w:name w:val="List Paragraph"/>
    <w:basedOn w:val="Normal"/>
    <w:uiPriority w:val="34"/>
    <w:qFormat/>
    <w:rsid w:val="00DB3C87"/>
    <w:pPr>
      <w:spacing w:after="0" w:line="240" w:lineRule="auto"/>
      <w:ind w:left="720"/>
    </w:pPr>
    <w:rPr>
      <w:rFonts w:ascii="Calibri" w:hAnsi="Calibri" w:cs="Times New Roman"/>
    </w:rPr>
  </w:style>
  <w:style w:type="table" w:styleId="TableGrid">
    <w:name w:val="Table Grid"/>
    <w:basedOn w:val="TableNormal"/>
    <w:uiPriority w:val="59"/>
    <w:rsid w:val="00AE694D"/>
    <w:rPr>
      <w:sz w:val="22"/>
      <w:szCs w:val="22"/>
      <w:lang w:val="sv-S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asyresearch.se" TargetMode="External"/><Relationship Id="rId6" Type="http://schemas.openxmlformats.org/officeDocument/2006/relationships/hyperlink" Target="http://www.easyresearch.se" TargetMode="External"/><Relationship Id="rId7" Type="http://schemas.openxmlformats.org/officeDocument/2006/relationships/hyperlink" Target="http://www.janusinfo.se/Global/SLK/javspolicy_slk_2011_2.pdf"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1751</Words>
  <Characters>9981</Characters>
  <Application>Microsoft Macintosh Word</Application>
  <DocSecurity>0</DocSecurity>
  <Lines>83</Lines>
  <Paragraphs>23</Paragraphs>
  <ScaleCrop>false</ScaleCrop>
  <LinksUpToDate>false</LinksUpToDate>
  <CharactersWithSpaces>11709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2017-09-23T09:01:00Z</dcterms:created>
  <dcterms:modified xsi:type="dcterms:W3CDTF">2017-09-23T13:25:00Z</dcterms:modified>
</cp:coreProperties>
</file>