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A84D0" w14:textId="79C8D0B1" w:rsidR="00667340" w:rsidRDefault="00667340" w:rsidP="00667340">
      <w:r>
        <w:t xml:space="preserve">Supplementary Table 1: Prescribing of secondary preventative cardiovascular </w:t>
      </w:r>
      <w:r w:rsidR="003E16E1">
        <w:t>pharmacotherapies</w:t>
      </w:r>
      <w:r>
        <w:t xml:space="preserve"> for patients with A</w:t>
      </w:r>
      <w:r w:rsidR="009B29C1">
        <w:t>MI</w:t>
      </w:r>
      <w:r>
        <w:t xml:space="preserve"> in the Malaysian NCVD-ACS registry (2006-2013), comparing STEMI and NSTEMI 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1"/>
        <w:gridCol w:w="1538"/>
        <w:gridCol w:w="1644"/>
        <w:gridCol w:w="1570"/>
        <w:gridCol w:w="1513"/>
      </w:tblGrid>
      <w:tr w:rsidR="00667340" w14:paraId="421B5D36" w14:textId="77777777" w:rsidTr="005B0F55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2A5DA3B" w14:textId="54AD00B3" w:rsidR="00667340" w:rsidRPr="00B06CCC" w:rsidRDefault="00667340" w:rsidP="005B0F55">
            <w:pPr>
              <w:spacing w:line="240" w:lineRule="auto"/>
              <w:rPr>
                <w:b/>
                <w:sz w:val="22"/>
              </w:rPr>
            </w:pPr>
            <w:r w:rsidRPr="00B06CCC">
              <w:rPr>
                <w:b/>
                <w:sz w:val="22"/>
              </w:rPr>
              <w:t xml:space="preserve">Cardiovascular </w:t>
            </w:r>
            <w:r w:rsidR="009B29C1">
              <w:rPr>
                <w:b/>
                <w:sz w:val="22"/>
              </w:rPr>
              <w:t>pharmacotherapies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6FB1EBE3" w14:textId="77777777" w:rsidR="00667340" w:rsidRPr="00B06CCC" w:rsidRDefault="00667340" w:rsidP="005B0F55">
            <w:pPr>
              <w:spacing w:line="240" w:lineRule="auto"/>
              <w:contextualSpacing/>
              <w:jc w:val="center"/>
              <w:rPr>
                <w:rFonts w:cs="Times New Roman"/>
                <w:b/>
                <w:sz w:val="22"/>
              </w:rPr>
            </w:pPr>
            <w:r w:rsidRPr="00B06CCC">
              <w:rPr>
                <w:rFonts w:cs="Times New Roman"/>
                <w:b/>
                <w:sz w:val="22"/>
              </w:rPr>
              <w:t>Total</w:t>
            </w:r>
          </w:p>
          <w:p w14:paraId="17B3573B" w14:textId="77777777" w:rsidR="00667340" w:rsidRPr="00B06CCC" w:rsidRDefault="00667340" w:rsidP="005B0F55">
            <w:pPr>
              <w:spacing w:line="240" w:lineRule="auto"/>
              <w:jc w:val="center"/>
              <w:rPr>
                <w:b/>
                <w:sz w:val="22"/>
              </w:rPr>
            </w:pPr>
            <w:r w:rsidRPr="00B06CCC">
              <w:rPr>
                <w:rFonts w:cs="Times New Roman"/>
                <w:b/>
                <w:sz w:val="22"/>
              </w:rPr>
              <w:t>n, (%)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14:paraId="56263E56" w14:textId="77777777" w:rsidR="00667340" w:rsidRPr="00B06CCC" w:rsidRDefault="00667340" w:rsidP="005B0F55">
            <w:pPr>
              <w:spacing w:line="240" w:lineRule="auto"/>
              <w:contextualSpacing/>
              <w:jc w:val="center"/>
              <w:rPr>
                <w:rFonts w:cs="Times New Roman"/>
                <w:b/>
                <w:sz w:val="22"/>
              </w:rPr>
            </w:pPr>
            <w:r w:rsidRPr="00B06CCC">
              <w:rPr>
                <w:rFonts w:cs="Times New Roman"/>
                <w:b/>
                <w:sz w:val="22"/>
              </w:rPr>
              <w:t>STEMI</w:t>
            </w:r>
          </w:p>
          <w:p w14:paraId="14324329" w14:textId="77777777" w:rsidR="00667340" w:rsidRPr="00B06CCC" w:rsidRDefault="00667340" w:rsidP="005B0F55">
            <w:pPr>
              <w:spacing w:line="240" w:lineRule="auto"/>
              <w:jc w:val="center"/>
              <w:rPr>
                <w:b/>
                <w:sz w:val="22"/>
              </w:rPr>
            </w:pPr>
            <w:r w:rsidRPr="00B06CCC">
              <w:rPr>
                <w:rFonts w:cs="Times New Roman"/>
                <w:b/>
                <w:sz w:val="22"/>
              </w:rPr>
              <w:t>n, (%)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67472E2B" w14:textId="77777777" w:rsidR="00667340" w:rsidRPr="00B06CCC" w:rsidRDefault="00667340" w:rsidP="005B0F55">
            <w:pPr>
              <w:spacing w:line="240" w:lineRule="auto"/>
              <w:contextualSpacing/>
              <w:jc w:val="center"/>
              <w:rPr>
                <w:rFonts w:cs="Times New Roman"/>
                <w:b/>
                <w:sz w:val="22"/>
              </w:rPr>
            </w:pPr>
            <w:r w:rsidRPr="00B06CCC">
              <w:rPr>
                <w:rFonts w:cs="Times New Roman"/>
                <w:b/>
                <w:sz w:val="22"/>
              </w:rPr>
              <w:t>NSTEMI</w:t>
            </w:r>
          </w:p>
          <w:p w14:paraId="30C32341" w14:textId="77777777" w:rsidR="00667340" w:rsidRPr="00B06CCC" w:rsidRDefault="00667340" w:rsidP="005B0F55">
            <w:pPr>
              <w:spacing w:line="240" w:lineRule="auto"/>
              <w:jc w:val="center"/>
              <w:rPr>
                <w:b/>
                <w:sz w:val="22"/>
              </w:rPr>
            </w:pPr>
            <w:r w:rsidRPr="00B06CCC">
              <w:rPr>
                <w:rFonts w:cs="Times New Roman"/>
                <w:b/>
                <w:sz w:val="22"/>
              </w:rPr>
              <w:t>n (%)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14:paraId="492C4336" w14:textId="77777777" w:rsidR="00667340" w:rsidRPr="00B06CCC" w:rsidRDefault="00667340" w:rsidP="005B0F55">
            <w:pPr>
              <w:spacing w:line="240" w:lineRule="auto"/>
              <w:rPr>
                <w:b/>
                <w:sz w:val="22"/>
              </w:rPr>
            </w:pPr>
            <w:r w:rsidRPr="00B06CCC">
              <w:rPr>
                <w:b/>
                <w:i/>
                <w:sz w:val="22"/>
              </w:rPr>
              <w:t>p</w:t>
            </w:r>
            <w:r w:rsidRPr="00B06CCC">
              <w:rPr>
                <w:b/>
                <w:sz w:val="22"/>
              </w:rPr>
              <w:t>-value</w:t>
            </w:r>
          </w:p>
        </w:tc>
      </w:tr>
      <w:tr w:rsidR="00667340" w14:paraId="59991688" w14:textId="77777777" w:rsidTr="005B0F55"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2ED3BE5B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proofErr w:type="spellStart"/>
            <w:r w:rsidRPr="005710ED">
              <w:rPr>
                <w:sz w:val="22"/>
              </w:rPr>
              <w:t>Antiplatelets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14:paraId="0C3A6574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nil"/>
            </w:tcBorders>
          </w:tcPr>
          <w:p w14:paraId="3752D60D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nil"/>
            </w:tcBorders>
          </w:tcPr>
          <w:p w14:paraId="7FEA926D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nil"/>
            </w:tcBorders>
          </w:tcPr>
          <w:p w14:paraId="65005A67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</w:p>
        </w:tc>
      </w:tr>
      <w:tr w:rsidR="00667340" w14:paraId="5AB749DC" w14:textId="77777777" w:rsidTr="005B0F55">
        <w:tc>
          <w:tcPr>
            <w:tcW w:w="2835" w:type="dxa"/>
            <w:tcBorders>
              <w:top w:val="nil"/>
            </w:tcBorders>
          </w:tcPr>
          <w:p w14:paraId="61023592" w14:textId="77777777" w:rsidR="00667340" w:rsidRPr="005710ED" w:rsidRDefault="00667340" w:rsidP="005B0F5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Aspirin</w:t>
            </w:r>
          </w:p>
        </w:tc>
        <w:tc>
          <w:tcPr>
            <w:tcW w:w="1610" w:type="dxa"/>
            <w:tcBorders>
              <w:top w:val="nil"/>
            </w:tcBorders>
          </w:tcPr>
          <w:p w14:paraId="2CCE1DE6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24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826 (91%)</w:t>
            </w:r>
          </w:p>
        </w:tc>
        <w:tc>
          <w:tcPr>
            <w:tcW w:w="1716" w:type="dxa"/>
            <w:tcBorders>
              <w:top w:val="nil"/>
            </w:tcBorders>
          </w:tcPr>
          <w:p w14:paraId="7A5DBDB1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15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658 (92%)</w:t>
            </w:r>
          </w:p>
        </w:tc>
        <w:tc>
          <w:tcPr>
            <w:tcW w:w="1619" w:type="dxa"/>
            <w:tcBorders>
              <w:top w:val="nil"/>
            </w:tcBorders>
          </w:tcPr>
          <w:p w14:paraId="794337E4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9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168 (90%)</w:t>
            </w:r>
          </w:p>
        </w:tc>
        <w:tc>
          <w:tcPr>
            <w:tcW w:w="1570" w:type="dxa"/>
            <w:tcBorders>
              <w:top w:val="nil"/>
            </w:tcBorders>
          </w:tcPr>
          <w:p w14:paraId="22C42B21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&lt;0.0001</w:t>
            </w:r>
          </w:p>
        </w:tc>
      </w:tr>
      <w:tr w:rsidR="00667340" w14:paraId="730272FC" w14:textId="77777777" w:rsidTr="005B0F55">
        <w:tc>
          <w:tcPr>
            <w:tcW w:w="2835" w:type="dxa"/>
            <w:tcBorders>
              <w:top w:val="nil"/>
            </w:tcBorders>
          </w:tcPr>
          <w:p w14:paraId="44995197" w14:textId="77777777" w:rsidR="00667340" w:rsidRPr="005710ED" w:rsidRDefault="00667340" w:rsidP="005B0F5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ADP-antagonist</w:t>
            </w:r>
            <w:r>
              <w:rPr>
                <w:sz w:val="22"/>
              </w:rPr>
              <w:t>s</w:t>
            </w:r>
            <w:r w:rsidRPr="005710ED">
              <w:rPr>
                <w:sz w:val="22"/>
              </w:rPr>
              <w:t xml:space="preserve"> </w:t>
            </w:r>
          </w:p>
        </w:tc>
        <w:tc>
          <w:tcPr>
            <w:tcW w:w="1610" w:type="dxa"/>
            <w:tcBorders>
              <w:top w:val="nil"/>
            </w:tcBorders>
          </w:tcPr>
          <w:p w14:paraId="48DBF16F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15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977 (76%)</w:t>
            </w:r>
          </w:p>
        </w:tc>
        <w:tc>
          <w:tcPr>
            <w:tcW w:w="1716" w:type="dxa"/>
            <w:tcBorders>
              <w:top w:val="nil"/>
            </w:tcBorders>
          </w:tcPr>
          <w:p w14:paraId="38CA1886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10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325 (78%)</w:t>
            </w:r>
          </w:p>
        </w:tc>
        <w:tc>
          <w:tcPr>
            <w:tcW w:w="1619" w:type="dxa"/>
            <w:tcBorders>
              <w:top w:val="nil"/>
            </w:tcBorders>
          </w:tcPr>
          <w:p w14:paraId="3C1BA76B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5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652 (72%)</w:t>
            </w:r>
          </w:p>
        </w:tc>
        <w:tc>
          <w:tcPr>
            <w:tcW w:w="1570" w:type="dxa"/>
            <w:tcBorders>
              <w:top w:val="nil"/>
            </w:tcBorders>
          </w:tcPr>
          <w:p w14:paraId="0BF28C71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&lt;0.0001</w:t>
            </w:r>
          </w:p>
        </w:tc>
      </w:tr>
      <w:tr w:rsidR="00667340" w14:paraId="33867BA5" w14:textId="77777777" w:rsidTr="005B0F55">
        <w:tc>
          <w:tcPr>
            <w:tcW w:w="2835" w:type="dxa"/>
            <w:tcBorders>
              <w:top w:val="nil"/>
              <w:bottom w:val="nil"/>
            </w:tcBorders>
          </w:tcPr>
          <w:p w14:paraId="400226A2" w14:textId="77777777" w:rsidR="00667340" w:rsidRPr="005710ED" w:rsidRDefault="00667340" w:rsidP="005B0F55">
            <w:pPr>
              <w:pStyle w:val="ListParagraph"/>
              <w:numPr>
                <w:ilvl w:val="0"/>
                <w:numId w:val="1"/>
              </w:numPr>
              <w:tabs>
                <w:tab w:val="right" w:pos="2619"/>
              </w:tabs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Dual </w:t>
            </w:r>
            <w:proofErr w:type="spellStart"/>
            <w:r>
              <w:rPr>
                <w:sz w:val="22"/>
              </w:rPr>
              <w:t>antiplatelets</w:t>
            </w:r>
            <w:proofErr w:type="spellEnd"/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2D90DCB6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15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370 (71%)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296FED03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10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096 (75%)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45E45D16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5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274 (65%)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14:paraId="64D3FC64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&lt;0.0001</w:t>
            </w:r>
          </w:p>
        </w:tc>
      </w:tr>
      <w:tr w:rsidR="00667340" w14:paraId="1F9BC31D" w14:textId="77777777" w:rsidTr="005B0F55">
        <w:tc>
          <w:tcPr>
            <w:tcW w:w="2835" w:type="dxa"/>
            <w:tcBorders>
              <w:top w:val="nil"/>
              <w:bottom w:val="nil"/>
            </w:tcBorders>
          </w:tcPr>
          <w:p w14:paraId="49423152" w14:textId="77777777" w:rsidR="00667340" w:rsidRPr="005710ED" w:rsidRDefault="00667340" w:rsidP="005B0F55">
            <w:pPr>
              <w:tabs>
                <w:tab w:val="right" w:pos="2619"/>
              </w:tabs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ACEIs/ARBs</w:t>
            </w:r>
            <w:r w:rsidRPr="005710ED">
              <w:rPr>
                <w:sz w:val="22"/>
              </w:rPr>
              <w:tab/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0B6B0277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15,826 (52</w:t>
            </w:r>
            <w:r w:rsidRPr="005710ED">
              <w:rPr>
                <w:sz w:val="22"/>
              </w:rPr>
              <w:t>%)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234A4362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9,984 (52</w:t>
            </w:r>
            <w:r w:rsidRPr="005710ED">
              <w:rPr>
                <w:sz w:val="22"/>
              </w:rPr>
              <w:t>%)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7307CA42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5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824 (53%)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14:paraId="0CE74702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ns</w:t>
            </w:r>
          </w:p>
        </w:tc>
      </w:tr>
      <w:tr w:rsidR="00667340" w14:paraId="6C670FA4" w14:textId="77777777" w:rsidTr="005B0F55">
        <w:tc>
          <w:tcPr>
            <w:tcW w:w="2835" w:type="dxa"/>
            <w:tcBorders>
              <w:top w:val="nil"/>
              <w:bottom w:val="nil"/>
            </w:tcBorders>
          </w:tcPr>
          <w:p w14:paraId="3598E988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Beta Blockers</w:t>
            </w:r>
            <w:r w:rsidRPr="005710ED">
              <w:rPr>
                <w:sz w:val="22"/>
              </w:rPr>
              <w:tab/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14:paraId="4643D083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18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039 (68%)</w:t>
            </w:r>
          </w:p>
        </w:tc>
        <w:tc>
          <w:tcPr>
            <w:tcW w:w="1716" w:type="dxa"/>
            <w:tcBorders>
              <w:top w:val="nil"/>
              <w:bottom w:val="nil"/>
            </w:tcBorders>
          </w:tcPr>
          <w:p w14:paraId="32A2FDB8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11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343 (69%)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14:paraId="31EC444D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6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696 (67%)</w:t>
            </w:r>
          </w:p>
        </w:tc>
        <w:tc>
          <w:tcPr>
            <w:tcW w:w="1570" w:type="dxa"/>
            <w:tcBorders>
              <w:top w:val="nil"/>
              <w:bottom w:val="nil"/>
            </w:tcBorders>
          </w:tcPr>
          <w:p w14:paraId="50050A40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0.001</w:t>
            </w:r>
          </w:p>
        </w:tc>
      </w:tr>
      <w:tr w:rsidR="00667340" w14:paraId="7F2BE250" w14:textId="77777777" w:rsidTr="005B0F55"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48CFF0FA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Statins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14:paraId="6C5C7DF6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23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927 (88%)</w:t>
            </w:r>
          </w:p>
        </w:tc>
        <w:tc>
          <w:tcPr>
            <w:tcW w:w="1716" w:type="dxa"/>
            <w:tcBorders>
              <w:top w:val="nil"/>
              <w:bottom w:val="single" w:sz="4" w:space="0" w:color="auto"/>
            </w:tcBorders>
          </w:tcPr>
          <w:p w14:paraId="335929B9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15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043 (88%)</w:t>
            </w:r>
          </w:p>
        </w:tc>
        <w:tc>
          <w:tcPr>
            <w:tcW w:w="1619" w:type="dxa"/>
            <w:tcBorders>
              <w:top w:val="nil"/>
              <w:bottom w:val="single" w:sz="4" w:space="0" w:color="auto"/>
            </w:tcBorders>
          </w:tcPr>
          <w:p w14:paraId="7EA272A6" w14:textId="77777777" w:rsidR="00667340" w:rsidRPr="005710ED" w:rsidRDefault="00667340" w:rsidP="005B0F55">
            <w:pPr>
              <w:spacing w:line="240" w:lineRule="auto"/>
              <w:jc w:val="center"/>
              <w:rPr>
                <w:sz w:val="22"/>
              </w:rPr>
            </w:pPr>
            <w:r w:rsidRPr="005710ED">
              <w:rPr>
                <w:sz w:val="22"/>
              </w:rPr>
              <w:t>8</w:t>
            </w:r>
            <w:r>
              <w:rPr>
                <w:sz w:val="22"/>
              </w:rPr>
              <w:t>,</w:t>
            </w:r>
            <w:r w:rsidRPr="005710ED">
              <w:rPr>
                <w:sz w:val="22"/>
              </w:rPr>
              <w:t>884 (87%)</w:t>
            </w:r>
          </w:p>
        </w:tc>
        <w:tc>
          <w:tcPr>
            <w:tcW w:w="1570" w:type="dxa"/>
            <w:tcBorders>
              <w:top w:val="nil"/>
              <w:bottom w:val="single" w:sz="4" w:space="0" w:color="auto"/>
            </w:tcBorders>
          </w:tcPr>
          <w:p w14:paraId="39153F58" w14:textId="77777777" w:rsidR="00667340" w:rsidRPr="005710ED" w:rsidRDefault="00667340" w:rsidP="005B0F55">
            <w:pPr>
              <w:spacing w:line="240" w:lineRule="auto"/>
              <w:rPr>
                <w:sz w:val="22"/>
              </w:rPr>
            </w:pPr>
            <w:r w:rsidRPr="005710ED">
              <w:rPr>
                <w:sz w:val="22"/>
              </w:rPr>
              <w:t>0.002</w:t>
            </w:r>
          </w:p>
        </w:tc>
      </w:tr>
    </w:tbl>
    <w:p w14:paraId="519624FA" w14:textId="77777777" w:rsidR="00667340" w:rsidRDefault="00667340" w:rsidP="00667340">
      <w:r>
        <w:t>Ns: not significant</w:t>
      </w:r>
    </w:p>
    <w:p w14:paraId="081565DD" w14:textId="77777777" w:rsidR="00413D76" w:rsidRDefault="00667340">
      <w:pPr>
        <w:spacing w:line="259" w:lineRule="auto"/>
        <w:jc w:val="left"/>
      </w:pPr>
      <w:r>
        <w:br w:type="page"/>
      </w:r>
    </w:p>
    <w:p w14:paraId="37F176FF" w14:textId="77777777" w:rsidR="00413D76" w:rsidRDefault="00413D76" w:rsidP="00413D76">
      <w:pPr>
        <w:sectPr w:rsidR="00413D7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14:paraId="456EF8D1" w14:textId="64073640" w:rsidR="00413D76" w:rsidRDefault="00413D76" w:rsidP="00413D76">
      <w:r>
        <w:lastRenderedPageBreak/>
        <w:t xml:space="preserve">Supplementary Table 2: Clinical variations in the prescribing of on-discharge secondary preventative cardiovascular </w:t>
      </w:r>
      <w:r w:rsidR="004962AB">
        <w:t xml:space="preserve">pharmacotherapies </w:t>
      </w:r>
      <w:r>
        <w:t>for patients with NSTEMI in the Malaysian NCVD-ACS registry (2006-2013) presented as adjusted odds ratio (OR) with 95% confidence interval (CI)</w:t>
      </w:r>
    </w:p>
    <w:tbl>
      <w:tblPr>
        <w:tblStyle w:val="TableGrid"/>
        <w:tblW w:w="143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9"/>
        <w:gridCol w:w="908"/>
        <w:gridCol w:w="1673"/>
        <w:gridCol w:w="867"/>
        <w:gridCol w:w="1638"/>
        <w:gridCol w:w="867"/>
        <w:gridCol w:w="1638"/>
        <w:gridCol w:w="770"/>
        <w:gridCol w:w="1735"/>
        <w:gridCol w:w="770"/>
        <w:gridCol w:w="1735"/>
      </w:tblGrid>
      <w:tr w:rsidR="00413D76" w:rsidRPr="002242EC" w14:paraId="6D29EF93" w14:textId="77777777" w:rsidTr="005B0F55">
        <w:trPr>
          <w:trHeight w:val="152"/>
        </w:trPr>
        <w:tc>
          <w:tcPr>
            <w:tcW w:w="1749" w:type="dxa"/>
            <w:vMerge w:val="restart"/>
            <w:tcBorders>
              <w:top w:val="single" w:sz="4" w:space="0" w:color="auto"/>
              <w:bottom w:val="nil"/>
            </w:tcBorders>
          </w:tcPr>
          <w:p w14:paraId="4D4C3E25" w14:textId="77777777" w:rsidR="00413D76" w:rsidRPr="00BD51C8" w:rsidRDefault="00413D76" w:rsidP="005B0F55">
            <w:pPr>
              <w:jc w:val="center"/>
              <w:rPr>
                <w:rFonts w:cs="Times New Roman"/>
                <w:b/>
                <w:szCs w:val="20"/>
              </w:rPr>
            </w:pPr>
            <w:r w:rsidRPr="00BD51C8">
              <w:rPr>
                <w:rFonts w:cs="Times New Roman"/>
                <w:b/>
                <w:szCs w:val="20"/>
              </w:rPr>
              <w:t>Clinical characteristics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F8F194" w14:textId="77777777" w:rsidR="00413D76" w:rsidRPr="00BD51C8" w:rsidRDefault="00413D76" w:rsidP="005B0F55">
            <w:pPr>
              <w:jc w:val="center"/>
              <w:rPr>
                <w:rFonts w:cs="Times New Roman"/>
                <w:b/>
                <w:szCs w:val="20"/>
              </w:rPr>
            </w:pPr>
            <w:r w:rsidRPr="00BD51C8">
              <w:rPr>
                <w:rFonts w:cs="Times New Roman"/>
                <w:b/>
                <w:szCs w:val="20"/>
              </w:rPr>
              <w:t>Aspirin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586FF6" w14:textId="77777777" w:rsidR="00413D76" w:rsidRPr="00BD51C8" w:rsidRDefault="00413D76" w:rsidP="005B0F55">
            <w:pPr>
              <w:jc w:val="center"/>
              <w:rPr>
                <w:rFonts w:cs="Times New Roman"/>
                <w:b/>
                <w:szCs w:val="20"/>
              </w:rPr>
            </w:pPr>
            <w:r w:rsidRPr="00BD51C8">
              <w:rPr>
                <w:rFonts w:cs="Times New Roman"/>
                <w:b/>
                <w:szCs w:val="20"/>
              </w:rPr>
              <w:t>ADP-antagonists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CC2F3A" w14:textId="77777777" w:rsidR="00413D76" w:rsidRPr="00BD51C8" w:rsidRDefault="00413D76" w:rsidP="005B0F55">
            <w:pPr>
              <w:jc w:val="center"/>
              <w:rPr>
                <w:rFonts w:cs="Times New Roman"/>
                <w:b/>
                <w:szCs w:val="20"/>
              </w:rPr>
            </w:pPr>
            <w:r w:rsidRPr="00BD51C8">
              <w:rPr>
                <w:rFonts w:cs="Times New Roman"/>
                <w:b/>
                <w:szCs w:val="20"/>
              </w:rPr>
              <w:t>ACEIs/ARBs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3C7081" w14:textId="77777777" w:rsidR="00413D76" w:rsidRPr="00BD51C8" w:rsidRDefault="00413D76" w:rsidP="005B0F55">
            <w:pPr>
              <w:jc w:val="center"/>
              <w:rPr>
                <w:rFonts w:cs="Times New Roman"/>
                <w:b/>
                <w:szCs w:val="20"/>
              </w:rPr>
            </w:pPr>
            <w:r w:rsidRPr="00BD51C8">
              <w:rPr>
                <w:rFonts w:cs="Times New Roman"/>
                <w:b/>
                <w:szCs w:val="20"/>
              </w:rPr>
              <w:t>Beta blockers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B4D3B1" w14:textId="77777777" w:rsidR="00413D76" w:rsidRPr="00BD51C8" w:rsidRDefault="00413D76" w:rsidP="005B0F55">
            <w:pPr>
              <w:jc w:val="center"/>
              <w:rPr>
                <w:rFonts w:cs="Times New Roman"/>
                <w:b/>
                <w:szCs w:val="20"/>
              </w:rPr>
            </w:pPr>
            <w:r w:rsidRPr="00BD51C8">
              <w:rPr>
                <w:rFonts w:cs="Times New Roman"/>
                <w:b/>
                <w:szCs w:val="20"/>
              </w:rPr>
              <w:t>Statins</w:t>
            </w:r>
          </w:p>
        </w:tc>
      </w:tr>
      <w:tr w:rsidR="00413D76" w:rsidRPr="002242EC" w14:paraId="1B89D20F" w14:textId="77777777" w:rsidTr="005B0F55">
        <w:trPr>
          <w:trHeight w:val="152"/>
        </w:trPr>
        <w:tc>
          <w:tcPr>
            <w:tcW w:w="1749" w:type="dxa"/>
            <w:vMerge/>
            <w:tcBorders>
              <w:top w:val="nil"/>
              <w:bottom w:val="single" w:sz="4" w:space="0" w:color="auto"/>
            </w:tcBorders>
          </w:tcPr>
          <w:p w14:paraId="7CD8BA6B" w14:textId="77777777" w:rsidR="00413D76" w:rsidRPr="00BD51C8" w:rsidRDefault="00413D76" w:rsidP="005B0F55">
            <w:pPr>
              <w:rPr>
                <w:rFonts w:cs="Times New Roman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174A591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N, </w:t>
            </w:r>
            <w:r w:rsidRPr="00BD51C8">
              <w:rPr>
                <w:rFonts w:cs="Times New Roman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300678C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OR (95% CI)</w:t>
            </w:r>
          </w:p>
          <w:p w14:paraId="11911E5C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i/>
                <w:szCs w:val="20"/>
              </w:rPr>
              <w:t>p-</w:t>
            </w:r>
            <w:r w:rsidRPr="00BD51C8">
              <w:rPr>
                <w:rFonts w:cs="Times New Roman"/>
                <w:szCs w:val="20"/>
              </w:rPr>
              <w:t>value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07466141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N,</w:t>
            </w:r>
            <w:r w:rsidRPr="00BD51C8">
              <w:rPr>
                <w:rFonts w:cs="Times New Roman"/>
                <w:szCs w:val="20"/>
              </w:rPr>
              <w:t xml:space="preserve"> %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320DA613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OR (95% CI)</w:t>
            </w:r>
          </w:p>
          <w:p w14:paraId="50A8E7DD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i/>
                <w:szCs w:val="20"/>
              </w:rPr>
              <w:t>p-</w:t>
            </w:r>
            <w:r w:rsidRPr="00BD51C8">
              <w:rPr>
                <w:rFonts w:cs="Times New Roman"/>
                <w:szCs w:val="20"/>
              </w:rPr>
              <w:t>value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7AD3F5A1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N, </w:t>
            </w:r>
            <w:r w:rsidRPr="00BD51C8">
              <w:rPr>
                <w:rFonts w:cs="Times New Roman"/>
                <w:szCs w:val="20"/>
              </w:rPr>
              <w:t>%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3083145B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OR (95% CI)</w:t>
            </w:r>
          </w:p>
          <w:p w14:paraId="2FB0AC12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i/>
                <w:szCs w:val="20"/>
              </w:rPr>
              <w:t>p-</w:t>
            </w:r>
            <w:r w:rsidRPr="00BD51C8">
              <w:rPr>
                <w:rFonts w:cs="Times New Roman"/>
                <w:szCs w:val="20"/>
              </w:rPr>
              <w:t>value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7C5ED2E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N, </w:t>
            </w:r>
            <w:r w:rsidRPr="00BD51C8">
              <w:rPr>
                <w:rFonts w:cs="Times New Roman"/>
                <w:szCs w:val="20"/>
              </w:rPr>
              <w:t>%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14:paraId="6F28D1DA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OR (95% CI)</w:t>
            </w:r>
          </w:p>
          <w:p w14:paraId="0C0797BA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i/>
                <w:szCs w:val="20"/>
              </w:rPr>
              <w:t>p-</w:t>
            </w:r>
            <w:r w:rsidRPr="00BD51C8">
              <w:rPr>
                <w:rFonts w:cs="Times New Roman"/>
                <w:szCs w:val="20"/>
              </w:rPr>
              <w:t>value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A54740B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N, </w:t>
            </w:r>
            <w:r w:rsidRPr="00BD51C8">
              <w:rPr>
                <w:rFonts w:cs="Times New Roman"/>
                <w:szCs w:val="20"/>
              </w:rPr>
              <w:t>%</w:t>
            </w:r>
          </w:p>
        </w:tc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</w:tcPr>
          <w:p w14:paraId="34F489B0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OR (95% CI)</w:t>
            </w:r>
          </w:p>
          <w:p w14:paraId="2452E78D" w14:textId="77777777" w:rsidR="00413D76" w:rsidRPr="00BD51C8" w:rsidRDefault="00413D76" w:rsidP="005B0F55">
            <w:pPr>
              <w:jc w:val="center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i/>
                <w:szCs w:val="20"/>
              </w:rPr>
              <w:t>p-</w:t>
            </w:r>
            <w:r w:rsidRPr="00BD51C8">
              <w:rPr>
                <w:rFonts w:cs="Times New Roman"/>
                <w:szCs w:val="20"/>
              </w:rPr>
              <w:t>value</w:t>
            </w:r>
          </w:p>
        </w:tc>
      </w:tr>
      <w:tr w:rsidR="00413D76" w:rsidRPr="002242EC" w14:paraId="2D33C489" w14:textId="77777777" w:rsidTr="005B0F55">
        <w:trPr>
          <w:trHeight w:val="255"/>
        </w:trPr>
        <w:tc>
          <w:tcPr>
            <w:tcW w:w="1749" w:type="dxa"/>
          </w:tcPr>
          <w:p w14:paraId="114C4804" w14:textId="12A7AFF4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b/>
                <w:szCs w:val="20"/>
              </w:rPr>
            </w:pPr>
            <w:r w:rsidRPr="00BD51C8">
              <w:rPr>
                <w:rFonts w:cs="Times New Roman"/>
                <w:b/>
                <w:szCs w:val="20"/>
              </w:rPr>
              <w:t>Risk Factors</w:t>
            </w:r>
            <w:r w:rsidR="004962AB">
              <w:rPr>
                <w:rFonts w:cs="Times New Roman"/>
                <w:b/>
                <w:szCs w:val="20"/>
              </w:rPr>
              <w:t>∞</w:t>
            </w:r>
          </w:p>
          <w:p w14:paraId="36738EA1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Previous IHD</w:t>
            </w:r>
          </w:p>
          <w:p w14:paraId="0A3393C7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</w:p>
          <w:p w14:paraId="77B8F23C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Diabetes</w:t>
            </w:r>
          </w:p>
          <w:p w14:paraId="0D31E9CD" w14:textId="77777777" w:rsidR="00413D76" w:rsidRPr="00BD51C8" w:rsidRDefault="00413D76" w:rsidP="005B0F55">
            <w:pPr>
              <w:pStyle w:val="ListParagraph"/>
              <w:spacing w:line="240" w:lineRule="auto"/>
              <w:ind w:left="405"/>
              <w:rPr>
                <w:rFonts w:cs="Times New Roman"/>
                <w:szCs w:val="20"/>
              </w:rPr>
            </w:pPr>
          </w:p>
          <w:p w14:paraId="4EE316A4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Hypertension</w:t>
            </w:r>
          </w:p>
          <w:p w14:paraId="78E8821E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</w:p>
          <w:p w14:paraId="0AD4B25C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proofErr w:type="spellStart"/>
            <w:r w:rsidRPr="00BD51C8">
              <w:rPr>
                <w:rFonts w:cs="Times New Roman"/>
                <w:szCs w:val="20"/>
              </w:rPr>
              <w:t>Dyslipidaemia</w:t>
            </w:r>
            <w:proofErr w:type="spellEnd"/>
          </w:p>
          <w:p w14:paraId="1CCB37D5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</w:p>
          <w:p w14:paraId="3B29BA00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Smoking</w:t>
            </w:r>
          </w:p>
          <w:p w14:paraId="4AD160C0" w14:textId="77777777" w:rsidR="00413D76" w:rsidRPr="00BD51C8" w:rsidRDefault="00413D76" w:rsidP="005B0F55">
            <w:pPr>
              <w:pStyle w:val="ListParagraph"/>
              <w:spacing w:line="240" w:lineRule="auto"/>
              <w:ind w:left="405"/>
              <w:rPr>
                <w:rFonts w:cs="Times New Roman"/>
                <w:szCs w:val="20"/>
              </w:rPr>
            </w:pPr>
          </w:p>
          <w:p w14:paraId="5D797BEB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Family History</w:t>
            </w:r>
          </w:p>
          <w:p w14:paraId="1893BBDE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</w:p>
        </w:tc>
        <w:tc>
          <w:tcPr>
            <w:tcW w:w="908" w:type="dxa"/>
          </w:tcPr>
          <w:p w14:paraId="769AF0C9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3114579D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2292 (87%)</w:t>
            </w:r>
          </w:p>
          <w:p w14:paraId="747200F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4679 (88%)</w:t>
            </w:r>
          </w:p>
          <w:p w14:paraId="549C0940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6479 (88%)</w:t>
            </w:r>
          </w:p>
          <w:p w14:paraId="011BD078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3876 (89%)</w:t>
            </w:r>
          </w:p>
          <w:p w14:paraId="23193482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2428 (94%)</w:t>
            </w:r>
          </w:p>
          <w:p w14:paraId="19001973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1050 (93%)</w:t>
            </w:r>
          </w:p>
        </w:tc>
        <w:tc>
          <w:tcPr>
            <w:tcW w:w="1673" w:type="dxa"/>
          </w:tcPr>
          <w:p w14:paraId="33DD14ED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4378968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0.78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(0.68, 0.90)</w:t>
            </w:r>
          </w:p>
          <w:p w14:paraId="0432E996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0.002</w:t>
            </w:r>
          </w:p>
          <w:p w14:paraId="3037CDF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0.86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(0.75, 0.97)</w:t>
            </w:r>
          </w:p>
          <w:p w14:paraId="67E4AE6E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0.004</w:t>
            </w:r>
          </w:p>
          <w:p w14:paraId="4B0492EB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0.70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(0.59, 0.82)</w:t>
            </w:r>
          </w:p>
          <w:p w14:paraId="09851CDD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52B0F571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1.17 (1.03, 1.34)</w:t>
            </w:r>
          </w:p>
          <w:p w14:paraId="69C4E1DD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4119D81E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2.30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(1.92, 2.74)</w:t>
            </w:r>
          </w:p>
          <w:p w14:paraId="1784C1E8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0.001</w:t>
            </w:r>
          </w:p>
          <w:p w14:paraId="5B0F8DF0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0.95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(0.80, 1.10)</w:t>
            </w:r>
          </w:p>
          <w:p w14:paraId="7EC513EA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6999EF24" w14:textId="77777777" w:rsidR="00413D76" w:rsidRPr="00BD51C8" w:rsidRDefault="00413D76" w:rsidP="005B0F55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867" w:type="dxa"/>
          </w:tcPr>
          <w:p w14:paraId="51783116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0B00003F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1617 (75%)</w:t>
            </w:r>
          </w:p>
          <w:p w14:paraId="1A162FE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2922</w:t>
            </w:r>
          </w:p>
          <w:p w14:paraId="6038818A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(71%)</w:t>
            </w:r>
          </w:p>
          <w:p w14:paraId="72CE760D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4069</w:t>
            </w:r>
          </w:p>
          <w:p w14:paraId="7593D8A4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(72%)</w:t>
            </w:r>
          </w:p>
          <w:p w14:paraId="43EAF899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2454 (73%)</w:t>
            </w:r>
          </w:p>
          <w:p w14:paraId="284FEA8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1407 (72%)</w:t>
            </w:r>
          </w:p>
          <w:p w14:paraId="1CE470C5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639 (74%)</w:t>
            </w:r>
          </w:p>
        </w:tc>
        <w:tc>
          <w:tcPr>
            <w:tcW w:w="1638" w:type="dxa"/>
          </w:tcPr>
          <w:p w14:paraId="02C6EC7E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246B56B9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</w:t>
            </w:r>
            <w:r>
              <w:rPr>
                <w:rFonts w:cs="Times New Roman"/>
                <w:szCs w:val="20"/>
              </w:rPr>
              <w:t>5</w:t>
            </w:r>
            <w:r w:rsidRPr="00BD51C8">
              <w:rPr>
                <w:rFonts w:cs="Times New Roman"/>
                <w:szCs w:val="20"/>
              </w:rPr>
              <w:t xml:space="preserve"> (0.92, 0.98)</w:t>
            </w:r>
          </w:p>
          <w:p w14:paraId="44EAAC7C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79E7E124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1.01 (0.91,1.12)</w:t>
            </w:r>
          </w:p>
          <w:p w14:paraId="4FB528F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73F0CA51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0.97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(0.86, 1.10)</w:t>
            </w:r>
          </w:p>
          <w:p w14:paraId="778E6FAC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2E5F0934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1.06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(0.95, 1.18)</w:t>
            </w:r>
          </w:p>
          <w:p w14:paraId="0EF0E324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4A4687FC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1.16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(1.03, 1.32)</w:t>
            </w:r>
          </w:p>
          <w:p w14:paraId="0EDBB953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0.005</w:t>
            </w:r>
          </w:p>
          <w:p w14:paraId="1E615269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0.78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(0.65, 0.98)</w:t>
            </w:r>
          </w:p>
          <w:p w14:paraId="16A354E6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12FCAB5D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b/>
                <w:szCs w:val="20"/>
                <w:shd w:val="clear" w:color="auto" w:fill="FFFFFF"/>
              </w:rPr>
            </w:pPr>
          </w:p>
        </w:tc>
        <w:tc>
          <w:tcPr>
            <w:tcW w:w="867" w:type="dxa"/>
          </w:tcPr>
          <w:p w14:paraId="0246BDEB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6EF09D8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1527 (56%)</w:t>
            </w:r>
          </w:p>
          <w:p w14:paraId="1FD78CD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2991 (53%)</w:t>
            </w:r>
          </w:p>
          <w:p w14:paraId="2B424A2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4268 (55%)</w:t>
            </w:r>
          </w:p>
          <w:p w14:paraId="2923894B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2509 (56%)</w:t>
            </w:r>
          </w:p>
          <w:p w14:paraId="5356D4E4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1575 (56%)</w:t>
            </w:r>
          </w:p>
          <w:p w14:paraId="45321614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706 (57%)</w:t>
            </w:r>
          </w:p>
        </w:tc>
        <w:tc>
          <w:tcPr>
            <w:tcW w:w="1638" w:type="dxa"/>
          </w:tcPr>
          <w:p w14:paraId="2D85E2A5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 xml:space="preserve"> </w:t>
            </w:r>
          </w:p>
          <w:p w14:paraId="0454A491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0.95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(0.92,0.99)</w:t>
            </w:r>
          </w:p>
          <w:p w14:paraId="3E3A133C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0.002</w:t>
            </w:r>
          </w:p>
          <w:p w14:paraId="5500C65A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0.97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(0.90, 1.05)</w:t>
            </w:r>
          </w:p>
          <w:p w14:paraId="19C65792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691A2C9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1.10 (1.05, 1.16)</w:t>
            </w:r>
          </w:p>
          <w:p w14:paraId="2C2D91AC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6B3A2DC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0.96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(0.92, 0.99)</w:t>
            </w:r>
          </w:p>
          <w:p w14:paraId="31FB1146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0.01</w:t>
            </w:r>
          </w:p>
          <w:p w14:paraId="07D2662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1.19 (1.08, 1.30)</w:t>
            </w:r>
          </w:p>
          <w:p w14:paraId="2DA590BB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0.003</w:t>
            </w:r>
          </w:p>
          <w:p w14:paraId="43AE1001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0.88 (0.70,1.08)</w:t>
            </w:r>
          </w:p>
          <w:p w14:paraId="07A8C771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70F7DBB1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770" w:type="dxa"/>
          </w:tcPr>
          <w:p w14:paraId="6FB4047E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681D44E4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1714 (66%)</w:t>
            </w:r>
          </w:p>
          <w:p w14:paraId="45E8C70E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3495 (67%)</w:t>
            </w:r>
          </w:p>
          <w:p w14:paraId="0E2930F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4992 (69%)</w:t>
            </w:r>
          </w:p>
          <w:p w14:paraId="5D483524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2995 (70%)</w:t>
            </w:r>
          </w:p>
          <w:p w14:paraId="362B95DF" w14:textId="77777777" w:rsidR="00413D76" w:rsidRPr="00BD51C8" w:rsidRDefault="00413D76" w:rsidP="005B0F55">
            <w:pPr>
              <w:tabs>
                <w:tab w:val="left" w:pos="180"/>
              </w:tabs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1690 (67%)</w:t>
            </w:r>
          </w:p>
          <w:p w14:paraId="41216627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768 (71%)</w:t>
            </w:r>
          </w:p>
        </w:tc>
        <w:tc>
          <w:tcPr>
            <w:tcW w:w="1735" w:type="dxa"/>
          </w:tcPr>
          <w:p w14:paraId="3958AD5A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19FF1E9A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0.90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(0.81, 0.99)</w:t>
            </w:r>
          </w:p>
          <w:p w14:paraId="6B45C9AB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6F568926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0.99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(0.91, 1.08)</w:t>
            </w:r>
          </w:p>
          <w:p w14:paraId="65D86386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396EFB19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1.25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(1.17, 1.34)</w:t>
            </w:r>
          </w:p>
          <w:p w14:paraId="71A3CBBD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33CC13D0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1.19(1.11, 1.27)</w:t>
            </w:r>
          </w:p>
          <w:p w14:paraId="3720D9AC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024B5D6D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0.99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(0.95, 1.02)</w:t>
            </w:r>
          </w:p>
          <w:p w14:paraId="204BCC15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16E0FEED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0.95 (0.80,1.12)</w:t>
            </w:r>
          </w:p>
          <w:p w14:paraId="50A0848B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3909960C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</w:tc>
        <w:tc>
          <w:tcPr>
            <w:tcW w:w="770" w:type="dxa"/>
          </w:tcPr>
          <w:p w14:paraId="3FCE2420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624CAA54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2254</w:t>
            </w:r>
          </w:p>
          <w:p w14:paraId="322F360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(85%)</w:t>
            </w:r>
          </w:p>
          <w:p w14:paraId="58387864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4539 (86%)</w:t>
            </w:r>
          </w:p>
          <w:p w14:paraId="096F89F8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6370 (87%)</w:t>
            </w:r>
          </w:p>
          <w:p w14:paraId="170CA951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3792 (88%)</w:t>
            </w:r>
          </w:p>
          <w:p w14:paraId="5BC84112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2333 (90%)</w:t>
            </w:r>
          </w:p>
          <w:p w14:paraId="2C7535AB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1024 (91%)</w:t>
            </w:r>
          </w:p>
        </w:tc>
        <w:tc>
          <w:tcPr>
            <w:tcW w:w="1735" w:type="dxa"/>
          </w:tcPr>
          <w:p w14:paraId="2798AAB4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26D97D1B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0.80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(0.70, 0.91)</w:t>
            </w:r>
          </w:p>
          <w:p w14:paraId="00A133C1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0.04</w:t>
            </w:r>
          </w:p>
          <w:p w14:paraId="434B1668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0.86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(0.76, 0.97)</w:t>
            </w:r>
          </w:p>
          <w:p w14:paraId="32A75C7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0.001</w:t>
            </w:r>
          </w:p>
          <w:p w14:paraId="5993078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0.92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(0.80, 1.06)</w:t>
            </w:r>
          </w:p>
          <w:p w14:paraId="789414F6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63F5228B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0.98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(0.97, 1.00)</w:t>
            </w:r>
          </w:p>
          <w:p w14:paraId="4E3B0E07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4A961316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1.42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(1.22, 1.66)</w:t>
            </w:r>
          </w:p>
          <w:p w14:paraId="7A670616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5D6164B0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0.90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 xml:space="preserve">(0.80, 1.08) </w:t>
            </w:r>
          </w:p>
          <w:p w14:paraId="7C60A6F3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22F1B18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 xml:space="preserve"> </w:t>
            </w:r>
          </w:p>
        </w:tc>
      </w:tr>
      <w:tr w:rsidR="00413D76" w:rsidRPr="002242EC" w14:paraId="35BD3C5D" w14:textId="77777777" w:rsidTr="005B0F55">
        <w:trPr>
          <w:trHeight w:val="270"/>
        </w:trPr>
        <w:tc>
          <w:tcPr>
            <w:tcW w:w="1749" w:type="dxa"/>
          </w:tcPr>
          <w:p w14:paraId="36077C5C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b/>
                <w:szCs w:val="20"/>
              </w:rPr>
            </w:pPr>
            <w:r w:rsidRPr="00BD51C8">
              <w:rPr>
                <w:rFonts w:cs="Times New Roman"/>
                <w:b/>
                <w:szCs w:val="20"/>
              </w:rPr>
              <w:t>Co-morbidities</w:t>
            </w:r>
            <w:r>
              <w:rPr>
                <w:rFonts w:cs="Times New Roman"/>
                <w:b/>
                <w:szCs w:val="20"/>
              </w:rPr>
              <w:t>∞</w:t>
            </w:r>
          </w:p>
          <w:p w14:paraId="583A9EED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Cerebrovascular disease</w:t>
            </w:r>
          </w:p>
          <w:p w14:paraId="5BEFCB34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Peripheral vascular disease</w:t>
            </w:r>
          </w:p>
          <w:p w14:paraId="19537351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CKD</w:t>
            </w:r>
          </w:p>
          <w:p w14:paraId="317BB3B5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</w:p>
          <w:p w14:paraId="71A9F2F4" w14:textId="77777777" w:rsidR="00413D76" w:rsidRPr="00BD51C8" w:rsidRDefault="00413D76" w:rsidP="005B0F55">
            <w:pPr>
              <w:spacing w:line="240" w:lineRule="auto"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Chronic lung disease</w:t>
            </w:r>
          </w:p>
        </w:tc>
        <w:tc>
          <w:tcPr>
            <w:tcW w:w="908" w:type="dxa"/>
          </w:tcPr>
          <w:p w14:paraId="1FDA706E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1A17F41F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387 (84%)</w:t>
            </w:r>
          </w:p>
          <w:p w14:paraId="23FCF9AB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125 (82%)</w:t>
            </w:r>
          </w:p>
          <w:p w14:paraId="3B02D5A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1116 (84%)</w:t>
            </w:r>
          </w:p>
          <w:p w14:paraId="76CA90C0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356 (81%)</w:t>
            </w:r>
          </w:p>
        </w:tc>
        <w:tc>
          <w:tcPr>
            <w:tcW w:w="1673" w:type="dxa"/>
          </w:tcPr>
          <w:p w14:paraId="541FFAFA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</w:p>
          <w:p w14:paraId="69EC31F1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0.64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(0.49, 0.82)</w:t>
            </w:r>
          </w:p>
          <w:p w14:paraId="2544E4B0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0.005</w:t>
            </w:r>
          </w:p>
          <w:p w14:paraId="5F05EA42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0.56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(0.37,0.85)</w:t>
            </w:r>
          </w:p>
          <w:p w14:paraId="00F8DA45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65DA38F2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0.60 (0.51, 0.70)</w:t>
            </w:r>
          </w:p>
          <w:p w14:paraId="7FC77860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0.01</w:t>
            </w:r>
          </w:p>
          <w:p w14:paraId="2261E5BA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0.53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(0.42, 0.69)</w:t>
            </w:r>
          </w:p>
          <w:p w14:paraId="20B6C4F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</w:tc>
        <w:tc>
          <w:tcPr>
            <w:tcW w:w="867" w:type="dxa"/>
          </w:tcPr>
          <w:p w14:paraId="1EAE507B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20524CFC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249 (69%)</w:t>
            </w:r>
          </w:p>
          <w:p w14:paraId="10603245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104 (81%)</w:t>
            </w:r>
          </w:p>
          <w:p w14:paraId="557548EC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741 (74%)</w:t>
            </w:r>
          </w:p>
          <w:p w14:paraId="0F7B66FF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229 (70%)</w:t>
            </w:r>
          </w:p>
        </w:tc>
        <w:tc>
          <w:tcPr>
            <w:tcW w:w="1638" w:type="dxa"/>
          </w:tcPr>
          <w:p w14:paraId="0C2AEF46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662A117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0.89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(0.70,1.11)</w:t>
            </w:r>
          </w:p>
          <w:p w14:paraId="76ECF58B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7B94C43D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0.88 (0.81,0.96)</w:t>
            </w:r>
          </w:p>
          <w:p w14:paraId="153943FC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50F1DCB5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0.96 (0.92, 1.01)</w:t>
            </w:r>
          </w:p>
          <w:p w14:paraId="69ACF480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2B2CD028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0.92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(0.72, 1.17)</w:t>
            </w:r>
          </w:p>
          <w:p w14:paraId="713A5975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</w:tc>
        <w:tc>
          <w:tcPr>
            <w:tcW w:w="867" w:type="dxa"/>
          </w:tcPr>
          <w:p w14:paraId="6686CFEB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5CE3524C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249 (51%)</w:t>
            </w:r>
          </w:p>
          <w:p w14:paraId="17D904FB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 xml:space="preserve">80 (51%) </w:t>
            </w:r>
          </w:p>
          <w:p w14:paraId="7BA0BCB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502 (36%)</w:t>
            </w:r>
          </w:p>
          <w:p w14:paraId="6074A6C6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227 (49%)</w:t>
            </w:r>
          </w:p>
        </w:tc>
        <w:tc>
          <w:tcPr>
            <w:tcW w:w="1638" w:type="dxa"/>
          </w:tcPr>
          <w:p w14:paraId="762EE227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 xml:space="preserve"> </w:t>
            </w:r>
          </w:p>
          <w:p w14:paraId="7FA6E56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0.87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(0.72, 1.04)</w:t>
            </w:r>
          </w:p>
          <w:p w14:paraId="40BBAEB5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7B2A2D31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0.87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(0.63, 1.19)</w:t>
            </w:r>
          </w:p>
          <w:p w14:paraId="1C14B008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60B1E6DD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0.41 (0.37, 0.46)</w:t>
            </w:r>
          </w:p>
          <w:p w14:paraId="23F2A2D3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2E5D39C4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0.79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(0.65, 0.95)</w:t>
            </w:r>
          </w:p>
          <w:p w14:paraId="497DE81F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</w:tc>
        <w:tc>
          <w:tcPr>
            <w:tcW w:w="770" w:type="dxa"/>
          </w:tcPr>
          <w:p w14:paraId="7E3ED7E2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4BECE526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306 (67%)</w:t>
            </w:r>
          </w:p>
          <w:p w14:paraId="5A1FB9F2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100 (67%)</w:t>
            </w:r>
          </w:p>
          <w:p w14:paraId="0E2D5C46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887 (67%)</w:t>
            </w:r>
          </w:p>
          <w:p w14:paraId="7D39975B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171 (40%)</w:t>
            </w:r>
          </w:p>
        </w:tc>
        <w:tc>
          <w:tcPr>
            <w:tcW w:w="1735" w:type="dxa"/>
          </w:tcPr>
          <w:p w14:paraId="25708B86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</w:p>
          <w:p w14:paraId="69A56B1E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0.82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(0.75, 0.99)</w:t>
            </w:r>
          </w:p>
          <w:p w14:paraId="0A0B5D21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71007ECC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0.99 (0.70, 1.40)</w:t>
            </w:r>
          </w:p>
          <w:p w14:paraId="3B0D40B6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06784F7A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0.99 </w:t>
            </w:r>
            <w:r w:rsidRPr="00BD51C8">
              <w:rPr>
                <w:rFonts w:cs="Times New Roman"/>
                <w:szCs w:val="20"/>
              </w:rPr>
              <w:t>(0.96, 1.04)</w:t>
            </w:r>
          </w:p>
          <w:p w14:paraId="508DA820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ns</w:t>
            </w:r>
          </w:p>
          <w:p w14:paraId="6577C54A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0.30 (0.25, 0.37)</w:t>
            </w:r>
          </w:p>
          <w:p w14:paraId="3ED896C7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</w:tc>
        <w:tc>
          <w:tcPr>
            <w:tcW w:w="770" w:type="dxa"/>
          </w:tcPr>
          <w:p w14:paraId="161D238B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  <w:p w14:paraId="76E93767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401 (87%)</w:t>
            </w:r>
          </w:p>
          <w:p w14:paraId="6BFF5530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135</w:t>
            </w:r>
          </w:p>
          <w:p w14:paraId="3D740C7F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(89%)</w:t>
            </w:r>
          </w:p>
          <w:p w14:paraId="281039EE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1117 (84%)</w:t>
            </w:r>
          </w:p>
          <w:p w14:paraId="118B387B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360 (82%)</w:t>
            </w:r>
          </w:p>
        </w:tc>
        <w:tc>
          <w:tcPr>
            <w:tcW w:w="1735" w:type="dxa"/>
          </w:tcPr>
          <w:p w14:paraId="25027212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 xml:space="preserve"> </w:t>
            </w:r>
          </w:p>
          <w:p w14:paraId="69DED688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0.80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(0.67, 0.95)</w:t>
            </w:r>
          </w:p>
          <w:p w14:paraId="24D90FE0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3642D081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0.82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(0.70, 0.99)</w:t>
            </w:r>
          </w:p>
          <w:p w14:paraId="3C45AD52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5816EF11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0.73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>(0.62, 0.85)</w:t>
            </w:r>
          </w:p>
          <w:p w14:paraId="02DE3592" w14:textId="77777777" w:rsidR="00413D76" w:rsidRPr="00BD51C8" w:rsidRDefault="00413D76" w:rsidP="005B0F55">
            <w:pPr>
              <w:spacing w:line="240" w:lineRule="auto"/>
              <w:contextualSpacing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*</w:t>
            </w:r>
          </w:p>
          <w:p w14:paraId="21B9E613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0.66</w:t>
            </w:r>
            <w:r>
              <w:rPr>
                <w:rFonts w:cs="Times New Roman"/>
                <w:szCs w:val="20"/>
              </w:rPr>
              <w:t xml:space="preserve"> </w:t>
            </w:r>
            <w:r w:rsidRPr="00BD51C8">
              <w:rPr>
                <w:rFonts w:cs="Times New Roman"/>
                <w:szCs w:val="20"/>
              </w:rPr>
              <w:t xml:space="preserve">(0.51, 0.85) </w:t>
            </w:r>
          </w:p>
          <w:p w14:paraId="73BC3E0B" w14:textId="77777777" w:rsidR="00413D76" w:rsidRPr="00BD51C8" w:rsidRDefault="00413D76" w:rsidP="005B0F55">
            <w:pPr>
              <w:spacing w:line="240" w:lineRule="auto"/>
              <w:rPr>
                <w:rFonts w:cs="Times New Roman"/>
                <w:szCs w:val="20"/>
              </w:rPr>
            </w:pPr>
            <w:r w:rsidRPr="00BD51C8">
              <w:rPr>
                <w:rFonts w:cs="Times New Roman"/>
                <w:szCs w:val="20"/>
              </w:rPr>
              <w:t>0.001</w:t>
            </w:r>
          </w:p>
          <w:p w14:paraId="17A5265B" w14:textId="77777777" w:rsidR="00413D76" w:rsidRPr="00BD51C8" w:rsidRDefault="00413D76" w:rsidP="005B0F55">
            <w:pPr>
              <w:spacing w:line="240" w:lineRule="auto"/>
              <w:contextualSpacing/>
              <w:jc w:val="left"/>
              <w:rPr>
                <w:rFonts w:cs="Times New Roman"/>
                <w:szCs w:val="20"/>
              </w:rPr>
            </w:pPr>
          </w:p>
        </w:tc>
      </w:tr>
    </w:tbl>
    <w:p w14:paraId="4F57A6A8" w14:textId="420C0E6C" w:rsidR="004962AB" w:rsidRPr="004962AB" w:rsidRDefault="004962AB" w:rsidP="00413D76">
      <w:r>
        <w:rPr>
          <w:rFonts w:cs="Times New Roman"/>
          <w:b/>
          <w:szCs w:val="20"/>
        </w:rPr>
        <w:t>∞</w:t>
      </w:r>
      <w:r>
        <w:rPr>
          <w:rFonts w:cs="Times New Roman"/>
          <w:b/>
          <w:szCs w:val="20"/>
        </w:rPr>
        <w:t xml:space="preserve"> </w:t>
      </w:r>
      <w:r w:rsidRPr="004962AB">
        <w:rPr>
          <w:rFonts w:cs="Times New Roman"/>
          <w:szCs w:val="20"/>
        </w:rPr>
        <w:t xml:space="preserve">Reference= those without the risk factor/co-morbidities </w:t>
      </w:r>
    </w:p>
    <w:p w14:paraId="3EEB4D74" w14:textId="4615D9F7" w:rsidR="004962AB" w:rsidRDefault="00413D76" w:rsidP="00413D76">
      <w:r>
        <w:t>*</w:t>
      </w:r>
      <w:r w:rsidRPr="00924CA7">
        <w:rPr>
          <w:i/>
        </w:rPr>
        <w:t>p</w:t>
      </w:r>
      <w:r>
        <w:t xml:space="preserve">&lt;0.0001 </w:t>
      </w:r>
    </w:p>
    <w:p w14:paraId="37C18451" w14:textId="3054C3E1" w:rsidR="00F04F04" w:rsidRDefault="00413D76" w:rsidP="00413D76">
      <w:r>
        <w:t xml:space="preserve">ns not significant </w:t>
      </w:r>
    </w:p>
    <w:sectPr w:rsidR="00F04F04" w:rsidSect="00413D7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7C797E"/>
    <w:multiLevelType w:val="hybridMultilevel"/>
    <w:tmpl w:val="1D802F6E"/>
    <w:lvl w:ilvl="0" w:tplc="DAF0A86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340"/>
    <w:rsid w:val="00062058"/>
    <w:rsid w:val="003D1DE8"/>
    <w:rsid w:val="003E16E1"/>
    <w:rsid w:val="00413D76"/>
    <w:rsid w:val="00416C82"/>
    <w:rsid w:val="004962AB"/>
    <w:rsid w:val="00614BBB"/>
    <w:rsid w:val="00667340"/>
    <w:rsid w:val="009B29C1"/>
    <w:rsid w:val="00D6799E"/>
    <w:rsid w:val="00E527C8"/>
    <w:rsid w:val="00EC556D"/>
    <w:rsid w:val="00F0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FDF31"/>
  <w15:chartTrackingRefBased/>
  <w15:docId w15:val="{7B78DACA-F5C3-4A87-AB71-38ECC5FE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7340"/>
    <w:pPr>
      <w:spacing w:line="360" w:lineRule="auto"/>
      <w:jc w:val="both"/>
    </w:pPr>
    <w:rPr>
      <w:rFonts w:ascii="Times New Roman" w:hAnsi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340"/>
    <w:pPr>
      <w:spacing w:after="0" w:line="240" w:lineRule="auto"/>
    </w:pPr>
    <w:rPr>
      <w:lang w:val="ms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7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 AHMAD HAFIZ BIN WAN MD ADNAN</dc:creator>
  <cp:keywords/>
  <dc:description/>
  <cp:lastModifiedBy>WAN AHMAD HAFIZ BIN WAN MD ADNAN</cp:lastModifiedBy>
  <cp:revision>2</cp:revision>
  <dcterms:created xsi:type="dcterms:W3CDTF">2018-01-22T04:13:00Z</dcterms:created>
  <dcterms:modified xsi:type="dcterms:W3CDTF">2018-01-22T04:13:00Z</dcterms:modified>
</cp:coreProperties>
</file>