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6DF32" w14:textId="00BA9041" w:rsidR="00E36FB2" w:rsidRPr="00432588" w:rsidRDefault="00997796" w:rsidP="00071ECB">
      <w:pPr>
        <w:spacing w:after="200" w:line="276" w:lineRule="auto"/>
        <w:rPr>
          <w:sz w:val="18"/>
          <w:szCs w:val="18"/>
        </w:rPr>
      </w:pPr>
      <w:r>
        <w:rPr>
          <w:rFonts w:cs="Arial"/>
          <w:b/>
          <w:color w:val="000000" w:themeColor="text1"/>
          <w:szCs w:val="20"/>
        </w:rPr>
        <w:t>Supplementary M</w:t>
      </w:r>
      <w:r w:rsidR="00071ECB">
        <w:rPr>
          <w:rFonts w:cs="Arial"/>
          <w:b/>
          <w:color w:val="000000" w:themeColor="text1"/>
          <w:szCs w:val="20"/>
        </w:rPr>
        <w:t>aterial B</w:t>
      </w:r>
      <w:r w:rsidR="00E36FB2" w:rsidRPr="00B87C12">
        <w:rPr>
          <w:rFonts w:cs="Arial"/>
          <w:b/>
          <w:color w:val="000000" w:themeColor="text1"/>
          <w:szCs w:val="20"/>
        </w:rPr>
        <w:t>.</w:t>
      </w:r>
      <w:r w:rsidR="00E36FB2" w:rsidRPr="00B87C12">
        <w:rPr>
          <w:rFonts w:cs="Arial"/>
          <w:color w:val="000000" w:themeColor="text1"/>
          <w:szCs w:val="20"/>
        </w:rPr>
        <w:t xml:space="preserve"> </w:t>
      </w:r>
      <w:r w:rsidR="008E78AD">
        <w:rPr>
          <w:rFonts w:cs="Arial"/>
          <w:color w:val="000000" w:themeColor="text1"/>
          <w:szCs w:val="20"/>
        </w:rPr>
        <w:t>Students’ t</w:t>
      </w:r>
      <w:r w:rsidR="00071ECB">
        <w:rPr>
          <w:rFonts w:cs="Arial"/>
          <w:color w:val="000000" w:themeColor="text1"/>
          <w:szCs w:val="20"/>
        </w:rPr>
        <w:t>herapy choices</w:t>
      </w:r>
      <w:r w:rsidR="0064052A">
        <w:rPr>
          <w:rFonts w:cs="Arial"/>
          <w:color w:val="000000" w:themeColor="text1"/>
          <w:szCs w:val="20"/>
        </w:rPr>
        <w:t xml:space="preserve"> </w:t>
      </w:r>
      <w:r w:rsidR="00071ECB">
        <w:rPr>
          <w:rFonts w:cs="Arial"/>
          <w:color w:val="000000" w:themeColor="text1"/>
          <w:szCs w:val="20"/>
        </w:rPr>
        <w:t xml:space="preserve">rated as </w:t>
      </w:r>
      <w:r w:rsidR="00B967B1">
        <w:rPr>
          <w:rFonts w:cs="Arial"/>
          <w:color w:val="000000" w:themeColor="text1"/>
          <w:szCs w:val="20"/>
        </w:rPr>
        <w:t xml:space="preserve">being </w:t>
      </w:r>
      <w:r w:rsidR="00071ECB">
        <w:rPr>
          <w:rFonts w:cs="Arial"/>
          <w:color w:val="000000" w:themeColor="text1"/>
          <w:szCs w:val="20"/>
        </w:rPr>
        <w:t>‘potentially harmful (n= 1</w:t>
      </w:r>
      <w:r w:rsidR="004E0D16">
        <w:rPr>
          <w:rFonts w:cs="Arial"/>
          <w:color w:val="000000" w:themeColor="text1"/>
          <w:szCs w:val="20"/>
        </w:rPr>
        <w:t>5</w:t>
      </w:r>
      <w:r w:rsidR="00071ECB">
        <w:rPr>
          <w:rFonts w:cs="Arial"/>
          <w:color w:val="000000" w:themeColor="text1"/>
          <w:szCs w:val="20"/>
        </w:rPr>
        <w:t xml:space="preserve">) and ‘potentially lethal’ (n= 5). </w:t>
      </w:r>
    </w:p>
    <w:tbl>
      <w:tblPr>
        <w:tblStyle w:val="Lichtearcering-accent1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4394"/>
      </w:tblGrid>
      <w:tr w:rsidR="001136C7" w:rsidRPr="00F12D81" w14:paraId="396C0B0C" w14:textId="77777777" w:rsidTr="00361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C37A6E9" w14:textId="2335E405" w:rsidR="001136C7" w:rsidRPr="00A36ADA" w:rsidRDefault="001136C7" w:rsidP="00A36ADA">
            <w:pPr>
              <w:rPr>
                <w:rFonts w:cs="Arial"/>
                <w:bCs w:val="0"/>
                <w:color w:val="auto"/>
                <w:sz w:val="18"/>
                <w:szCs w:val="18"/>
                <w:lang w:val="en-US" w:eastAsia="nl-NL"/>
              </w:rPr>
            </w:pPr>
            <w:r w:rsidRPr="00A36ADA">
              <w:rPr>
                <w:rFonts w:cs="Arial"/>
                <w:bCs w:val="0"/>
                <w:color w:val="auto"/>
                <w:sz w:val="18"/>
                <w:szCs w:val="18"/>
                <w:lang w:val="en-US" w:eastAsia="nl-NL"/>
              </w:rPr>
              <w:t>Category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13D54F12" w14:textId="2B969DFC" w:rsidR="001136C7" w:rsidRPr="00F12D81" w:rsidRDefault="001136C7" w:rsidP="00A36A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color w:val="auto"/>
                <w:sz w:val="18"/>
                <w:szCs w:val="18"/>
                <w:lang w:val="en-US" w:eastAsia="nl-NL"/>
              </w:rPr>
            </w:pPr>
            <w:r>
              <w:rPr>
                <w:rFonts w:cs="Arial"/>
                <w:bCs w:val="0"/>
                <w:color w:val="auto"/>
                <w:sz w:val="18"/>
                <w:szCs w:val="18"/>
                <w:lang w:val="en-US" w:eastAsia="nl-NL"/>
              </w:rPr>
              <w:t xml:space="preserve">Traditional programme 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47253A" w14:textId="29A86A19" w:rsidR="001136C7" w:rsidRPr="00F12D81" w:rsidRDefault="001136C7" w:rsidP="008055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color w:val="auto"/>
                <w:sz w:val="18"/>
                <w:szCs w:val="18"/>
                <w:lang w:val="en-US" w:eastAsia="nl-NL"/>
              </w:rPr>
            </w:pPr>
            <w:r>
              <w:rPr>
                <w:rFonts w:cs="Arial"/>
                <w:bCs w:val="0"/>
                <w:color w:val="auto"/>
                <w:sz w:val="18"/>
                <w:szCs w:val="18"/>
                <w:lang w:val="en-US" w:eastAsia="nl-NL"/>
              </w:rPr>
              <w:t>PBL programme</w:t>
            </w:r>
          </w:p>
        </w:tc>
      </w:tr>
      <w:tr w:rsidR="00CD490D" w:rsidRPr="00F12D81" w14:paraId="7BAE0329" w14:textId="77777777" w:rsidTr="00361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68FCF56A" w14:textId="77777777" w:rsidR="00CD3A34" w:rsidRDefault="00CD490D" w:rsidP="00CD490D">
            <w:pPr>
              <w:rPr>
                <w:rFonts w:cs="Arial"/>
                <w:color w:val="auto"/>
                <w:sz w:val="18"/>
                <w:szCs w:val="18"/>
              </w:rPr>
            </w:pPr>
            <w:r w:rsidRPr="00A36ADA">
              <w:rPr>
                <w:rFonts w:cs="Arial"/>
                <w:color w:val="auto"/>
                <w:sz w:val="18"/>
                <w:szCs w:val="18"/>
              </w:rPr>
              <w:t>Potentially harmful</w:t>
            </w:r>
          </w:p>
          <w:p w14:paraId="5A272CD6" w14:textId="27106978" w:rsidR="00CD490D" w:rsidRPr="00A36ADA" w:rsidRDefault="00CD3A34" w:rsidP="00DB2E09">
            <w:pPr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(n= 1</w:t>
            </w:r>
            <w:r w:rsidR="00DB2E09">
              <w:rPr>
                <w:rFonts w:cs="Arial"/>
                <w:color w:val="auto"/>
                <w:sz w:val="18"/>
                <w:szCs w:val="18"/>
              </w:rPr>
              <w:t>5</w:t>
            </w:r>
            <w:r>
              <w:rPr>
                <w:rFonts w:cs="Arial"/>
                <w:color w:val="auto"/>
                <w:sz w:val="18"/>
                <w:szCs w:val="18"/>
              </w:rPr>
              <w:t>)</w:t>
            </w:r>
            <w:r w:rsidR="00CD490D" w:rsidRPr="00A36ADA">
              <w:rPr>
                <w:rFonts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hideMark/>
          </w:tcPr>
          <w:p w14:paraId="107A9FC8" w14:textId="45377D58" w:rsidR="00CD490D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eastAsiaTheme="minorEastAsia" w:cs="Arial"/>
                <w:i/>
                <w:color w:val="231F20"/>
                <w:sz w:val="18"/>
                <w:szCs w:val="18"/>
              </w:rPr>
              <w:t>Osteoarthritis</w:t>
            </w:r>
            <w:r w:rsidRPr="00137533">
              <w:rPr>
                <w:rFonts w:eastAsiaTheme="minorEastAsia" w:cs="Arial"/>
                <w:i/>
                <w:color w:val="231F20"/>
                <w:sz w:val="18"/>
                <w:szCs w:val="18"/>
              </w:rPr>
              <w:t>:</w:t>
            </w:r>
            <w:r w:rsidRPr="00137533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cs="Arial"/>
                <w:color w:val="auto"/>
                <w:sz w:val="18"/>
                <w:szCs w:val="18"/>
              </w:rPr>
              <w:br/>
              <w:t xml:space="preserve">Prednisolone 100 mg once a day orally for 5 days (drug inappropriate for indication with potential </w:t>
            </w:r>
            <w:r w:rsidR="007E777B">
              <w:rPr>
                <w:rFonts w:cs="Arial"/>
                <w:color w:val="auto"/>
                <w:sz w:val="18"/>
                <w:szCs w:val="18"/>
              </w:rPr>
              <w:t>harmful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side effects)</w:t>
            </w:r>
          </w:p>
          <w:p w14:paraId="2801C99A" w14:textId="6063D726" w:rsidR="00CD490D" w:rsidRPr="00135A4A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sz w:val="18"/>
                <w:szCs w:val="18"/>
                <w:highlight w:val="red"/>
                <w:lang w:eastAsia="nl-NL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5D81F699" w14:textId="77777777" w:rsidR="00484F8F" w:rsidRPr="00BA60D1" w:rsidRDefault="00484F8F" w:rsidP="0048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color w:val="auto"/>
                <w:sz w:val="18"/>
                <w:szCs w:val="18"/>
              </w:rPr>
            </w:pPr>
            <w:r>
              <w:rPr>
                <w:rFonts w:cs="Arial"/>
                <w:i/>
                <w:color w:val="auto"/>
                <w:sz w:val="18"/>
                <w:szCs w:val="18"/>
              </w:rPr>
              <w:t>Community-</w:t>
            </w:r>
            <w:r w:rsidRPr="00BA60D1">
              <w:rPr>
                <w:rFonts w:cs="Arial"/>
                <w:i/>
                <w:color w:val="auto"/>
                <w:sz w:val="18"/>
                <w:szCs w:val="18"/>
              </w:rPr>
              <w:t>acquired pneumonia case:</w:t>
            </w:r>
          </w:p>
          <w:p w14:paraId="4EFEC30A" w14:textId="77777777" w:rsidR="00CD490D" w:rsidRDefault="00484F8F" w:rsidP="0048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 xml:space="preserve">Amoxicillin 1000 mg together </w:t>
            </w:r>
            <w:r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  <w:t xml:space="preserve">with </w:t>
            </w:r>
            <w:r w:rsidRPr="007B2EAB"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  <w:t>clavulanic acid</w:t>
            </w:r>
            <w:r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  <w:t xml:space="preserve"> 200 mg intravenously twice a day for 7 days (incorrect drug form; intravenous therapy means that the patient has to be admitted to the hospital although there is no indication)</w:t>
            </w:r>
          </w:p>
          <w:p w14:paraId="679FE200" w14:textId="31596EDC" w:rsidR="00484F8F" w:rsidRPr="00991853" w:rsidRDefault="00484F8F" w:rsidP="0048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CD490D" w:rsidRPr="00F12D81" w14:paraId="2EA9C516" w14:textId="77777777" w:rsidTr="0036181F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1FADE1B" w14:textId="77777777" w:rsidR="00CD490D" w:rsidRPr="0072606C" w:rsidRDefault="00CD490D" w:rsidP="00CD490D">
            <w:pPr>
              <w:rPr>
                <w:rFonts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EB43CA8" w14:textId="4C1826EB" w:rsidR="00CD490D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eastAsiaTheme="minorEastAsia" w:cs="Arial"/>
                <w:i/>
                <w:color w:val="231F20"/>
                <w:sz w:val="18"/>
                <w:szCs w:val="18"/>
              </w:rPr>
              <w:t>Osteoarthritis</w:t>
            </w:r>
            <w:r w:rsidRPr="00137533">
              <w:rPr>
                <w:rFonts w:eastAsiaTheme="minorEastAsia" w:cs="Arial"/>
                <w:i/>
                <w:color w:val="231F20"/>
                <w:sz w:val="18"/>
                <w:szCs w:val="18"/>
              </w:rPr>
              <w:t>:</w:t>
            </w:r>
            <w:r w:rsidRPr="00137533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cs="Arial"/>
                <w:color w:val="auto"/>
                <w:sz w:val="18"/>
                <w:szCs w:val="18"/>
              </w:rPr>
              <w:br/>
              <w:t xml:space="preserve">Prednisolone 40 mg once a day orally for one week (drug inappropriate for indication with potential </w:t>
            </w:r>
            <w:r w:rsidR="005E43E9">
              <w:rPr>
                <w:rFonts w:cs="Arial"/>
                <w:color w:val="auto"/>
                <w:sz w:val="18"/>
                <w:szCs w:val="18"/>
              </w:rPr>
              <w:t>harmful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side effects)</w:t>
            </w:r>
          </w:p>
          <w:p w14:paraId="1615E264" w14:textId="34DE3F31" w:rsidR="00CD490D" w:rsidRPr="00135A4A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auto"/>
                <w:sz w:val="18"/>
                <w:szCs w:val="18"/>
                <w:highlight w:val="red"/>
                <w:lang w:eastAsia="nl-N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8DF9FC9" w14:textId="77777777" w:rsidR="00CD490D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</w:rPr>
            </w:pPr>
            <w:r w:rsidRPr="00BA60D1">
              <w:rPr>
                <w:rFonts w:cs="Arial"/>
                <w:i/>
                <w:color w:val="auto"/>
                <w:sz w:val="18"/>
                <w:szCs w:val="18"/>
              </w:rPr>
              <w:t>Essential hypertension case: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</w:t>
            </w:r>
          </w:p>
          <w:p w14:paraId="7601A72D" w14:textId="60B94567" w:rsidR="00CD490D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Captopril 75 mg twice a day orally for three months (less recommended drug choice for indication</w:t>
            </w:r>
            <w:r w:rsidR="00EC77D4">
              <w:rPr>
                <w:rFonts w:cs="Arial"/>
                <w:color w:val="auto"/>
                <w:sz w:val="18"/>
                <w:szCs w:val="18"/>
              </w:rPr>
              <w:t xml:space="preserve"> and overdose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) </w:t>
            </w:r>
          </w:p>
          <w:p w14:paraId="609AD351" w14:textId="7D465AFF" w:rsidR="00CD490D" w:rsidRPr="00991853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CD490D" w:rsidRPr="00261CD0" w14:paraId="6CADB1A2" w14:textId="77777777" w:rsidTr="00361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F32C8B8" w14:textId="5F3A1B62" w:rsidR="00CD490D" w:rsidRPr="0072606C" w:rsidRDefault="00CD490D" w:rsidP="00CD490D">
            <w:pPr>
              <w:rPr>
                <w:rFonts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6F160299" w14:textId="0FF8E766" w:rsidR="00CD490D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eastAsiaTheme="minorEastAsia" w:cs="Arial"/>
                <w:i/>
                <w:color w:val="231F20"/>
                <w:sz w:val="18"/>
                <w:szCs w:val="18"/>
              </w:rPr>
              <w:t>Osteoarthritis</w:t>
            </w:r>
            <w:r w:rsidRPr="00137533">
              <w:rPr>
                <w:rFonts w:eastAsiaTheme="minorEastAsia" w:cs="Arial"/>
                <w:i/>
                <w:color w:val="231F20"/>
                <w:sz w:val="18"/>
                <w:szCs w:val="18"/>
              </w:rPr>
              <w:t>:</w:t>
            </w:r>
            <w:r w:rsidRPr="00137533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cs="Arial"/>
                <w:color w:val="auto"/>
                <w:sz w:val="18"/>
                <w:szCs w:val="18"/>
              </w:rPr>
              <w:br/>
              <w:t xml:space="preserve">Ibuprofen 1000 mg twice a day orally for undefined period together with omeprazole 400 mg once a day </w:t>
            </w:r>
            <w:r w:rsidR="00AF13AA">
              <w:rPr>
                <w:rFonts w:cs="Arial"/>
                <w:color w:val="auto"/>
                <w:sz w:val="18"/>
                <w:szCs w:val="18"/>
              </w:rPr>
              <w:t xml:space="preserve">orally 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for undefined period (overdose with potential </w:t>
            </w:r>
            <w:r w:rsidR="00A32425">
              <w:rPr>
                <w:rFonts w:cs="Arial"/>
                <w:color w:val="auto"/>
                <w:sz w:val="18"/>
                <w:szCs w:val="18"/>
              </w:rPr>
              <w:t>harmful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side effects and incomplete prescription)</w:t>
            </w:r>
          </w:p>
          <w:p w14:paraId="5BE77494" w14:textId="77777777" w:rsidR="00CD490D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</w:pPr>
          </w:p>
          <w:p w14:paraId="31841701" w14:textId="77777777" w:rsidR="00CD490D" w:rsidRPr="00BA60D1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color w:val="auto"/>
                <w:sz w:val="18"/>
                <w:szCs w:val="18"/>
              </w:rPr>
            </w:pPr>
            <w:r>
              <w:rPr>
                <w:rFonts w:cs="Arial"/>
                <w:i/>
                <w:color w:val="auto"/>
                <w:sz w:val="18"/>
                <w:szCs w:val="18"/>
              </w:rPr>
              <w:t>Acute bronchitis</w:t>
            </w:r>
            <w:r w:rsidRPr="00BA60D1">
              <w:rPr>
                <w:rFonts w:cs="Arial"/>
                <w:i/>
                <w:color w:val="auto"/>
                <w:sz w:val="18"/>
                <w:szCs w:val="18"/>
              </w:rPr>
              <w:t xml:space="preserve"> case:</w:t>
            </w:r>
          </w:p>
          <w:p w14:paraId="1A37D3D9" w14:textId="4331D477" w:rsidR="00CD490D" w:rsidRPr="0072606C" w:rsidRDefault="00CD490D" w:rsidP="00A022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sz w:val="18"/>
                <w:szCs w:val="18"/>
                <w:lang w:eastAsia="nl-NL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 xml:space="preserve">Prednisone with unknown dosage, duration and route of administration (drug inappropriate for indication with potential </w:t>
            </w:r>
            <w:r w:rsidR="00A02282">
              <w:rPr>
                <w:rFonts w:cs="Arial"/>
                <w:color w:val="auto"/>
                <w:sz w:val="18"/>
                <w:szCs w:val="18"/>
              </w:rPr>
              <w:t>harmful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side effects and incomplete prescription)</w:t>
            </w:r>
          </w:p>
        </w:tc>
        <w:tc>
          <w:tcPr>
            <w:tcW w:w="439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728BDA2" w14:textId="5BA9A366" w:rsidR="00484F8F" w:rsidRDefault="00484F8F" w:rsidP="0048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</w:rPr>
            </w:pPr>
            <w:r w:rsidRPr="00137533">
              <w:rPr>
                <w:rFonts w:eastAsiaTheme="minorEastAsia" w:cs="Arial"/>
                <w:i/>
                <w:color w:val="231F20"/>
                <w:sz w:val="18"/>
                <w:szCs w:val="18"/>
              </w:rPr>
              <w:t>Gastroesophageal reflux case:</w:t>
            </w:r>
            <w:r w:rsidRPr="00137533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A852BF">
              <w:rPr>
                <w:rFonts w:cs="Arial"/>
                <w:color w:val="auto"/>
                <w:sz w:val="18"/>
                <w:szCs w:val="18"/>
              </w:rPr>
              <w:br/>
            </w:r>
            <w:r w:rsidRPr="00137533">
              <w:rPr>
                <w:rFonts w:cs="Arial"/>
                <w:color w:val="auto"/>
                <w:sz w:val="18"/>
                <w:szCs w:val="18"/>
              </w:rPr>
              <w:t>Omeprazole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150 three items a day orally for one month (overdose with potential </w:t>
            </w:r>
            <w:r w:rsidR="007710B5">
              <w:rPr>
                <w:rFonts w:cs="Arial"/>
                <w:color w:val="auto"/>
                <w:sz w:val="18"/>
                <w:szCs w:val="18"/>
              </w:rPr>
              <w:t>harmful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side effects)</w:t>
            </w:r>
          </w:p>
          <w:p w14:paraId="6AC6EE37" w14:textId="12ABA267" w:rsidR="00CD490D" w:rsidRPr="00261CD0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CD490D" w:rsidRPr="00261CD0" w14:paraId="37CFC391" w14:textId="77777777" w:rsidTr="0036181F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A14EEA5" w14:textId="77777777" w:rsidR="00CD490D" w:rsidRPr="0072606C" w:rsidRDefault="00CD490D" w:rsidP="00CD490D">
            <w:pPr>
              <w:rPr>
                <w:rFonts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013F207" w14:textId="77777777" w:rsidR="00CD490D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838D852" w14:textId="77777777" w:rsidR="00CD490D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CD490D" w:rsidRPr="00261CD0" w14:paraId="2DC94ADC" w14:textId="77777777" w:rsidTr="00361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19617845" w14:textId="5339719E" w:rsidR="00CD490D" w:rsidRPr="0072606C" w:rsidRDefault="00CD490D" w:rsidP="00CD490D">
            <w:pPr>
              <w:rPr>
                <w:rFonts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14:paraId="6A098341" w14:textId="77777777" w:rsidR="00CD490D" w:rsidRPr="00BA60D1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color w:val="auto"/>
                <w:sz w:val="18"/>
                <w:szCs w:val="18"/>
              </w:rPr>
            </w:pPr>
            <w:r>
              <w:rPr>
                <w:rFonts w:cs="Arial"/>
                <w:i/>
                <w:color w:val="auto"/>
                <w:sz w:val="18"/>
                <w:szCs w:val="18"/>
              </w:rPr>
              <w:t>Acute bronchitis</w:t>
            </w:r>
            <w:r w:rsidRPr="00BA60D1">
              <w:rPr>
                <w:rFonts w:cs="Arial"/>
                <w:i/>
                <w:color w:val="auto"/>
                <w:sz w:val="18"/>
                <w:szCs w:val="18"/>
              </w:rPr>
              <w:t xml:space="preserve"> case:</w:t>
            </w:r>
          </w:p>
          <w:p w14:paraId="213F5DB5" w14:textId="57E64EA1" w:rsidR="00CD490D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Amoxicillin and clavulanic acid 500/200 mg three times a day orally for 6 days (drug inappropriate for indication with potential significant side effects)</w:t>
            </w:r>
          </w:p>
          <w:p w14:paraId="49B0F971" w14:textId="77777777" w:rsidR="00CD490D" w:rsidRPr="0072606C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sz w:val="18"/>
                <w:szCs w:val="18"/>
                <w:lang w:eastAsia="nl-NL"/>
              </w:rPr>
            </w:pPr>
          </w:p>
        </w:tc>
        <w:tc>
          <w:tcPr>
            <w:tcW w:w="439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55E4D54" w14:textId="33785C5C" w:rsidR="00CD490D" w:rsidRPr="00261CD0" w:rsidRDefault="00CD490D" w:rsidP="0048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CD490D" w:rsidRPr="00261CD0" w14:paraId="56F5E589" w14:textId="77777777" w:rsidTr="0036181F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2C12799" w14:textId="77777777" w:rsidR="00CD490D" w:rsidRPr="0072606C" w:rsidRDefault="00CD490D" w:rsidP="00CD490D">
            <w:pPr>
              <w:rPr>
                <w:rFonts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8C7705C" w14:textId="1D7D5B7B" w:rsidR="00CD490D" w:rsidRPr="00BA60D1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color w:val="auto"/>
                <w:sz w:val="18"/>
                <w:szCs w:val="18"/>
              </w:rPr>
            </w:pPr>
            <w:r>
              <w:rPr>
                <w:rFonts w:cs="Arial"/>
                <w:i/>
                <w:color w:val="auto"/>
                <w:sz w:val="18"/>
                <w:szCs w:val="18"/>
              </w:rPr>
              <w:t>Acute bronchitis</w:t>
            </w:r>
            <w:r w:rsidRPr="00BA60D1">
              <w:rPr>
                <w:rFonts w:cs="Arial"/>
                <w:i/>
                <w:color w:val="auto"/>
                <w:sz w:val="18"/>
                <w:szCs w:val="18"/>
              </w:rPr>
              <w:t xml:space="preserve"> case:</w:t>
            </w:r>
          </w:p>
          <w:p w14:paraId="062E4361" w14:textId="123D6CA9" w:rsidR="00CD490D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 xml:space="preserve">Amoxicillin and clavulanic acid with unknown dosage, duration and route of administration (drug inappropriate for indication with potential </w:t>
            </w:r>
            <w:r w:rsidR="00740E37">
              <w:rPr>
                <w:rFonts w:cs="Arial"/>
                <w:color w:val="auto"/>
                <w:sz w:val="18"/>
                <w:szCs w:val="18"/>
              </w:rPr>
              <w:t>harmful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side effects and incomplete </w:t>
            </w:r>
            <w:r w:rsidR="001153B2">
              <w:rPr>
                <w:rFonts w:cs="Arial"/>
                <w:color w:val="auto"/>
                <w:sz w:val="18"/>
                <w:szCs w:val="18"/>
              </w:rPr>
              <w:t xml:space="preserve">drug </w:t>
            </w:r>
            <w:r>
              <w:rPr>
                <w:rFonts w:cs="Arial"/>
                <w:color w:val="auto"/>
                <w:sz w:val="18"/>
                <w:szCs w:val="18"/>
              </w:rPr>
              <w:t>prescription)</w:t>
            </w:r>
          </w:p>
          <w:p w14:paraId="3718E370" w14:textId="77777777" w:rsidR="00CD490D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0DA04C5" w14:textId="77777777" w:rsidR="00CD490D" w:rsidRDefault="00CD490D" w:rsidP="00484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CD490D" w:rsidRPr="00261CD0" w14:paraId="0B361A76" w14:textId="77777777" w:rsidTr="00361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71A4F470" w14:textId="77777777" w:rsidR="00CD490D" w:rsidRPr="0072606C" w:rsidRDefault="00CD490D" w:rsidP="00CD490D">
            <w:pPr>
              <w:rPr>
                <w:rFonts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38B59E8" w14:textId="77777777" w:rsidR="00CD490D" w:rsidRPr="00BA60D1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color w:val="auto"/>
                <w:sz w:val="18"/>
                <w:szCs w:val="18"/>
              </w:rPr>
            </w:pPr>
            <w:r>
              <w:rPr>
                <w:rFonts w:cs="Arial"/>
                <w:i/>
                <w:color w:val="auto"/>
                <w:sz w:val="18"/>
                <w:szCs w:val="18"/>
              </w:rPr>
              <w:t>Community-</w:t>
            </w:r>
            <w:r w:rsidRPr="00BA60D1">
              <w:rPr>
                <w:rFonts w:cs="Arial"/>
                <w:i/>
                <w:color w:val="auto"/>
                <w:sz w:val="18"/>
                <w:szCs w:val="18"/>
              </w:rPr>
              <w:t>acquired pneumonia case:</w:t>
            </w:r>
          </w:p>
          <w:p w14:paraId="604257E9" w14:textId="5DC9F543" w:rsidR="00CD490D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shd w:val="clear" w:color="auto" w:fill="FFFFFF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 xml:space="preserve">Levofloxacin 400 mg </w:t>
            </w:r>
            <w:r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  <w:t xml:space="preserve">intravenously during three hours (less recommended drug and incorrect drug form; intravenous </w:t>
            </w:r>
            <w:r w:rsidR="001153B2"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  <w:t xml:space="preserve">therapy </w:t>
            </w:r>
            <w:r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  <w:t>means that the patient has to be admitted to the hospital although there is no indication)</w:t>
            </w:r>
          </w:p>
        </w:tc>
        <w:tc>
          <w:tcPr>
            <w:tcW w:w="439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C336853" w14:textId="77777777" w:rsidR="00CD490D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CD490D" w:rsidRPr="00261CD0" w14:paraId="5B9B41D5" w14:textId="77777777" w:rsidTr="0036181F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772F900" w14:textId="77777777" w:rsidR="00CD490D" w:rsidRPr="0072606C" w:rsidRDefault="00CD490D" w:rsidP="00CD490D">
            <w:pPr>
              <w:rPr>
                <w:rFonts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681E660" w14:textId="61036E18" w:rsidR="00CD490D" w:rsidRPr="0072606C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auto"/>
                <w:sz w:val="18"/>
                <w:szCs w:val="18"/>
                <w:lang w:eastAsia="nl-NL"/>
              </w:rPr>
            </w:pPr>
          </w:p>
        </w:tc>
        <w:tc>
          <w:tcPr>
            <w:tcW w:w="439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06FC9BF" w14:textId="58885F78" w:rsidR="00CD490D" w:rsidRPr="00261CD0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CD490D" w:rsidRPr="00261CD0" w14:paraId="26EE3E37" w14:textId="77777777" w:rsidTr="00361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92EFA1B" w14:textId="77777777" w:rsidR="00CD490D" w:rsidRPr="0072606C" w:rsidRDefault="00CD490D" w:rsidP="00CD490D">
            <w:pPr>
              <w:rPr>
                <w:rFonts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A3DC13D" w14:textId="132A4408" w:rsidR="00CD490D" w:rsidRPr="0072606C" w:rsidRDefault="00CD490D" w:rsidP="00EA54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nl-NL"/>
              </w:rPr>
            </w:pPr>
            <w:r w:rsidRPr="00137533">
              <w:rPr>
                <w:rFonts w:eastAsiaTheme="minorEastAsia" w:cs="Arial"/>
                <w:i/>
                <w:color w:val="231F20"/>
                <w:sz w:val="18"/>
                <w:szCs w:val="18"/>
              </w:rPr>
              <w:t>Gastroesophageal reflux case:</w:t>
            </w:r>
            <w:r w:rsidRPr="00137533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cs="Arial"/>
                <w:color w:val="auto"/>
                <w:sz w:val="18"/>
                <w:szCs w:val="18"/>
              </w:rPr>
              <w:br/>
            </w:r>
            <w:r w:rsidRPr="00137533">
              <w:rPr>
                <w:rFonts w:cs="Arial"/>
                <w:color w:val="auto"/>
                <w:sz w:val="18"/>
                <w:szCs w:val="18"/>
              </w:rPr>
              <w:t>Omeprazole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500 mg three times a day orally for 8 weeks (overdose with potential </w:t>
            </w:r>
            <w:r w:rsidR="00EA54BF">
              <w:rPr>
                <w:rFonts w:cs="Arial"/>
                <w:color w:val="auto"/>
                <w:sz w:val="18"/>
                <w:szCs w:val="18"/>
              </w:rPr>
              <w:t>harmful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side effects)</w:t>
            </w:r>
            <w:r>
              <w:rPr>
                <w:rFonts w:cs="Arial"/>
                <w:color w:val="auto"/>
                <w:sz w:val="18"/>
                <w:szCs w:val="18"/>
              </w:rPr>
              <w:br/>
            </w:r>
          </w:p>
        </w:tc>
        <w:tc>
          <w:tcPr>
            <w:tcW w:w="439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E2B1C6D" w14:textId="77777777" w:rsidR="00CD490D" w:rsidRPr="00261CD0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CD490D" w:rsidRPr="00261CD0" w14:paraId="47D9C523" w14:textId="77777777" w:rsidTr="0036181F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7C1F8F5" w14:textId="77777777" w:rsidR="00CD490D" w:rsidRPr="0072606C" w:rsidRDefault="00CD490D" w:rsidP="00CD490D">
            <w:pPr>
              <w:rPr>
                <w:rFonts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7788361" w14:textId="1EB49CCA" w:rsidR="00CD490D" w:rsidRPr="00137533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Arial"/>
                <w:i/>
                <w:color w:val="231F20"/>
                <w:sz w:val="18"/>
                <w:szCs w:val="18"/>
              </w:rPr>
            </w:pPr>
            <w:r w:rsidRPr="00137533">
              <w:rPr>
                <w:rFonts w:eastAsiaTheme="minorEastAsia" w:cs="Arial"/>
                <w:i/>
                <w:color w:val="231F20"/>
                <w:sz w:val="18"/>
                <w:szCs w:val="18"/>
              </w:rPr>
              <w:t>Gastroesophageal reflux case:</w:t>
            </w:r>
            <w:r w:rsidRPr="00137533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cs="Arial"/>
                <w:color w:val="auto"/>
                <w:sz w:val="18"/>
                <w:szCs w:val="18"/>
              </w:rPr>
              <w:br/>
            </w:r>
            <w:r w:rsidRPr="00137533">
              <w:rPr>
                <w:rFonts w:cs="Arial"/>
                <w:color w:val="auto"/>
                <w:sz w:val="18"/>
                <w:szCs w:val="18"/>
              </w:rPr>
              <w:t>Omeprazole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100 mg twice a day orally for two weeks (overdose with potential significant side effects)</w:t>
            </w:r>
            <w:r>
              <w:rPr>
                <w:rFonts w:cs="Arial"/>
                <w:color w:val="auto"/>
                <w:sz w:val="18"/>
                <w:szCs w:val="18"/>
              </w:rPr>
              <w:br/>
            </w:r>
          </w:p>
        </w:tc>
        <w:tc>
          <w:tcPr>
            <w:tcW w:w="439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554F8CE" w14:textId="77777777" w:rsidR="00CD490D" w:rsidRPr="00261CD0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CD490D" w:rsidRPr="00261CD0" w14:paraId="3D5BBC5C" w14:textId="77777777" w:rsidTr="00361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C52F194" w14:textId="77777777" w:rsidR="00CD490D" w:rsidRPr="0072606C" w:rsidRDefault="00CD490D" w:rsidP="00CD490D">
            <w:pPr>
              <w:rPr>
                <w:rFonts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50A615A" w14:textId="3E1CD00A" w:rsidR="00CD490D" w:rsidRPr="00137533" w:rsidRDefault="00CD490D" w:rsidP="00EA54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Arial"/>
                <w:i/>
                <w:color w:val="231F20"/>
                <w:sz w:val="18"/>
                <w:szCs w:val="18"/>
              </w:rPr>
            </w:pPr>
            <w:r w:rsidRPr="00137533">
              <w:rPr>
                <w:rFonts w:eastAsiaTheme="minorEastAsia" w:cs="Arial"/>
                <w:i/>
                <w:color w:val="231F20"/>
                <w:sz w:val="18"/>
                <w:szCs w:val="18"/>
              </w:rPr>
              <w:t>Gastroesophageal reflux case:</w:t>
            </w:r>
            <w:r w:rsidRPr="00137533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cs="Arial"/>
                <w:color w:val="auto"/>
                <w:sz w:val="18"/>
                <w:szCs w:val="18"/>
              </w:rPr>
              <w:br/>
            </w:r>
            <w:r w:rsidRPr="00137533">
              <w:rPr>
                <w:rFonts w:cs="Arial"/>
                <w:color w:val="auto"/>
                <w:sz w:val="18"/>
                <w:szCs w:val="18"/>
              </w:rPr>
              <w:t>Omeprazole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200 mg twice a day orally for two weeks (overdose with potential </w:t>
            </w:r>
            <w:r w:rsidR="00EA54BF">
              <w:rPr>
                <w:rFonts w:cs="Arial"/>
                <w:color w:val="auto"/>
                <w:sz w:val="18"/>
                <w:szCs w:val="18"/>
              </w:rPr>
              <w:lastRenderedPageBreak/>
              <w:t>harmfiul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side effects)</w:t>
            </w:r>
            <w:r>
              <w:rPr>
                <w:rFonts w:cs="Arial"/>
                <w:color w:val="auto"/>
                <w:sz w:val="18"/>
                <w:szCs w:val="18"/>
              </w:rPr>
              <w:br/>
            </w:r>
          </w:p>
        </w:tc>
        <w:tc>
          <w:tcPr>
            <w:tcW w:w="439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A45A870" w14:textId="77777777" w:rsidR="00CD490D" w:rsidRPr="00261CD0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CD490D" w:rsidRPr="00261CD0" w14:paraId="24E26F15" w14:textId="77777777" w:rsidTr="0036181F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7A482BB7" w14:textId="77777777" w:rsidR="00CD490D" w:rsidRPr="0072606C" w:rsidRDefault="00CD490D" w:rsidP="00CD490D">
            <w:pPr>
              <w:rPr>
                <w:rFonts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DC20431" w14:textId="518033F3" w:rsidR="00CD490D" w:rsidRPr="00137533" w:rsidRDefault="00CD490D" w:rsidP="00EA54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Arial"/>
                <w:i/>
                <w:color w:val="231F20"/>
                <w:sz w:val="18"/>
                <w:szCs w:val="18"/>
              </w:rPr>
            </w:pPr>
            <w:r w:rsidRPr="00137533">
              <w:rPr>
                <w:rFonts w:eastAsiaTheme="minorEastAsia" w:cs="Arial"/>
                <w:i/>
                <w:color w:val="231F20"/>
                <w:sz w:val="18"/>
                <w:szCs w:val="18"/>
              </w:rPr>
              <w:t>Gastroesophageal reflux case:</w:t>
            </w:r>
            <w:r w:rsidRPr="00137533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cs="Arial"/>
                <w:color w:val="auto"/>
                <w:sz w:val="18"/>
                <w:szCs w:val="18"/>
              </w:rPr>
              <w:br/>
              <w:t xml:space="preserve">Esomeprazole 400 mg twice a day orally for three weeks (overdose with potential </w:t>
            </w:r>
            <w:r w:rsidR="00EA54BF">
              <w:rPr>
                <w:rFonts w:cs="Arial"/>
                <w:color w:val="auto"/>
                <w:sz w:val="18"/>
                <w:szCs w:val="18"/>
              </w:rPr>
              <w:t>harmful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side effects)</w:t>
            </w:r>
            <w:r>
              <w:rPr>
                <w:rFonts w:cs="Arial"/>
                <w:color w:val="auto"/>
                <w:sz w:val="18"/>
                <w:szCs w:val="18"/>
              </w:rPr>
              <w:br/>
            </w:r>
          </w:p>
        </w:tc>
        <w:tc>
          <w:tcPr>
            <w:tcW w:w="439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7279741" w14:textId="77777777" w:rsidR="00CD490D" w:rsidRPr="00261CD0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CD490D" w:rsidRPr="00261CD0" w14:paraId="3F063A7A" w14:textId="77777777" w:rsidTr="00361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53EB579B" w14:textId="77777777" w:rsidR="00CD490D" w:rsidRPr="001D296F" w:rsidRDefault="00CD490D" w:rsidP="00CD490D">
            <w:pPr>
              <w:rPr>
                <w:rFonts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CFE25EC" w14:textId="4215B70A" w:rsidR="00CD490D" w:rsidRPr="001D296F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</w:rPr>
            </w:pPr>
            <w:r w:rsidRPr="001D296F">
              <w:rPr>
                <w:rFonts w:eastAsiaTheme="minorEastAsia" w:cs="Arial"/>
                <w:i/>
                <w:color w:val="231F20"/>
                <w:sz w:val="18"/>
                <w:szCs w:val="18"/>
              </w:rPr>
              <w:t>Gastroesophageal reflux case:</w:t>
            </w:r>
            <w:r w:rsidRPr="001D296F">
              <w:rPr>
                <w:rFonts w:eastAsiaTheme="minorEastAsia" w:cs="Arial"/>
                <w:i/>
                <w:color w:val="231F20"/>
                <w:sz w:val="18"/>
                <w:szCs w:val="18"/>
              </w:rPr>
              <w:br/>
            </w:r>
            <w:r w:rsidRPr="001D296F">
              <w:rPr>
                <w:rFonts w:cs="Arial"/>
                <w:color w:val="auto"/>
                <w:sz w:val="18"/>
                <w:szCs w:val="18"/>
              </w:rPr>
              <w:t xml:space="preserve">Omeprazole 200 mg once a day orally for one week (overdose with potential </w:t>
            </w:r>
            <w:r w:rsidR="00CB64AB">
              <w:rPr>
                <w:rFonts w:cs="Arial"/>
                <w:color w:val="auto"/>
                <w:sz w:val="18"/>
                <w:szCs w:val="18"/>
              </w:rPr>
              <w:t>harmful</w:t>
            </w:r>
            <w:r w:rsidRPr="001D296F">
              <w:rPr>
                <w:rFonts w:cs="Arial"/>
                <w:color w:val="auto"/>
                <w:sz w:val="18"/>
                <w:szCs w:val="18"/>
              </w:rPr>
              <w:t xml:space="preserve"> side effects)</w:t>
            </w:r>
          </w:p>
          <w:p w14:paraId="068CAEA0" w14:textId="77777777" w:rsidR="00CD490D" w:rsidRPr="001D296F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Arial"/>
                <w:i/>
                <w:color w:val="231F20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E13F761" w14:textId="77777777" w:rsidR="00CD490D" w:rsidRPr="00261CD0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CD490D" w:rsidRPr="00261CD0" w14:paraId="1C1144A1" w14:textId="3BFDDD38" w:rsidTr="0036181F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2E97E19" w14:textId="4D81C302" w:rsidR="00CD490D" w:rsidRPr="001D296F" w:rsidRDefault="00CD490D" w:rsidP="00CD490D">
            <w:pPr>
              <w:rPr>
                <w:rFonts w:cs="Arial"/>
                <w:sz w:val="18"/>
                <w:szCs w:val="18"/>
                <w:shd w:val="clear" w:color="auto" w:fill="FFFFFF"/>
              </w:rPr>
            </w:pPr>
            <w:r w:rsidRPr="001D296F">
              <w:rPr>
                <w:rFonts w:cs="Arial"/>
                <w:color w:val="auto"/>
                <w:sz w:val="18"/>
                <w:szCs w:val="18"/>
              </w:rPr>
              <w:t>Potentially lethal</w:t>
            </w:r>
            <w:r w:rsidR="00062ED6">
              <w:rPr>
                <w:rFonts w:cs="Arial"/>
                <w:color w:val="auto"/>
                <w:sz w:val="18"/>
                <w:szCs w:val="18"/>
              </w:rPr>
              <w:br/>
              <w:t>(n= 5)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87FC2D9" w14:textId="1614B30D" w:rsidR="00CD490D" w:rsidRPr="001D296F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</w:rPr>
            </w:pPr>
            <w:r w:rsidRPr="001D296F">
              <w:rPr>
                <w:rFonts w:eastAsiaTheme="minorEastAsia" w:cs="Arial"/>
                <w:i/>
                <w:color w:val="231F20"/>
                <w:sz w:val="18"/>
                <w:szCs w:val="18"/>
              </w:rPr>
              <w:t>Osteoarthritis:</w:t>
            </w:r>
            <w:r w:rsidRPr="001D296F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001D296F">
              <w:rPr>
                <w:rFonts w:cs="Arial"/>
                <w:color w:val="auto"/>
                <w:sz w:val="18"/>
                <w:szCs w:val="18"/>
              </w:rPr>
              <w:br/>
              <w:t xml:space="preserve">Morphine 300 mg once a day orally if needed (overdose with potential </w:t>
            </w:r>
            <w:r w:rsidR="003B52E8">
              <w:rPr>
                <w:rFonts w:cs="Arial"/>
                <w:color w:val="auto"/>
                <w:sz w:val="18"/>
                <w:szCs w:val="18"/>
              </w:rPr>
              <w:t>harmful</w:t>
            </w:r>
            <w:r w:rsidRPr="001D296F">
              <w:rPr>
                <w:rFonts w:cs="Arial"/>
                <w:color w:val="auto"/>
                <w:sz w:val="18"/>
                <w:szCs w:val="18"/>
              </w:rPr>
              <w:t xml:space="preserve"> side effects)</w:t>
            </w:r>
          </w:p>
          <w:p w14:paraId="72974332" w14:textId="22CA5DDE" w:rsidR="00CD490D" w:rsidRPr="001D296F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Arial"/>
                <w:i/>
                <w:color w:val="231F20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F9C542" w14:textId="1FBED74F" w:rsidR="00CD490D" w:rsidRPr="00261CD0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br/>
            </w:r>
          </w:p>
        </w:tc>
      </w:tr>
      <w:tr w:rsidR="00CD490D" w:rsidRPr="00261CD0" w14:paraId="7A2A9408" w14:textId="77777777" w:rsidTr="00361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49A4B954" w14:textId="77777777" w:rsidR="00CD490D" w:rsidRPr="001D296F" w:rsidRDefault="00CD490D" w:rsidP="00CD490D">
            <w:pPr>
              <w:rPr>
                <w:rFonts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46546DB" w14:textId="767CD16F" w:rsidR="00CD490D" w:rsidRPr="001D296F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</w:rPr>
            </w:pPr>
            <w:r w:rsidRPr="001D296F">
              <w:rPr>
                <w:rFonts w:eastAsiaTheme="minorEastAsia" w:cs="Arial"/>
                <w:i/>
                <w:color w:val="231F20"/>
                <w:sz w:val="18"/>
                <w:szCs w:val="18"/>
              </w:rPr>
              <w:t>Essential hypertension case:</w:t>
            </w:r>
            <w:r w:rsidRPr="001D296F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001D296F">
              <w:rPr>
                <w:rFonts w:cs="Arial"/>
                <w:color w:val="auto"/>
                <w:sz w:val="18"/>
                <w:szCs w:val="18"/>
              </w:rPr>
              <w:br/>
              <w:t xml:space="preserve">Enalapril 600 mg once a day orally for undefined period (drug inappropriate for indication with potential </w:t>
            </w:r>
            <w:r w:rsidR="003B52E8">
              <w:rPr>
                <w:rFonts w:cs="Arial"/>
                <w:color w:val="auto"/>
                <w:sz w:val="18"/>
                <w:szCs w:val="18"/>
              </w:rPr>
              <w:t>harmful</w:t>
            </w:r>
            <w:r w:rsidRPr="001D296F">
              <w:rPr>
                <w:rFonts w:cs="Arial"/>
                <w:color w:val="auto"/>
                <w:sz w:val="18"/>
                <w:szCs w:val="18"/>
              </w:rPr>
              <w:t xml:space="preserve"> side effects)</w:t>
            </w:r>
          </w:p>
          <w:p w14:paraId="4F66A188" w14:textId="17F59BC3" w:rsidR="00CD490D" w:rsidRPr="001D296F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Arial"/>
                <w:i/>
                <w:color w:val="231F20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4FCC54" w14:textId="70B0769B" w:rsidR="00CD490D" w:rsidRPr="001C08DC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Arial"/>
                <w:i/>
                <w:color w:val="231F20"/>
                <w:sz w:val="18"/>
                <w:szCs w:val="18"/>
                <w:highlight w:val="red"/>
              </w:rPr>
            </w:pPr>
          </w:p>
        </w:tc>
      </w:tr>
      <w:tr w:rsidR="00CD490D" w:rsidRPr="00261CD0" w14:paraId="0180749B" w14:textId="77777777" w:rsidTr="0036181F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13589F9" w14:textId="77777777" w:rsidR="00CD490D" w:rsidRPr="001D296F" w:rsidRDefault="00CD490D" w:rsidP="00CD490D">
            <w:pPr>
              <w:rPr>
                <w:rFonts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A8DD49B" w14:textId="76E30468" w:rsidR="00EE228A" w:rsidRPr="001D296F" w:rsidRDefault="00EE228A" w:rsidP="00EE2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</w:rPr>
            </w:pPr>
            <w:r w:rsidRPr="001D296F">
              <w:rPr>
                <w:rFonts w:eastAsiaTheme="minorEastAsia" w:cs="Arial"/>
                <w:i/>
                <w:color w:val="231F20"/>
                <w:sz w:val="18"/>
                <w:szCs w:val="18"/>
              </w:rPr>
              <w:t>Essential hypertension case:</w:t>
            </w:r>
            <w:r w:rsidRPr="001D296F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001D296F">
              <w:rPr>
                <w:rFonts w:cs="Arial"/>
                <w:color w:val="auto"/>
                <w:sz w:val="18"/>
                <w:szCs w:val="18"/>
              </w:rPr>
              <w:br/>
              <w:t xml:space="preserve">Enalapril 400 mg twice a day orally for one week until next consultation (overdose with potential </w:t>
            </w:r>
            <w:r w:rsidR="003B52E8">
              <w:rPr>
                <w:rFonts w:cs="Arial"/>
                <w:color w:val="auto"/>
                <w:sz w:val="18"/>
                <w:szCs w:val="18"/>
              </w:rPr>
              <w:t>harmful</w:t>
            </w:r>
            <w:r w:rsidRPr="001D296F">
              <w:rPr>
                <w:rFonts w:cs="Arial"/>
                <w:color w:val="auto"/>
                <w:sz w:val="18"/>
                <w:szCs w:val="18"/>
              </w:rPr>
              <w:t xml:space="preserve"> side effects)</w:t>
            </w:r>
          </w:p>
          <w:p w14:paraId="1DFAE230" w14:textId="4E9C7165" w:rsidR="00CD490D" w:rsidRPr="001D296F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Arial"/>
                <w:i/>
                <w:color w:val="231F20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CC3FEEA" w14:textId="77777777" w:rsidR="00CD490D" w:rsidRPr="001C08DC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Arial"/>
                <w:i/>
                <w:color w:val="231F20"/>
                <w:sz w:val="18"/>
                <w:szCs w:val="18"/>
                <w:highlight w:val="red"/>
              </w:rPr>
            </w:pPr>
          </w:p>
        </w:tc>
      </w:tr>
      <w:tr w:rsidR="00CD490D" w:rsidRPr="00261CD0" w14:paraId="1D571ED1" w14:textId="77777777" w:rsidTr="00361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647EE46B" w14:textId="77777777" w:rsidR="00CD490D" w:rsidRPr="001D296F" w:rsidRDefault="00CD490D" w:rsidP="00CD490D">
            <w:pPr>
              <w:rPr>
                <w:rFonts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82E5338" w14:textId="43A56213" w:rsidR="00EE228A" w:rsidRDefault="00EE228A" w:rsidP="00EE2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</w:rPr>
            </w:pPr>
            <w:r w:rsidRPr="001D296F">
              <w:rPr>
                <w:rFonts w:eastAsiaTheme="minorEastAsia" w:cs="Arial"/>
                <w:i/>
                <w:color w:val="231F20"/>
                <w:sz w:val="18"/>
                <w:szCs w:val="18"/>
              </w:rPr>
              <w:t>Essential hypertension case:</w:t>
            </w:r>
            <w:r w:rsidRPr="001D296F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001D296F">
              <w:rPr>
                <w:rFonts w:cs="Arial"/>
                <w:color w:val="auto"/>
                <w:sz w:val="18"/>
                <w:szCs w:val="18"/>
              </w:rPr>
              <w:br/>
              <w:t xml:space="preserve">Enalapril 100 mg twice a day orally for one month (overdose with potential </w:t>
            </w:r>
            <w:r w:rsidR="003B52E8">
              <w:rPr>
                <w:rFonts w:cs="Arial"/>
                <w:color w:val="auto"/>
                <w:sz w:val="18"/>
                <w:szCs w:val="18"/>
              </w:rPr>
              <w:t>harmful</w:t>
            </w:r>
            <w:r w:rsidRPr="001D296F">
              <w:rPr>
                <w:rFonts w:cs="Arial"/>
                <w:color w:val="auto"/>
                <w:sz w:val="18"/>
                <w:szCs w:val="18"/>
              </w:rPr>
              <w:t xml:space="preserve"> side effects)</w:t>
            </w:r>
          </w:p>
          <w:p w14:paraId="452AD2CA" w14:textId="77777777" w:rsidR="00CD490D" w:rsidRPr="001D296F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Arial"/>
                <w:i/>
                <w:color w:val="231F20"/>
                <w:sz w:val="18"/>
                <w:szCs w:val="18"/>
              </w:rPr>
            </w:pPr>
          </w:p>
          <w:p w14:paraId="730DD4E7" w14:textId="32D66760" w:rsidR="00CD490D" w:rsidRPr="001D296F" w:rsidRDefault="00EE228A" w:rsidP="003B52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Arial"/>
                <w:i/>
                <w:color w:val="231F20"/>
                <w:sz w:val="18"/>
                <w:szCs w:val="18"/>
              </w:rPr>
            </w:pPr>
            <w:r w:rsidRPr="001D296F">
              <w:rPr>
                <w:rFonts w:eastAsiaTheme="minorEastAsia" w:cs="Arial"/>
                <w:i/>
                <w:color w:val="231F20"/>
                <w:sz w:val="18"/>
                <w:szCs w:val="18"/>
              </w:rPr>
              <w:t>Essential hypertension case:</w:t>
            </w:r>
            <w:r w:rsidRPr="001D296F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001D296F">
              <w:rPr>
                <w:rFonts w:cs="Arial"/>
                <w:color w:val="auto"/>
                <w:sz w:val="18"/>
                <w:szCs w:val="18"/>
              </w:rPr>
              <w:br/>
              <w:t xml:space="preserve">Furosemide 500 mg twice a day orally for two weeks (drug inappropriate for indication with potential </w:t>
            </w:r>
            <w:r w:rsidR="003B52E8">
              <w:rPr>
                <w:rFonts w:cs="Arial"/>
                <w:color w:val="auto"/>
                <w:sz w:val="18"/>
                <w:szCs w:val="18"/>
              </w:rPr>
              <w:t>harmful</w:t>
            </w:r>
            <w:bookmarkStart w:id="0" w:name="_GoBack"/>
            <w:bookmarkEnd w:id="0"/>
            <w:r w:rsidRPr="001D296F">
              <w:rPr>
                <w:rFonts w:cs="Arial"/>
                <w:color w:val="auto"/>
                <w:sz w:val="18"/>
                <w:szCs w:val="18"/>
              </w:rPr>
              <w:t xml:space="preserve"> side effects)</w:t>
            </w:r>
          </w:p>
        </w:tc>
        <w:tc>
          <w:tcPr>
            <w:tcW w:w="439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4ADA1AB" w14:textId="77777777" w:rsidR="00CD490D" w:rsidRPr="001C08DC" w:rsidRDefault="00CD490D" w:rsidP="00CD4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Arial"/>
                <w:i/>
                <w:color w:val="231F20"/>
                <w:sz w:val="18"/>
                <w:szCs w:val="18"/>
                <w:highlight w:val="red"/>
              </w:rPr>
            </w:pPr>
          </w:p>
        </w:tc>
      </w:tr>
      <w:tr w:rsidR="00CD490D" w:rsidRPr="00261CD0" w14:paraId="592ED515" w14:textId="77777777" w:rsidTr="0036181F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98314E" w14:textId="77777777" w:rsidR="00CD490D" w:rsidRPr="001D296F" w:rsidRDefault="00CD490D" w:rsidP="00CD490D">
            <w:pPr>
              <w:rPr>
                <w:rFonts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4A8621D" w14:textId="193224F1" w:rsidR="00CD490D" w:rsidRPr="001D296F" w:rsidRDefault="00CD490D" w:rsidP="00EE22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Arial"/>
                <w:i/>
                <w:color w:val="231F20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C8D823" w14:textId="218C5CF4" w:rsidR="00CD490D" w:rsidRPr="001C08DC" w:rsidRDefault="00CD490D" w:rsidP="00CD4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Arial"/>
                <w:i/>
                <w:color w:val="231F20"/>
                <w:sz w:val="18"/>
                <w:szCs w:val="18"/>
                <w:highlight w:val="red"/>
              </w:rPr>
            </w:pPr>
          </w:p>
        </w:tc>
      </w:tr>
    </w:tbl>
    <w:p w14:paraId="564490EB" w14:textId="0528653C" w:rsidR="00E36FB2" w:rsidRPr="00432588" w:rsidRDefault="00A36ADA" w:rsidP="00E36FB2">
      <w:pPr>
        <w:rPr>
          <w:sz w:val="18"/>
          <w:szCs w:val="18"/>
        </w:rPr>
      </w:pPr>
      <w:r w:rsidRPr="00432588">
        <w:rPr>
          <w:sz w:val="18"/>
          <w:szCs w:val="18"/>
        </w:rPr>
        <w:t>PBL, problem-based learning</w:t>
      </w:r>
      <w:r>
        <w:rPr>
          <w:sz w:val="18"/>
          <w:szCs w:val="18"/>
        </w:rPr>
        <w:t>.</w:t>
      </w:r>
    </w:p>
    <w:p w14:paraId="1F7878F7" w14:textId="77777777" w:rsidR="00E36FB2" w:rsidRPr="00432588" w:rsidRDefault="00E36FB2" w:rsidP="00E36FB2">
      <w:pPr>
        <w:rPr>
          <w:sz w:val="18"/>
          <w:szCs w:val="18"/>
        </w:rPr>
      </w:pPr>
    </w:p>
    <w:p w14:paraId="6BC55D4A" w14:textId="77777777" w:rsidR="00E36FB2" w:rsidRPr="00432588" w:rsidRDefault="00E36FB2" w:rsidP="00E36FB2">
      <w:pPr>
        <w:rPr>
          <w:sz w:val="18"/>
          <w:szCs w:val="18"/>
        </w:rPr>
      </w:pPr>
    </w:p>
    <w:p w14:paraId="0D98DD9E" w14:textId="77777777" w:rsidR="00E36FB2" w:rsidRPr="00432588" w:rsidRDefault="00E36FB2" w:rsidP="00E36FB2">
      <w:pPr>
        <w:rPr>
          <w:sz w:val="18"/>
          <w:szCs w:val="18"/>
        </w:rPr>
      </w:pPr>
    </w:p>
    <w:p w14:paraId="3C7AA215" w14:textId="77777777" w:rsidR="00E36FB2" w:rsidRPr="00432588" w:rsidRDefault="00E36FB2" w:rsidP="00E36FB2">
      <w:pPr>
        <w:rPr>
          <w:sz w:val="18"/>
          <w:szCs w:val="18"/>
        </w:rPr>
      </w:pPr>
    </w:p>
    <w:p w14:paraId="47A8D57F" w14:textId="77777777" w:rsidR="00E36FB2" w:rsidRPr="00432588" w:rsidRDefault="00E36FB2" w:rsidP="00E36FB2">
      <w:pPr>
        <w:rPr>
          <w:sz w:val="18"/>
          <w:szCs w:val="18"/>
        </w:rPr>
      </w:pPr>
    </w:p>
    <w:p w14:paraId="3313491F" w14:textId="77777777" w:rsidR="00E36FB2" w:rsidRPr="00432588" w:rsidRDefault="00E36FB2" w:rsidP="00E36FB2">
      <w:pPr>
        <w:rPr>
          <w:sz w:val="18"/>
          <w:szCs w:val="18"/>
        </w:rPr>
      </w:pPr>
    </w:p>
    <w:p w14:paraId="05E8F7E4" w14:textId="77777777" w:rsidR="00E36FB2" w:rsidRPr="00432588" w:rsidRDefault="00E36FB2" w:rsidP="00E36FB2">
      <w:pPr>
        <w:rPr>
          <w:sz w:val="18"/>
          <w:szCs w:val="18"/>
        </w:rPr>
      </w:pPr>
    </w:p>
    <w:p w14:paraId="557AA032" w14:textId="77777777" w:rsidR="00E36FB2" w:rsidRPr="00432588" w:rsidRDefault="00E36FB2" w:rsidP="00E36FB2">
      <w:pPr>
        <w:rPr>
          <w:sz w:val="18"/>
          <w:szCs w:val="18"/>
        </w:rPr>
      </w:pPr>
    </w:p>
    <w:p w14:paraId="5C608B1C" w14:textId="77777777" w:rsidR="00E36FB2" w:rsidRPr="00432588" w:rsidRDefault="00E36FB2" w:rsidP="00E36FB2">
      <w:pPr>
        <w:rPr>
          <w:sz w:val="18"/>
          <w:szCs w:val="18"/>
        </w:rPr>
      </w:pPr>
    </w:p>
    <w:p w14:paraId="7EC58F0E" w14:textId="77777777" w:rsidR="00E36FB2" w:rsidRPr="00432588" w:rsidRDefault="00E36FB2" w:rsidP="00E36FB2">
      <w:pPr>
        <w:rPr>
          <w:sz w:val="18"/>
          <w:szCs w:val="18"/>
        </w:rPr>
      </w:pPr>
    </w:p>
    <w:p w14:paraId="7C0DFCC6" w14:textId="77777777" w:rsidR="00E36FB2" w:rsidRPr="00432588" w:rsidRDefault="00E36FB2" w:rsidP="00E36FB2">
      <w:pPr>
        <w:rPr>
          <w:sz w:val="18"/>
          <w:szCs w:val="18"/>
        </w:rPr>
      </w:pPr>
    </w:p>
    <w:p w14:paraId="50EFDEF7" w14:textId="77777777" w:rsidR="00015704" w:rsidRPr="00432588" w:rsidRDefault="00015704" w:rsidP="00015704">
      <w:pPr>
        <w:rPr>
          <w:sz w:val="18"/>
          <w:szCs w:val="18"/>
        </w:rPr>
      </w:pPr>
    </w:p>
    <w:p w14:paraId="1D499B66" w14:textId="77777777" w:rsidR="004D5576" w:rsidRPr="00015704" w:rsidRDefault="004D5576"/>
    <w:sectPr w:rsidR="004D5576" w:rsidRPr="00015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47D7E"/>
    <w:multiLevelType w:val="hybridMultilevel"/>
    <w:tmpl w:val="D7F0B32A"/>
    <w:lvl w:ilvl="0" w:tplc="0F2C817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11D"/>
    <w:rsid w:val="00010FF1"/>
    <w:rsid w:val="00015704"/>
    <w:rsid w:val="000364F1"/>
    <w:rsid w:val="00037413"/>
    <w:rsid w:val="000420D4"/>
    <w:rsid w:val="00062ED6"/>
    <w:rsid w:val="00066067"/>
    <w:rsid w:val="00071ECB"/>
    <w:rsid w:val="0008427A"/>
    <w:rsid w:val="00093587"/>
    <w:rsid w:val="00094CD9"/>
    <w:rsid w:val="000A0F71"/>
    <w:rsid w:val="000B7BA6"/>
    <w:rsid w:val="000C346D"/>
    <w:rsid w:val="000D25F3"/>
    <w:rsid w:val="00105565"/>
    <w:rsid w:val="00106B33"/>
    <w:rsid w:val="001136C7"/>
    <w:rsid w:val="001153B2"/>
    <w:rsid w:val="00135A4A"/>
    <w:rsid w:val="00137533"/>
    <w:rsid w:val="00161399"/>
    <w:rsid w:val="001617D1"/>
    <w:rsid w:val="0017574B"/>
    <w:rsid w:val="00175CF2"/>
    <w:rsid w:val="00180EFE"/>
    <w:rsid w:val="00185300"/>
    <w:rsid w:val="00194860"/>
    <w:rsid w:val="001B6A0A"/>
    <w:rsid w:val="001C0264"/>
    <w:rsid w:val="001C04CF"/>
    <w:rsid w:val="001C08DC"/>
    <w:rsid w:val="001D296F"/>
    <w:rsid w:val="001F3FBC"/>
    <w:rsid w:val="00200F96"/>
    <w:rsid w:val="00217959"/>
    <w:rsid w:val="002236B9"/>
    <w:rsid w:val="00272453"/>
    <w:rsid w:val="00295480"/>
    <w:rsid w:val="002A26E7"/>
    <w:rsid w:val="002C26C6"/>
    <w:rsid w:val="002E45C0"/>
    <w:rsid w:val="00305E74"/>
    <w:rsid w:val="0030715C"/>
    <w:rsid w:val="00315590"/>
    <w:rsid w:val="00327C6A"/>
    <w:rsid w:val="00333B21"/>
    <w:rsid w:val="0035111D"/>
    <w:rsid w:val="0036181F"/>
    <w:rsid w:val="00386F40"/>
    <w:rsid w:val="003B52E8"/>
    <w:rsid w:val="003D3A67"/>
    <w:rsid w:val="004472D7"/>
    <w:rsid w:val="00450FAC"/>
    <w:rsid w:val="00454B4D"/>
    <w:rsid w:val="0045678D"/>
    <w:rsid w:val="004638C2"/>
    <w:rsid w:val="00470F33"/>
    <w:rsid w:val="00483337"/>
    <w:rsid w:val="00484F8F"/>
    <w:rsid w:val="004A2992"/>
    <w:rsid w:val="004B75E9"/>
    <w:rsid w:val="004C0989"/>
    <w:rsid w:val="004D5576"/>
    <w:rsid w:val="004E0D16"/>
    <w:rsid w:val="004E6E69"/>
    <w:rsid w:val="004F3D4E"/>
    <w:rsid w:val="00506B7A"/>
    <w:rsid w:val="005178C0"/>
    <w:rsid w:val="005203EB"/>
    <w:rsid w:val="00555EE2"/>
    <w:rsid w:val="005664D3"/>
    <w:rsid w:val="005848F4"/>
    <w:rsid w:val="005B76EB"/>
    <w:rsid w:val="005E43E9"/>
    <w:rsid w:val="0064052A"/>
    <w:rsid w:val="0065177E"/>
    <w:rsid w:val="00651A39"/>
    <w:rsid w:val="006627F8"/>
    <w:rsid w:val="00666B15"/>
    <w:rsid w:val="00670438"/>
    <w:rsid w:val="00683C44"/>
    <w:rsid w:val="00691671"/>
    <w:rsid w:val="006979CD"/>
    <w:rsid w:val="006A2FFF"/>
    <w:rsid w:val="006A437E"/>
    <w:rsid w:val="00707B79"/>
    <w:rsid w:val="0072606C"/>
    <w:rsid w:val="00740E37"/>
    <w:rsid w:val="00762957"/>
    <w:rsid w:val="007710B5"/>
    <w:rsid w:val="007815EA"/>
    <w:rsid w:val="00791A26"/>
    <w:rsid w:val="00794F6D"/>
    <w:rsid w:val="007A5D3C"/>
    <w:rsid w:val="007B2EAB"/>
    <w:rsid w:val="007E4B8B"/>
    <w:rsid w:val="007E777B"/>
    <w:rsid w:val="00802F7A"/>
    <w:rsid w:val="00810B91"/>
    <w:rsid w:val="008704E4"/>
    <w:rsid w:val="008B1E2C"/>
    <w:rsid w:val="008C4EEB"/>
    <w:rsid w:val="008C710B"/>
    <w:rsid w:val="008E78AD"/>
    <w:rsid w:val="009001DE"/>
    <w:rsid w:val="009541BC"/>
    <w:rsid w:val="009729AB"/>
    <w:rsid w:val="0099231F"/>
    <w:rsid w:val="00997796"/>
    <w:rsid w:val="009A7601"/>
    <w:rsid w:val="009B4B00"/>
    <w:rsid w:val="009B6B52"/>
    <w:rsid w:val="009C0A98"/>
    <w:rsid w:val="009D0383"/>
    <w:rsid w:val="00A02282"/>
    <w:rsid w:val="00A12E54"/>
    <w:rsid w:val="00A27C8A"/>
    <w:rsid w:val="00A32425"/>
    <w:rsid w:val="00A36ADA"/>
    <w:rsid w:val="00A46063"/>
    <w:rsid w:val="00A852BF"/>
    <w:rsid w:val="00A85A13"/>
    <w:rsid w:val="00A94B85"/>
    <w:rsid w:val="00AC06CA"/>
    <w:rsid w:val="00AD3C4A"/>
    <w:rsid w:val="00AE5F4C"/>
    <w:rsid w:val="00AE6A40"/>
    <w:rsid w:val="00AF13AA"/>
    <w:rsid w:val="00B15F1D"/>
    <w:rsid w:val="00B15FCE"/>
    <w:rsid w:val="00B22F16"/>
    <w:rsid w:val="00B4400F"/>
    <w:rsid w:val="00B6148D"/>
    <w:rsid w:val="00B769B0"/>
    <w:rsid w:val="00B92F77"/>
    <w:rsid w:val="00B967B1"/>
    <w:rsid w:val="00BA60D1"/>
    <w:rsid w:val="00BE4482"/>
    <w:rsid w:val="00BF6D3E"/>
    <w:rsid w:val="00C04638"/>
    <w:rsid w:val="00C06DF4"/>
    <w:rsid w:val="00C176B6"/>
    <w:rsid w:val="00C255FB"/>
    <w:rsid w:val="00C42805"/>
    <w:rsid w:val="00C60A52"/>
    <w:rsid w:val="00C745D2"/>
    <w:rsid w:val="00C74EC1"/>
    <w:rsid w:val="00C92338"/>
    <w:rsid w:val="00CB28E4"/>
    <w:rsid w:val="00CB64AB"/>
    <w:rsid w:val="00CC76F7"/>
    <w:rsid w:val="00CD3A34"/>
    <w:rsid w:val="00CD453C"/>
    <w:rsid w:val="00CD490D"/>
    <w:rsid w:val="00CD4B54"/>
    <w:rsid w:val="00CE28C7"/>
    <w:rsid w:val="00CE74E4"/>
    <w:rsid w:val="00D13623"/>
    <w:rsid w:val="00D2032D"/>
    <w:rsid w:val="00D21489"/>
    <w:rsid w:val="00D63706"/>
    <w:rsid w:val="00D7123B"/>
    <w:rsid w:val="00DA1AF4"/>
    <w:rsid w:val="00DA3557"/>
    <w:rsid w:val="00DB2E09"/>
    <w:rsid w:val="00DB649A"/>
    <w:rsid w:val="00DF2A9F"/>
    <w:rsid w:val="00DF7954"/>
    <w:rsid w:val="00E36FB2"/>
    <w:rsid w:val="00E41881"/>
    <w:rsid w:val="00E47091"/>
    <w:rsid w:val="00E95B92"/>
    <w:rsid w:val="00EA54BF"/>
    <w:rsid w:val="00EC0EB4"/>
    <w:rsid w:val="00EC77D4"/>
    <w:rsid w:val="00EE228A"/>
    <w:rsid w:val="00EE267F"/>
    <w:rsid w:val="00EE5C97"/>
    <w:rsid w:val="00EE795F"/>
    <w:rsid w:val="00F062F4"/>
    <w:rsid w:val="00F1315A"/>
    <w:rsid w:val="00F1369F"/>
    <w:rsid w:val="00F17E7A"/>
    <w:rsid w:val="00F23834"/>
    <w:rsid w:val="00F305A0"/>
    <w:rsid w:val="00F33814"/>
    <w:rsid w:val="00F4706D"/>
    <w:rsid w:val="00F6160D"/>
    <w:rsid w:val="00F814E9"/>
    <w:rsid w:val="00FA4A6B"/>
    <w:rsid w:val="00FC7BC7"/>
    <w:rsid w:val="00FD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2DBD"/>
  <w15:chartTrackingRefBased/>
  <w15:docId w15:val="{7B0C8FA8-4924-451B-A22C-42455703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5111D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earcering-accent1">
    <w:name w:val="Light Shading Accent 1"/>
    <w:basedOn w:val="Standaardtabel"/>
    <w:uiPriority w:val="60"/>
    <w:semiHidden/>
    <w:unhideWhenUsed/>
    <w:rsid w:val="0035111D"/>
    <w:pPr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xxxmsonormal">
    <w:name w:val="x_x_xmsonormal"/>
    <w:basedOn w:val="Standaard"/>
    <w:rsid w:val="004D5576"/>
    <w:rPr>
      <w:rFonts w:ascii="Times New Roman" w:eastAsiaTheme="minorHAnsi" w:hAnsi="Times New Roman"/>
      <w:sz w:val="24"/>
      <w:lang w:val="nl-NL"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015704"/>
    <w:pPr>
      <w:spacing w:after="200"/>
    </w:pPr>
    <w:rPr>
      <w:rFonts w:asciiTheme="minorHAnsi" w:eastAsiaTheme="minorHAnsi" w:hAnsiTheme="minorHAnsi" w:cstheme="minorBidi"/>
      <w:i/>
      <w:iCs/>
      <w:color w:val="3071C3" w:themeColor="text2" w:themeTint="BF"/>
      <w:szCs w:val="18"/>
      <w:lang w:bidi="nl-NL"/>
    </w:rPr>
  </w:style>
  <w:style w:type="paragraph" w:styleId="Lijstalinea">
    <w:name w:val="List Paragraph"/>
    <w:basedOn w:val="Standaard"/>
    <w:uiPriority w:val="34"/>
    <w:qFormat/>
    <w:rsid w:val="0001570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elzonderopmaak41">
    <w:name w:val="Tabel zonder opmaak 41"/>
    <w:basedOn w:val="Standaardtabel"/>
    <w:uiPriority w:val="99"/>
    <w:rsid w:val="00015704"/>
    <w:pPr>
      <w:spacing w:after="0" w:line="240" w:lineRule="auto"/>
    </w:pPr>
    <w:rPr>
      <w:color w:val="3071C3" w:themeColor="text2" w:themeTint="BF"/>
      <w:sz w:val="24"/>
      <w:szCs w:val="24"/>
      <w:lang w:val="en-US" w:eastAsia="ja-JP" w:bidi="nl-NL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alweb">
    <w:name w:val="Normal (Web)"/>
    <w:basedOn w:val="Standaard"/>
    <w:uiPriority w:val="99"/>
    <w:semiHidden/>
    <w:unhideWhenUsed/>
    <w:rsid w:val="00015704"/>
    <w:pPr>
      <w:spacing w:before="100" w:beforeAutospacing="1" w:after="100" w:afterAutospacing="1"/>
    </w:pPr>
    <w:rPr>
      <w:rFonts w:ascii="Times New Roman" w:hAnsi="Times New Roman"/>
      <w:sz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6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548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Brinkman, D.J. (David)</dc:creator>
  <cp:keywords/>
  <dc:description/>
  <cp:lastModifiedBy>Brinkman, D.J. (David)</cp:lastModifiedBy>
  <cp:revision>117</cp:revision>
  <dcterms:created xsi:type="dcterms:W3CDTF">2020-04-26T08:48:00Z</dcterms:created>
  <dcterms:modified xsi:type="dcterms:W3CDTF">2020-07-31T09:09:00Z</dcterms:modified>
</cp:coreProperties>
</file>