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Supplement A</w:t>
      </w:r>
    </w:p>
    <w:p>
      <w:pPr>
        <w:pStyle w:val="Normal"/>
        <w:rPr>
          <w:lang w:val="en-US" w:eastAsia="zh-CN" w:bidi="hi-IN"/>
        </w:rPr>
      </w:pPr>
      <w:r>
        <w:rPr>
          <w:lang w:val="en-US" w:eastAsia="zh-CN" w:bidi="hi-IN"/>
        </w:rPr>
        <w:t>Characteristics of the group entering the study. In some patients more than one co-morbid disorders could have been diagnosed.</w:t>
      </w:r>
    </w:p>
    <w:p>
      <w:pPr>
        <w:pStyle w:val="Normal"/>
        <w:rPr>
          <w:lang w:val="en-US" w:eastAsia="zh-CN" w:bidi="hi-IN"/>
        </w:rPr>
      </w:pPr>
      <w:r>
        <w:rPr>
          <w:lang w:val="en-US" w:eastAsia="zh-CN" w:bidi="hi-IN"/>
        </w:rPr>
        <w:t>Abbreviations: SD - standard deviation, ns – non-significant difference. d. - disorder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8955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059"/>
        <w:gridCol w:w="1423"/>
        <w:gridCol w:w="1530"/>
        <w:gridCol w:w="1634"/>
        <w:gridCol w:w="1309"/>
      </w:tblGrid>
      <w:tr>
        <w:trPr/>
        <w:tc>
          <w:tcPr>
            <w:tcW w:w="3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</w:r>
          </w:p>
        </w:tc>
        <w:tc>
          <w:tcPr>
            <w:tcW w:w="1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  <w:t>Women (W)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  <w:t>Men (M)</w:t>
            </w:r>
          </w:p>
        </w:tc>
        <w:tc>
          <w:tcPr>
            <w:tcW w:w="1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  <w:t>Total</w:t>
            </w:r>
          </w:p>
        </w:tc>
        <w:tc>
          <w:tcPr>
            <w:tcW w:w="1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  <w:t>Differences</w:t>
            </w:r>
          </w:p>
        </w:tc>
      </w:tr>
      <w:tr>
        <w:trPr>
          <w:trHeight w:val="777" w:hRule="atLeast"/>
        </w:trPr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>
                <w:lang w:val="en-US" w:eastAsia="zh-CN" w:bidi="hi-IN"/>
              </w:rPr>
              <w:t>Participants</w:t>
            </w:r>
            <w:r>
              <w:rPr/>
              <w:t xml:space="preserve"> (%)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Drop-outs (%)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  <w:t>186 (53)</w:t>
            </w:r>
          </w:p>
          <w:p>
            <w:pPr>
              <w:pStyle w:val="Zawartotabeli"/>
              <w:rPr/>
            </w:pPr>
            <w:r>
              <w:rPr/>
              <w:t>14 (7.5)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  <w:t>164 (47)</w:t>
            </w:r>
          </w:p>
          <w:p>
            <w:pPr>
              <w:pStyle w:val="Zawartotabeli"/>
              <w:rPr/>
            </w:pPr>
            <w:r>
              <w:rPr/>
              <w:t>15 (9.1)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  <w:t>350 (100)</w:t>
            </w:r>
          </w:p>
          <w:p>
            <w:pPr>
              <w:pStyle w:val="Zawartotabeli"/>
              <w:rPr/>
            </w:pPr>
            <w:r>
              <w:rPr/>
              <w:t>29 (8.3)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  <w:t>Age: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average (SD)</w:t>
            </w:r>
          </w:p>
          <w:p>
            <w:pPr>
              <w:pStyle w:val="Zawartotabeli"/>
              <w:rPr/>
            </w:pPr>
            <w:r>
              <w:rPr/>
              <w:t>median (min-max)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Patients &gt; 65 years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</w:r>
          </w:p>
          <w:p>
            <w:pPr>
              <w:pStyle w:val="Zawartotabeli"/>
              <w:rPr/>
            </w:pPr>
            <w:r>
              <w:rPr/>
              <w:t>50.5 (14.9)</w:t>
            </w:r>
          </w:p>
          <w:p>
            <w:pPr>
              <w:pStyle w:val="Zawartotabeli"/>
              <w:rPr/>
            </w:pPr>
            <w:r>
              <w:rPr/>
              <w:t>52 (20-87)</w:t>
            </w:r>
          </w:p>
          <w:p>
            <w:pPr>
              <w:pStyle w:val="Zawartotabeli"/>
              <w:rPr/>
            </w:pPr>
            <w:r>
              <w:rPr/>
              <w:t>21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</w:r>
          </w:p>
          <w:p>
            <w:pPr>
              <w:pStyle w:val="Zawartotabeli"/>
              <w:rPr/>
            </w:pPr>
            <w:r>
              <w:rPr/>
              <w:t>47.4 (14.8)</w:t>
            </w:r>
          </w:p>
          <w:p>
            <w:pPr>
              <w:pStyle w:val="Zawartotabeli"/>
              <w:rPr/>
            </w:pPr>
            <w:r>
              <w:rPr/>
              <w:t>49 (20-86)</w:t>
            </w:r>
          </w:p>
          <w:p>
            <w:pPr>
              <w:pStyle w:val="Zawartotabeli"/>
              <w:rPr/>
            </w:pPr>
            <w:r>
              <w:rPr/>
              <w:t>18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</w:r>
          </w:p>
          <w:p>
            <w:pPr>
              <w:pStyle w:val="Zawartotabeli"/>
              <w:rPr/>
            </w:pPr>
            <w:r>
              <w:rPr/>
              <w:t>49.1 (13.8)</w:t>
            </w:r>
          </w:p>
          <w:p>
            <w:pPr>
              <w:pStyle w:val="Zawartotabeli"/>
              <w:rPr/>
            </w:pPr>
            <w:r>
              <w:rPr/>
              <w:t>49 (20-87)</w:t>
            </w:r>
          </w:p>
          <w:p>
            <w:pPr>
              <w:pStyle w:val="Zawartotabeli"/>
              <w:rPr/>
            </w:pPr>
            <w:r>
              <w:rPr/>
              <w:t>39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</w:r>
          </w:p>
          <w:p>
            <w:pPr>
              <w:pStyle w:val="Zawartotabeli"/>
              <w:rPr/>
            </w:pPr>
            <w:r>
              <w:rPr/>
              <w:t>ns</w:t>
            </w:r>
          </w:p>
          <w:p>
            <w:pPr>
              <w:pStyle w:val="Zawartotabeli"/>
              <w:rPr/>
            </w:pPr>
            <w:r>
              <w:rPr/>
              <w:t>ns</w:t>
            </w:r>
          </w:p>
        </w:tc>
      </w:tr>
      <w:tr>
        <w:trPr/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Years of BZD addiction: average (SD)</w:t>
            </w:r>
          </w:p>
          <w:p>
            <w:pPr>
              <w:pStyle w:val="Zawartotabeli"/>
              <w:rPr/>
            </w:pPr>
            <w:r>
              <w:rPr/>
              <w:t>median (min-max)</w:t>
            </w:r>
          </w:p>
          <w:p>
            <w:pPr>
              <w:pStyle w:val="Zawartotabeli"/>
              <w:rPr/>
            </w:pPr>
            <w:r>
              <w:rPr/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11.5 (9.0)</w:t>
            </w:r>
          </w:p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10 (0.6-50)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9.8 (8.3)</w:t>
            </w:r>
          </w:p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8 (0.2-40)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10.6 (8.5)</w:t>
            </w:r>
          </w:p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9 (0.2-50)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</w:r>
          </w:p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ns</w:t>
            </w:r>
          </w:p>
          <w:p>
            <w:pPr>
              <w:pStyle w:val="Zawartotabeli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</w:rPr>
              <w:t>ns</w:t>
            </w:r>
          </w:p>
        </w:tc>
      </w:tr>
      <w:tr>
        <w:trPr>
          <w:trHeight w:val="456" w:hRule="atLeast"/>
        </w:trPr>
        <w:tc>
          <w:tcPr>
            <w:tcW w:w="3059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 xml:space="preserve">Co-morbid disorders (cases): 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alcohol dependence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anxiety disorders: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- panic anxiety d.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 xml:space="preserve">- generalized anxiety d. 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- other/mixed anxiety d.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mood disorders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- bipolar disorder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- major depressive d.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- other depressive disorders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personality/behaviour d.</w:t>
            </w:r>
          </w:p>
          <w:p>
            <w:pPr>
              <w:pStyle w:val="Zawartotabeli"/>
              <w:rPr>
                <w:lang w:val="en-US" w:eastAsia="zh-CN" w:bidi="hi-IN"/>
              </w:rPr>
            </w:pPr>
            <w:r>
              <w:rPr>
                <w:lang w:val="en-US" w:eastAsia="zh-CN" w:bidi="hi-IN"/>
              </w:rPr>
              <w:t>primary insomnia</w:t>
            </w:r>
          </w:p>
        </w:tc>
        <w:tc>
          <w:tcPr>
            <w:tcW w:w="1423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/>
            </w:pPr>
            <w:r>
              <w:rPr/>
            </w:r>
          </w:p>
          <w:p>
            <w:pPr>
              <w:pStyle w:val="Zawartotabeli"/>
              <w:jc w:val="center"/>
              <w:rPr/>
            </w:pPr>
            <w:r>
              <w:rPr/>
              <w:t>42</w:t>
            </w:r>
          </w:p>
          <w:p>
            <w:pPr>
              <w:pStyle w:val="Zawartotabeli"/>
              <w:jc w:val="center"/>
              <w:rPr/>
            </w:pPr>
            <w:r>
              <w:rPr/>
            </w:r>
          </w:p>
          <w:p>
            <w:pPr>
              <w:pStyle w:val="Zawartotabeli"/>
              <w:jc w:val="center"/>
              <w:rPr/>
            </w:pPr>
            <w:r>
              <w:rPr/>
              <w:t>18</w:t>
            </w:r>
          </w:p>
          <w:p>
            <w:pPr>
              <w:pStyle w:val="Zawartotabeli"/>
              <w:jc w:val="center"/>
              <w:rPr/>
            </w:pPr>
            <w:r>
              <w:rPr/>
              <w:t>24</w:t>
            </w:r>
          </w:p>
          <w:p>
            <w:pPr>
              <w:pStyle w:val="Zawartotabeli"/>
              <w:jc w:val="center"/>
              <w:rPr/>
            </w:pPr>
            <w:r>
              <w:rPr/>
              <w:t>41</w:t>
            </w:r>
          </w:p>
          <w:p>
            <w:pPr>
              <w:pStyle w:val="Zawartotabeli"/>
              <w:jc w:val="center"/>
              <w:rPr/>
            </w:pPr>
            <w:r>
              <w:rPr/>
            </w:r>
          </w:p>
          <w:p>
            <w:pPr>
              <w:pStyle w:val="Zawartotabeli"/>
              <w:jc w:val="center"/>
              <w:rPr/>
            </w:pPr>
            <w:r>
              <w:rPr/>
              <w:t>28</w:t>
            </w:r>
          </w:p>
          <w:p>
            <w:pPr>
              <w:pStyle w:val="Zawartotabeli"/>
              <w:jc w:val="center"/>
              <w:rPr/>
            </w:pPr>
            <w:r>
              <w:rPr/>
              <w:t>35</w:t>
            </w:r>
          </w:p>
          <w:p>
            <w:pPr>
              <w:pStyle w:val="Zawartotabeli"/>
              <w:jc w:val="center"/>
              <w:rPr/>
            </w:pPr>
            <w:r>
              <w:rPr/>
              <w:t xml:space="preserve"> </w:t>
            </w:r>
            <w:r>
              <w:rPr/>
              <w:t>6</w:t>
            </w:r>
          </w:p>
          <w:p>
            <w:pPr>
              <w:pStyle w:val="Zawartotabeli"/>
              <w:jc w:val="center"/>
              <w:rPr/>
            </w:pPr>
            <w:r>
              <w:rPr/>
              <w:t>23</w:t>
            </w:r>
          </w:p>
          <w:p>
            <w:pPr>
              <w:pStyle w:val="Zawartotabeli"/>
              <w:jc w:val="center"/>
              <w:rPr/>
            </w:pPr>
            <w:r>
              <w:rPr/>
              <w:t xml:space="preserve"> </w:t>
            </w:r>
            <w:r>
              <w:rPr/>
              <w:t>7</w:t>
            </w:r>
          </w:p>
        </w:tc>
        <w:tc>
          <w:tcPr>
            <w:tcW w:w="153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/>
            </w:pPr>
            <w:r>
              <w:rPr/>
            </w:r>
          </w:p>
          <w:p>
            <w:pPr>
              <w:pStyle w:val="Zawartotabeli"/>
              <w:jc w:val="center"/>
              <w:rPr/>
            </w:pPr>
            <w:r>
              <w:rPr/>
              <w:t>80</w:t>
            </w:r>
          </w:p>
          <w:p>
            <w:pPr>
              <w:pStyle w:val="Zawartotabeli"/>
              <w:jc w:val="center"/>
              <w:rPr/>
            </w:pPr>
            <w:r>
              <w:rPr/>
            </w:r>
          </w:p>
          <w:p>
            <w:pPr>
              <w:pStyle w:val="Zawartotabeli"/>
              <w:jc w:val="center"/>
              <w:rPr/>
            </w:pPr>
            <w:r>
              <w:rPr/>
              <w:t>23</w:t>
            </w:r>
          </w:p>
          <w:p>
            <w:pPr>
              <w:pStyle w:val="Zawartotabeli"/>
              <w:jc w:val="center"/>
              <w:rPr/>
            </w:pPr>
            <w:r>
              <w:rPr/>
              <w:t>20</w:t>
            </w:r>
          </w:p>
          <w:p>
            <w:pPr>
              <w:pStyle w:val="Zawartotabeli"/>
              <w:jc w:val="center"/>
              <w:rPr/>
            </w:pPr>
            <w:r>
              <w:rPr/>
              <w:t>15</w:t>
            </w:r>
          </w:p>
          <w:p>
            <w:pPr>
              <w:pStyle w:val="Zawartotabeli"/>
              <w:jc w:val="center"/>
              <w:rPr/>
            </w:pPr>
            <w:r>
              <w:rPr/>
            </w:r>
          </w:p>
          <w:p>
            <w:pPr>
              <w:pStyle w:val="Zawartotabeli"/>
              <w:jc w:val="center"/>
              <w:rPr/>
            </w:pPr>
            <w:r>
              <w:rPr/>
              <w:t>30</w:t>
            </w:r>
          </w:p>
          <w:p>
            <w:pPr>
              <w:pStyle w:val="Zawartotabeli"/>
              <w:jc w:val="center"/>
              <w:rPr/>
            </w:pPr>
            <w:r>
              <w:rPr/>
              <w:t>18</w:t>
            </w:r>
          </w:p>
          <w:p>
            <w:pPr>
              <w:pStyle w:val="Zawartotabeli"/>
              <w:jc w:val="center"/>
              <w:rPr/>
            </w:pPr>
            <w:r>
              <w:rPr/>
              <w:t>18</w:t>
            </w:r>
          </w:p>
          <w:p>
            <w:pPr>
              <w:pStyle w:val="Zawartotabeli"/>
              <w:jc w:val="center"/>
              <w:rPr/>
            </w:pPr>
            <w:r>
              <w:rPr/>
              <w:t>43</w:t>
            </w:r>
          </w:p>
          <w:p>
            <w:pPr>
              <w:pStyle w:val="Zawartotabeli"/>
              <w:jc w:val="center"/>
              <w:rPr/>
            </w:pPr>
            <w:r>
              <w:rPr/>
              <w:t>10</w:t>
            </w:r>
          </w:p>
        </w:tc>
        <w:tc>
          <w:tcPr>
            <w:tcW w:w="1634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Zawartotabeli"/>
              <w:jc w:val="center"/>
              <w:rPr/>
            </w:pPr>
            <w:r>
              <w:rPr/>
            </w:r>
          </w:p>
          <w:p>
            <w:pPr>
              <w:pStyle w:val="Zawartotabeli"/>
              <w:jc w:val="center"/>
              <w:rPr/>
            </w:pPr>
            <w:r>
              <w:rPr/>
              <w:t>122</w:t>
            </w:r>
          </w:p>
          <w:p>
            <w:pPr>
              <w:pStyle w:val="Zawartotabeli"/>
              <w:jc w:val="center"/>
              <w:rPr/>
            </w:pPr>
            <w:r>
              <w:rPr/>
            </w:r>
          </w:p>
          <w:p>
            <w:pPr>
              <w:pStyle w:val="Zawartotabeli"/>
              <w:jc w:val="center"/>
              <w:rPr/>
            </w:pPr>
            <w:r>
              <w:rPr/>
              <w:t>41</w:t>
            </w:r>
          </w:p>
          <w:p>
            <w:pPr>
              <w:pStyle w:val="Zawartotabeli"/>
              <w:jc w:val="center"/>
              <w:rPr/>
            </w:pPr>
            <w:r>
              <w:rPr/>
              <w:t>44</w:t>
            </w:r>
          </w:p>
          <w:p>
            <w:pPr>
              <w:pStyle w:val="Zawartotabeli"/>
              <w:jc w:val="center"/>
              <w:rPr/>
            </w:pPr>
            <w:r>
              <w:rPr/>
              <w:t>56</w:t>
            </w:r>
          </w:p>
          <w:p>
            <w:pPr>
              <w:pStyle w:val="Zawartotabeli"/>
              <w:jc w:val="center"/>
              <w:rPr/>
            </w:pPr>
            <w:r>
              <w:rPr/>
            </w:r>
          </w:p>
          <w:p>
            <w:pPr>
              <w:pStyle w:val="Zawartotabeli"/>
              <w:jc w:val="center"/>
              <w:rPr/>
            </w:pPr>
            <w:r>
              <w:rPr/>
              <w:t>58</w:t>
            </w:r>
          </w:p>
          <w:p>
            <w:pPr>
              <w:pStyle w:val="Zawartotabeli"/>
              <w:jc w:val="center"/>
              <w:rPr/>
            </w:pPr>
            <w:r>
              <w:rPr/>
              <w:t>53</w:t>
            </w:r>
          </w:p>
          <w:p>
            <w:pPr>
              <w:pStyle w:val="Zawartotabeli"/>
              <w:jc w:val="center"/>
              <w:rPr/>
            </w:pPr>
            <w:r>
              <w:rPr/>
              <w:t>24</w:t>
            </w:r>
          </w:p>
          <w:p>
            <w:pPr>
              <w:pStyle w:val="Zawartotabeli"/>
              <w:jc w:val="center"/>
              <w:rPr/>
            </w:pPr>
            <w:r>
              <w:rPr/>
              <w:t>76</w:t>
            </w:r>
          </w:p>
          <w:p>
            <w:pPr>
              <w:pStyle w:val="Zawartotabeli"/>
              <w:jc w:val="center"/>
              <w:rPr/>
            </w:pPr>
            <w:r>
              <w:rPr/>
              <w:t>17</w:t>
            </w:r>
          </w:p>
        </w:tc>
        <w:tc>
          <w:tcPr>
            <w:tcW w:w="13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Zawartotabeli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/>
        <w:kern w:val="2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true"/>
      <w:bidi w:val="0"/>
      <w:jc w:val="left"/>
    </w:pPr>
    <w:rPr>
      <w:rFonts w:ascii="Calibri" w:hAnsi="Calibri" w:eastAsia="NSimSun" w:cs="Mangal"/>
      <w:color w:val="auto"/>
      <w:kern w:val="2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ascii="Calibri" w:hAnsi="Calibri"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ascii="Calibri" w:hAnsi="Calibri"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Calibri" w:hAnsi="Calibri" w:cs="Mangal"/>
    </w:rPr>
  </w:style>
  <w:style w:type="paragraph" w:styleId="Zawartotabeli">
    <w:name w:val="Zawartość tabeli"/>
    <w:basedOn w:val="Normal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776</TotalTime>
  <Application>LibreOffice/6.3.3.2$Windows_X86_64 LibreOffice_project/a64200df03143b798afd1ec74a12ab50359878ed</Application>
  <Pages>1</Pages>
  <Words>165</Words>
  <Characters>791</Characters>
  <CharactersWithSpaces>882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2021-06-18T10:21:46Z</dcterms:created>
  <dc:creator/>
  <dc:description/>
  <dc:language>pl-PL</dc:language>
  <cp:lastModifiedBy/>
  <dcterms:modified xsi:type="dcterms:W3CDTF">2021-06-22T14:36:22Z</dcterms:modified>
  <cp:revision>19</cp:revision>
  <dc:subject/>
  <dc:title/>
</cp:coreProperties>
</file>