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480" w:lineRule="auto"/>
        <w:ind w:left="5040" w:firstLine="72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Supplementary File</w:t>
      </w:r>
    </w:p>
    <w:p w:rsidR="00000000" w:rsidDel="00000000" w:rsidP="00000000" w:rsidRDefault="00000000" w:rsidRPr="00000000" w14:paraId="00000002">
      <w:pPr>
        <w:spacing w:after="240" w:before="240" w:line="480" w:lineRule="auto"/>
        <w:ind w:left="2880" w:firstLine="72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Journal: European Journal of Clinical Pharmacology</w:t>
      </w:r>
    </w:p>
    <w:p w:rsidR="00000000" w:rsidDel="00000000" w:rsidP="00000000" w:rsidRDefault="00000000" w:rsidRPr="00000000" w14:paraId="00000003">
      <w:pPr>
        <w:spacing w:after="240" w:before="240" w:lin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Efficacy and Safety of Argatroban as an Adjunct to Antiplatelet Therapy in Ischemic Stroke: An Updated Systematic Review and Meta-analysis</w:t>
      </w:r>
    </w:p>
    <w:p w:rsidR="00000000" w:rsidDel="00000000" w:rsidP="00000000" w:rsidRDefault="00000000" w:rsidRPr="00000000" w14:paraId="00000004">
      <w:pPr>
        <w:spacing w:after="240" w:before="240" w:line="480" w:lineRule="auto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Syeda Takreem Fatima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 Raza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Abdullah Javed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Shabnam Ijaz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 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Mishaal Noor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Syeda Duaa Uzair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Abdul Raheem Malik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Rana Ali Mustafa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Safi Ur Rehman Daim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g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Department of Medicine, Services Institute of Medical Sciences, Lahore, Pakistan.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b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Department of Medicine, Allama Iqbal Medical College, Lahore, Pakistan.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Department of Medicine, Foundation University Medical College, Islamabad, Pakistan. 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Department of Medicine, Rashid Latif Medical College, Lahore, Pakistan.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Department of Medicine, Dow University of Health Sciences, Karachi, Pakistan.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Department of Medicine, Continental Medical College, Lahore, Pakistan.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Carle Foundation Hospital, Illinois, U.S.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Corresponding author: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Safi Ur Rehman Daim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Carle Foundation Hospital, Illinois, U.S.</w:t>
      </w:r>
    </w:p>
    <w:p w:rsidR="00000000" w:rsidDel="00000000" w:rsidP="00000000" w:rsidRDefault="00000000" w:rsidRPr="00000000" w14:paraId="0000000E">
      <w:pPr>
        <w:spacing w:after="240" w:before="240" w:line="240" w:lineRule="auto"/>
        <w:rPr/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sdaim@illinois.edu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78.0000000000000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1: Summary of the risk of bias of RCTs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5943600" cy="3404235"/>
            <wp:effectExtent b="0" l="0" r="0" t="0"/>
            <wp:wrapNone/>
            <wp:docPr id="1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42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516"/>
          <w:tab w:val="center" w:leader="none" w:pos="4680"/>
        </w:tabs>
        <w:spacing w:after="160" w:line="278.0000000000000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516"/>
          <w:tab w:val="center" w:leader="none" w:pos="4680"/>
        </w:tabs>
        <w:spacing w:after="160" w:line="278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2: Summary of the risk of bias of NRS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302895</wp:posOffset>
            </wp:positionV>
            <wp:extent cx="5943600" cy="5730875"/>
            <wp:effectExtent b="0" l="0" r="0" t="0"/>
            <wp:wrapNone/>
            <wp:docPr id="2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30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tabs>
          <w:tab w:val="left" w:leader="none" w:pos="516"/>
          <w:tab w:val="center" w:leader="none" w:pos="4680"/>
        </w:tabs>
        <w:spacing w:after="160"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3: Leave-one-out analysis of mRS 0-2</w:t>
      </w:r>
    </w:p>
    <w:p w:rsidR="00000000" w:rsidDel="00000000" w:rsidP="00000000" w:rsidRDefault="00000000" w:rsidRPr="00000000" w14:paraId="0000004B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2959100"/>
            <wp:effectExtent b="0" l="0" r="0" t="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4: Funnel plot showing the publication bias of mRS 0-2</w:t>
      </w:r>
    </w:p>
    <w:p w:rsidR="00000000" w:rsidDel="00000000" w:rsidP="00000000" w:rsidRDefault="00000000" w:rsidRPr="00000000" w14:paraId="00000055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6152264" cy="3482011"/>
            <wp:effectExtent b="0" l="0" r="0" t="0"/>
            <wp:docPr id="19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52264" cy="34820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5: Trim and fill analysis for mRS 0-2</w:t>
      </w:r>
    </w:p>
    <w:p w:rsidR="00000000" w:rsidDel="00000000" w:rsidP="00000000" w:rsidRDefault="00000000" w:rsidRPr="00000000" w14:paraId="0000005F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6255447" cy="3757613"/>
            <wp:effectExtent b="0" l="0" r="0" t="0"/>
            <wp:docPr id="13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55447" cy="37576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6: Leave-one-out analysis of mRS (0-1)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6538775" cy="2421768"/>
            <wp:effectExtent b="0" l="0" r="0" t="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38775" cy="24217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7: Leave-one-out analysis of early neurological deterioration</w:t>
      </w:r>
    </w:p>
    <w:p w:rsidR="00000000" w:rsidDel="00000000" w:rsidP="00000000" w:rsidRDefault="00000000" w:rsidRPr="00000000" w14:paraId="00000073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2159000"/>
            <wp:effectExtent b="0" l="0" r="0" t="0"/>
            <wp:docPr id="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8: Leave-one-out analysis of change in NIHSS score</w:t>
      </w:r>
    </w:p>
    <w:p w:rsidR="00000000" w:rsidDel="00000000" w:rsidP="00000000" w:rsidRDefault="00000000" w:rsidRPr="00000000" w14:paraId="0000007D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205413" cy="2361715"/>
            <wp:effectExtent b="0" l="0" r="0" t="0"/>
            <wp:docPr id="1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05413" cy="2361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9: Forest plot showing the RR of 7-day mortality for argatroban vs control</w:t>
      </w:r>
    </w:p>
    <w:p w:rsidR="00000000" w:rsidDel="00000000" w:rsidP="00000000" w:rsidRDefault="00000000" w:rsidRPr="00000000" w14:paraId="00000086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1752600"/>
            <wp:effectExtent b="0" l="0" r="0" t="0"/>
            <wp:docPr id="1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10: Forest plot showing the subgroup analysis of mRS (0-1) based on the comparison group</w:t>
      </w:r>
    </w:p>
    <w:p w:rsidR="00000000" w:rsidDel="00000000" w:rsidP="00000000" w:rsidRDefault="00000000" w:rsidRPr="00000000" w14:paraId="00000095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3213100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11: Forest plot showing the subgroup analysis of mRS (0-2) based on the comparison group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509270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12: Forest plot showing the subgroup analysis of composite haemorrhage based on the comparison group</w:t>
      </w:r>
    </w:p>
    <w:p w:rsidR="00000000" w:rsidDel="00000000" w:rsidP="00000000" w:rsidRDefault="00000000" w:rsidRPr="00000000" w14:paraId="0000009C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3695700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13: Forest plot showing the subgroup analysis of intracranial haemorrhage based on the comparison group</w:t>
      </w:r>
    </w:p>
    <w:p w:rsidR="00000000" w:rsidDel="00000000" w:rsidP="00000000" w:rsidRDefault="00000000" w:rsidRPr="00000000" w14:paraId="000000A2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4191000"/>
            <wp:effectExtent b="0" l="0" r="0" t="0"/>
            <wp:docPr id="5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14: Forest plot showing the subgroup analysis of stroke recurrence based on the comparison group</w:t>
      </w:r>
    </w:p>
    <w:p w:rsidR="00000000" w:rsidDel="00000000" w:rsidP="00000000" w:rsidRDefault="00000000" w:rsidRPr="00000000" w14:paraId="000000A8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29591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15: Forest plot showing the subgroup analysis of organ haemorrhage based on the comparison group</w:t>
      </w:r>
    </w:p>
    <w:p w:rsidR="00000000" w:rsidDel="00000000" w:rsidP="00000000" w:rsidRDefault="00000000" w:rsidRPr="00000000" w14:paraId="000000B2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28956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16: Forest plot showing the subgroup analysis of change in NIHSS score based on the intervention group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6206271" cy="4230895"/>
            <wp:effectExtent b="0" l="0" r="0" t="0"/>
            <wp:docPr id="1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06271" cy="42308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17: Forest plot showing the subgroup analysis of composite haemorrhage based on the intervention group</w:t>
      </w:r>
    </w:p>
    <w:p w:rsidR="00000000" w:rsidDel="00000000" w:rsidP="00000000" w:rsidRDefault="00000000" w:rsidRPr="00000000" w14:paraId="000000BB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4102100"/>
            <wp:effectExtent b="0" l="0" r="0" t="0"/>
            <wp:docPr id="3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18:Forest plot showing the subgroup analysis of intracranial haemorrhage based on the intervention group</w:t>
      </w:r>
    </w:p>
    <w:p w:rsidR="00000000" w:rsidDel="00000000" w:rsidP="00000000" w:rsidRDefault="00000000" w:rsidRPr="00000000" w14:paraId="000000C0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4241800"/>
            <wp:effectExtent b="0" l="0" r="0" t="0"/>
            <wp:docPr id="7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19: Forest plot showing the subgroup analysis of stroke recurrence based on the intervention group</w:t>
      </w:r>
    </w:p>
    <w:p w:rsidR="00000000" w:rsidDel="00000000" w:rsidP="00000000" w:rsidRDefault="00000000" w:rsidRPr="00000000" w14:paraId="000000C7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3035300"/>
            <wp:effectExtent b="0" l="0" r="0" t="0"/>
            <wp:docPr id="8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20: Forest plot showing the subgroup analysis of organ haemorrhage based on the intervention group</w:t>
      </w:r>
    </w:p>
    <w:p w:rsidR="00000000" w:rsidDel="00000000" w:rsidP="00000000" w:rsidRDefault="00000000" w:rsidRPr="00000000" w14:paraId="000000D0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2921000"/>
            <wp:effectExtent b="0" l="0" r="0" t="0"/>
            <wp:docPr id="14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114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 1: Search strings</w:t>
      </w:r>
    </w:p>
    <w:p w:rsidR="00000000" w:rsidDel="00000000" w:rsidP="00000000" w:rsidRDefault="00000000" w:rsidRPr="00000000" w14:paraId="000000D4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80"/>
        <w:gridCol w:w="7480"/>
        <w:tblGridChange w:id="0">
          <w:tblGrid>
            <w:gridCol w:w="1880"/>
            <w:gridCol w:w="7480"/>
          </w:tblGrid>
        </w:tblGridChange>
      </w:tblGrid>
      <w:tr>
        <w:trPr>
          <w:cantSplit w:val="0"/>
          <w:trHeight w:val="40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PubMed</w:t>
            </w:r>
          </w:p>
          <w:p w:rsidR="00000000" w:rsidDel="00000000" w:rsidP="00000000" w:rsidRDefault="00000000" w:rsidRPr="00000000" w14:paraId="000000D6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("ischemic stroke"[tiab] OR "cerebral ischemia"[tiab] OR "brain infarction"[tiab] OR stroke[tiab] OR "Ischemic Stroke"[Mesh] OR "Brain Infarction"[Mesh] OR "Stroke"[Mesh]) </w:t>
            </w:r>
          </w:p>
          <w:p w:rsidR="00000000" w:rsidDel="00000000" w:rsidP="00000000" w:rsidRDefault="00000000" w:rsidRPr="00000000" w14:paraId="000000D8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0D9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("argatroban"[tiab] OR "argatroban hydrate"[tiab] OR "Argatroban"[Mesh]) </w:t>
            </w:r>
          </w:p>
          <w:p w:rsidR="00000000" w:rsidDel="00000000" w:rsidP="00000000" w:rsidRDefault="00000000" w:rsidRPr="00000000" w14:paraId="000000DA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0DB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("antiplatelet therap*"[tiab] OR "antiplatelet agent*"[tiab] OR "anti-platelet therap*"[tiab] OR "anti-platelet agent*"[tiab] OR "Dual Anti-Platelet Therapy"[Mesh] OR "Platelet Aggregation Inhibitors"[Mesh])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Scopus</w:t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(("ischemic stroke" OR "cerebral ischemia" OR "brain infarction" OR "Stroke") AND ("argatroban" OR "argatroban hydrate") AND ("antiplatelet therap*" OR "antiplatelet agent*" OR "anti-platelet therap*" OR "anti-platelet agent*"))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Google Scholar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tabs>
                <w:tab w:val="left" w:leader="none" w:pos="1320"/>
              </w:tabs>
              <w:spacing w:after="160" w:line="278.0000000000000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("ischemic stroke" OR "cerebral ischemia" OR “stroke”) AND “argatroban” AND (“antiplatelet” OR "dual antiplatelet" OR “DAPT”)</w:t>
            </w:r>
          </w:p>
        </w:tc>
      </w:tr>
    </w:tbl>
    <w:p w:rsidR="00000000" w:rsidDel="00000000" w:rsidP="00000000" w:rsidRDefault="00000000" w:rsidRPr="00000000" w14:paraId="000000E1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 2:  Timepoints for NIHSS score for included studies</w:t>
      </w:r>
    </w:p>
    <w:p w:rsidR="00000000" w:rsidDel="00000000" w:rsidP="00000000" w:rsidRDefault="00000000" w:rsidRPr="00000000" w14:paraId="000000E5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15"/>
        <w:gridCol w:w="3990"/>
        <w:gridCol w:w="4965"/>
        <w:tblGridChange w:id="0">
          <w:tblGrid>
            <w:gridCol w:w="1515"/>
            <w:gridCol w:w="3990"/>
            <w:gridCol w:w="4965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tabs>
                <w:tab w:val="left" w:leader="none" w:pos="1320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Study ID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NIHSS timepoint(s)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Change in score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Oguro 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discharge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 – Discharge score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Wang 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discharge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 – Discharge score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Zhou 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change in NIHSS at day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Change reported (Admission – 7 day score)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 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change in NIHSS at day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Change reported (Admission – 7 day score)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Sun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discharge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 – Discharge score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Zhang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90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 – 90 day score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Liu 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change in NIHSS at day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Change reported (Admission – 7 day score)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Yan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change in NIHSS at day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Change reported (Admission – 7 day score)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Chen 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discharge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 – Discharge score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Xu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discharge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 – Discharge score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Zhang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Admission; 7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tabs>
                <w:tab w:val="left" w:leader="none" w:pos="1320"/>
              </w:tabs>
              <w:ind w:left="2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Admission – 7 day score</w:t>
            </w:r>
          </w:p>
        </w:tc>
      </w:tr>
    </w:tbl>
    <w:p w:rsidR="00000000" w:rsidDel="00000000" w:rsidP="00000000" w:rsidRDefault="00000000" w:rsidRPr="00000000" w14:paraId="0000010B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160" w:line="259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 3: Results of Subgroup Analysis Based on the Study Design</w:t>
      </w:r>
    </w:p>
    <w:tbl>
      <w:tblPr>
        <w:tblStyle w:val="Table3"/>
        <w:tblW w:w="99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80"/>
        <w:gridCol w:w="1755"/>
        <w:gridCol w:w="1005"/>
        <w:gridCol w:w="2805"/>
        <w:gridCol w:w="1410"/>
        <w:gridCol w:w="1260"/>
        <w:tblGridChange w:id="0">
          <w:tblGrid>
            <w:gridCol w:w="1680"/>
            <w:gridCol w:w="1755"/>
            <w:gridCol w:w="1005"/>
            <w:gridCol w:w="2805"/>
            <w:gridCol w:w="1410"/>
            <w:gridCol w:w="1260"/>
          </w:tblGrid>
        </w:tblGridChange>
      </w:tblGrid>
      <w:tr>
        <w:trPr>
          <w:cantSplit w:val="0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10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Outcome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1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Subgroup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11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Studies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1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Pooled estimate (95% CI)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11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 value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11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(%)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1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mRS (0-2)</w:t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RCTs</w:t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1.08 (1.02 – 1.15)</w:t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17.4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Cohort studies</w:t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1.02 (0.93 – 1.11)</w:t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0.67</w:t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71.2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2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Composite hemorrhage</w:t>
            </w:r>
          </w:p>
        </w:tc>
        <w:tc>
          <w:tcPr/>
          <w:p w:rsidR="00000000" w:rsidDel="00000000" w:rsidP="00000000" w:rsidRDefault="00000000" w:rsidRPr="00000000" w14:paraId="0000012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RCTs</w:t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2.17 (1.07 – 4.41)  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2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Cohort studies</w:t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2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1.08 (0.96 – 1.21)</w:t>
            </w:r>
          </w:p>
        </w:tc>
        <w:tc>
          <w:tcPr/>
          <w:p w:rsidR="00000000" w:rsidDel="00000000" w:rsidP="00000000" w:rsidRDefault="00000000" w:rsidRPr="00000000" w14:paraId="0000012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2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mRS (0-1)</w:t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RCTs</w:t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3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1.08 (0.86 – 1.35)</w:t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0.49</w:t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60.6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3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Cohort studies</w:t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1.51 (1.32 – 1.73)</w:t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&lt;0.0001</w:t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3.7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3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END</w:t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RCTs</w:t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0.43 (0.26 – 0.71)</w:t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0.001</w:t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4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Cohort studies</w:t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0.47 (0.24– 0.92) </w:t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74.7</w:t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4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Change </w:t>
            </w:r>
          </w:p>
          <w:p w:rsidR="00000000" w:rsidDel="00000000" w:rsidP="00000000" w:rsidRDefault="00000000" w:rsidRPr="00000000" w14:paraId="0000014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</w:t>
            </w:r>
          </w:p>
          <w:p w:rsidR="00000000" w:rsidDel="00000000" w:rsidP="00000000" w:rsidRDefault="00000000" w:rsidRPr="00000000" w14:paraId="0000014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NIHSS score</w:t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RCTs</w:t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4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MD: 0.40 (-0.72 – 1.51)</w:t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0.48</w:t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88.8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5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Cohort studies</w:t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MD: 0.64 (-0.07 – 1.36)</w:t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94.2</w:t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5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Intracranial hemorrhage</w:t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RCTs</w:t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1.57 (1.06 – 2.35)</w:t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/>
          <w:p w:rsidR="00000000" w:rsidDel="00000000" w:rsidP="00000000" w:rsidRDefault="00000000" w:rsidRPr="00000000" w14:paraId="0000015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179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5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Cohort studies</w:t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6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0.88 (0.50 – 1.54)</w:t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0.64</w:t>
            </w:r>
          </w:p>
        </w:tc>
        <w:tc>
          <w:tcPr/>
          <w:p w:rsidR="00000000" w:rsidDel="00000000" w:rsidP="00000000" w:rsidRDefault="00000000" w:rsidRPr="00000000" w14:paraId="0000016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6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Stroke recurrence</w:t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RCTs</w:t>
            </w:r>
          </w:p>
        </w:tc>
        <w:tc>
          <w:tcPr/>
          <w:p w:rsidR="00000000" w:rsidDel="00000000" w:rsidP="00000000" w:rsidRDefault="00000000" w:rsidRPr="00000000" w14:paraId="0000016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0.80 (0.43 – 1.46)</w:t>
            </w:r>
          </w:p>
        </w:tc>
        <w:tc>
          <w:tcPr/>
          <w:p w:rsidR="00000000" w:rsidDel="00000000" w:rsidP="00000000" w:rsidRDefault="00000000" w:rsidRPr="00000000" w14:paraId="0000016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0.46</w:t>
            </w:r>
          </w:p>
        </w:tc>
        <w:tc>
          <w:tcPr/>
          <w:p w:rsidR="00000000" w:rsidDel="00000000" w:rsidP="00000000" w:rsidRDefault="00000000" w:rsidRPr="00000000" w14:paraId="0000016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6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Cohort studies</w:t>
            </w:r>
          </w:p>
        </w:tc>
        <w:tc>
          <w:tcPr/>
          <w:p w:rsidR="00000000" w:rsidDel="00000000" w:rsidP="00000000" w:rsidRDefault="00000000" w:rsidRPr="00000000" w14:paraId="0000016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RR: 0.96 (0.82 – 1.13)</w:t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0.64</w:t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70">
      <w:pPr>
        <w:spacing w:after="160" w:line="259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after="160" w:line="259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RCT: Randomized Controlled Trial; CI: Confidence Interval; RR: Risk Ratio; MD: Mean Difference; mRS: Modified Rankin Scale; END: Early Neurological Deterioration; NIHSS: National Institutes of Health Stroke Scale</w:t>
      </w:r>
    </w:p>
    <w:p w:rsidR="00000000" w:rsidDel="00000000" w:rsidP="00000000" w:rsidRDefault="00000000" w:rsidRPr="00000000" w14:paraId="00000172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 4: Results of Subgroup Analysis Based on Risk of Bias Assessment of Studies</w:t>
      </w:r>
    </w:p>
    <w:tbl>
      <w:tblPr>
        <w:tblStyle w:val="Table4"/>
        <w:tblW w:w="105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0"/>
        <w:gridCol w:w="1560"/>
        <w:gridCol w:w="930"/>
        <w:gridCol w:w="3480"/>
        <w:gridCol w:w="1290"/>
        <w:gridCol w:w="1695"/>
        <w:tblGridChange w:id="0">
          <w:tblGrid>
            <w:gridCol w:w="1560"/>
            <w:gridCol w:w="1560"/>
            <w:gridCol w:w="930"/>
            <w:gridCol w:w="3480"/>
            <w:gridCol w:w="1290"/>
            <w:gridCol w:w="1695"/>
          </w:tblGrid>
        </w:tblGridChange>
      </w:tblGrid>
      <w:tr>
        <w:trPr>
          <w:cantSplit w:val="0"/>
          <w:trHeight w:val="94" w:hRule="atLeast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17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Outcome 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17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Subgroup 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17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Studies 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17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Pooled estimate (95% CI)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17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 value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17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superscript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(%)</w:t>
            </w:r>
          </w:p>
        </w:tc>
      </w:tr>
      <w:tr>
        <w:trPr>
          <w:cantSplit w:val="0"/>
          <w:trHeight w:val="94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7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mRS (0-2)</w:t>
            </w:r>
          </w:p>
        </w:tc>
        <w:tc>
          <w:tcPr/>
          <w:p w:rsidR="00000000" w:rsidDel="00000000" w:rsidP="00000000" w:rsidRDefault="00000000" w:rsidRPr="00000000" w14:paraId="0000017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Low risk</w:t>
            </w:r>
          </w:p>
        </w:tc>
        <w:tc>
          <w:tcPr/>
          <w:p w:rsidR="00000000" w:rsidDel="00000000" w:rsidP="00000000" w:rsidRDefault="00000000" w:rsidRPr="00000000" w14:paraId="0000017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1.05 (0.96 – 1.16)</w:t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0.28</w:t>
            </w:r>
          </w:p>
        </w:tc>
        <w:tc>
          <w:tcPr/>
          <w:p w:rsidR="00000000" w:rsidDel="00000000" w:rsidP="00000000" w:rsidRDefault="00000000" w:rsidRPr="00000000" w14:paraId="0000018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30.4</w:t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8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Moderate risk</w:t>
            </w:r>
          </w:p>
        </w:tc>
        <w:tc>
          <w:tcPr/>
          <w:p w:rsidR="00000000" w:rsidDel="00000000" w:rsidP="00000000" w:rsidRDefault="00000000" w:rsidRPr="00000000" w14:paraId="0000018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8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1.06 (0.98 – 1.14)</w:t>
            </w:r>
          </w:p>
        </w:tc>
        <w:tc>
          <w:tcPr/>
          <w:p w:rsidR="00000000" w:rsidDel="00000000" w:rsidP="00000000" w:rsidRDefault="00000000" w:rsidRPr="00000000" w14:paraId="0000018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</w:t>
            </w:r>
          </w:p>
        </w:tc>
        <w:tc>
          <w:tcPr/>
          <w:p w:rsidR="00000000" w:rsidDel="00000000" w:rsidP="00000000" w:rsidRDefault="00000000" w:rsidRPr="00000000" w14:paraId="0000018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65.4</w:t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8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High risk</w:t>
            </w:r>
          </w:p>
        </w:tc>
        <w:tc>
          <w:tcPr/>
          <w:p w:rsidR="00000000" w:rsidDel="00000000" w:rsidP="00000000" w:rsidRDefault="00000000" w:rsidRPr="00000000" w14:paraId="0000018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8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0.99 (0.84 – 1.16)</w:t>
            </w:r>
          </w:p>
        </w:tc>
        <w:tc>
          <w:tcPr/>
          <w:p w:rsidR="00000000" w:rsidDel="00000000" w:rsidP="00000000" w:rsidRDefault="00000000" w:rsidRPr="00000000" w14:paraId="0000018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0.86</w:t>
            </w:r>
          </w:p>
        </w:tc>
        <w:tc>
          <w:tcPr/>
          <w:p w:rsidR="00000000" w:rsidDel="00000000" w:rsidP="00000000" w:rsidRDefault="00000000" w:rsidRPr="00000000" w14:paraId="0000018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78</w:t>
            </w:r>
          </w:p>
        </w:tc>
      </w:tr>
      <w:tr>
        <w:trPr>
          <w:cantSplit w:val="0"/>
          <w:trHeight w:val="94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8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Composite hemorrhage</w:t>
            </w:r>
          </w:p>
        </w:tc>
        <w:tc>
          <w:tcPr/>
          <w:p w:rsidR="00000000" w:rsidDel="00000000" w:rsidP="00000000" w:rsidRDefault="00000000" w:rsidRPr="00000000" w14:paraId="0000019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Low risk</w:t>
            </w:r>
          </w:p>
        </w:tc>
        <w:tc>
          <w:tcPr/>
          <w:p w:rsidR="00000000" w:rsidDel="00000000" w:rsidP="00000000" w:rsidRDefault="00000000" w:rsidRPr="00000000" w14:paraId="0000019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9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2.17 (1.07 – 4.41)</w:t>
            </w:r>
          </w:p>
        </w:tc>
        <w:tc>
          <w:tcPr/>
          <w:p w:rsidR="00000000" w:rsidDel="00000000" w:rsidP="00000000" w:rsidRDefault="00000000" w:rsidRPr="00000000" w14:paraId="0000019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</w:t>
            </w:r>
          </w:p>
        </w:tc>
        <w:tc>
          <w:tcPr/>
          <w:p w:rsidR="00000000" w:rsidDel="00000000" w:rsidP="00000000" w:rsidRDefault="00000000" w:rsidRPr="00000000" w14:paraId="0000019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9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Moderate risk</w:t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9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0.93 (0.70 – 1.25)</w:t>
            </w:r>
          </w:p>
        </w:tc>
        <w:tc>
          <w:tcPr/>
          <w:p w:rsidR="00000000" w:rsidDel="00000000" w:rsidP="00000000" w:rsidRDefault="00000000" w:rsidRPr="00000000" w14:paraId="0000019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0.64</w:t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9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High risk</w:t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9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1.11 (0.97 – 1.26)</w:t>
            </w:r>
          </w:p>
        </w:tc>
        <w:tc>
          <w:tcPr/>
          <w:p w:rsidR="00000000" w:rsidDel="00000000" w:rsidP="00000000" w:rsidRDefault="00000000" w:rsidRPr="00000000" w14:paraId="0000019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0.12</w:t>
            </w:r>
          </w:p>
        </w:tc>
        <w:tc>
          <w:tcPr/>
          <w:p w:rsidR="00000000" w:rsidDel="00000000" w:rsidP="00000000" w:rsidRDefault="00000000" w:rsidRPr="00000000" w14:paraId="000001A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94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A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mRS (0-1)</w:t>
            </w:r>
          </w:p>
        </w:tc>
        <w:tc>
          <w:tcPr/>
          <w:p w:rsidR="00000000" w:rsidDel="00000000" w:rsidP="00000000" w:rsidRDefault="00000000" w:rsidRPr="00000000" w14:paraId="000001A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Low risk</w:t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A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1.07 (0.71 – 1.62)</w:t>
            </w:r>
          </w:p>
        </w:tc>
        <w:tc>
          <w:tcPr/>
          <w:p w:rsidR="00000000" w:rsidDel="00000000" w:rsidP="00000000" w:rsidRDefault="00000000" w:rsidRPr="00000000" w14:paraId="000001A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0.73</w:t>
            </w:r>
          </w:p>
        </w:tc>
        <w:tc>
          <w:tcPr/>
          <w:p w:rsidR="00000000" w:rsidDel="00000000" w:rsidP="00000000" w:rsidRDefault="00000000" w:rsidRPr="00000000" w14:paraId="000001A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68.5</w:t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A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Moderate risk</w:t>
            </w:r>
          </w:p>
        </w:tc>
        <w:tc>
          <w:tcPr/>
          <w:p w:rsidR="00000000" w:rsidDel="00000000" w:rsidP="00000000" w:rsidRDefault="00000000" w:rsidRPr="00000000" w14:paraId="000001A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A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1.26 (0.85 – 1.89)</w:t>
            </w:r>
          </w:p>
        </w:tc>
        <w:tc>
          <w:tcPr/>
          <w:p w:rsidR="00000000" w:rsidDel="00000000" w:rsidP="00000000" w:rsidRDefault="00000000" w:rsidRPr="00000000" w14:paraId="000001A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</w:t>
            </w:r>
          </w:p>
        </w:tc>
        <w:tc>
          <w:tcPr/>
          <w:p w:rsidR="00000000" w:rsidDel="00000000" w:rsidP="00000000" w:rsidRDefault="00000000" w:rsidRPr="00000000" w14:paraId="000001A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91.5</w:t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A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High risk</w:t>
            </w:r>
          </w:p>
        </w:tc>
        <w:tc>
          <w:tcPr/>
          <w:p w:rsidR="00000000" w:rsidDel="00000000" w:rsidP="00000000" w:rsidRDefault="00000000" w:rsidRPr="00000000" w14:paraId="000001B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B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1.28 (1.00 – 1.92)</w:t>
            </w:r>
          </w:p>
        </w:tc>
        <w:tc>
          <w:tcPr/>
          <w:p w:rsidR="00000000" w:rsidDel="00000000" w:rsidP="00000000" w:rsidRDefault="00000000" w:rsidRPr="00000000" w14:paraId="000001B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</w:t>
            </w:r>
          </w:p>
        </w:tc>
        <w:tc>
          <w:tcPr/>
          <w:p w:rsidR="00000000" w:rsidDel="00000000" w:rsidP="00000000" w:rsidRDefault="00000000" w:rsidRPr="00000000" w14:paraId="000001B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45.2</w:t>
            </w:r>
          </w:p>
        </w:tc>
      </w:tr>
      <w:tr>
        <w:trPr>
          <w:cantSplit w:val="0"/>
          <w:trHeight w:val="168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B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END</w:t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Low risk</w:t>
            </w:r>
          </w:p>
        </w:tc>
        <w:tc>
          <w:tcPr/>
          <w:p w:rsidR="00000000" w:rsidDel="00000000" w:rsidP="00000000" w:rsidRDefault="00000000" w:rsidRPr="00000000" w14:paraId="000001B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0.43 (0.23 – 0.81)</w:t>
            </w:r>
          </w:p>
        </w:tc>
        <w:tc>
          <w:tcPr/>
          <w:p w:rsidR="00000000" w:rsidDel="00000000" w:rsidP="00000000" w:rsidRDefault="00000000" w:rsidRPr="00000000" w14:paraId="000001B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B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</w:tr>
      <w:tr>
        <w:trPr>
          <w:cantSplit w:val="0"/>
          <w:trHeight w:val="168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B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Moderate risk</w:t>
            </w:r>
          </w:p>
        </w:tc>
        <w:tc>
          <w:tcPr/>
          <w:p w:rsidR="00000000" w:rsidDel="00000000" w:rsidP="00000000" w:rsidRDefault="00000000" w:rsidRPr="00000000" w14:paraId="000001B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B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0.36 (0.21- 0.60)</w:t>
            </w:r>
          </w:p>
        </w:tc>
        <w:tc>
          <w:tcPr/>
          <w:p w:rsidR="00000000" w:rsidDel="00000000" w:rsidP="00000000" w:rsidRDefault="00000000" w:rsidRPr="00000000" w14:paraId="000001B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0.0001</w:t>
            </w:r>
          </w:p>
        </w:tc>
        <w:tc>
          <w:tcPr/>
          <w:p w:rsidR="00000000" w:rsidDel="00000000" w:rsidP="00000000" w:rsidRDefault="00000000" w:rsidRPr="00000000" w14:paraId="000001B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168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C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High risk</w:t>
            </w:r>
          </w:p>
        </w:tc>
        <w:tc>
          <w:tcPr/>
          <w:p w:rsidR="00000000" w:rsidDel="00000000" w:rsidP="00000000" w:rsidRDefault="00000000" w:rsidRPr="00000000" w14:paraId="000001C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C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0.53 (0.21 – 1.37)</w:t>
            </w:r>
          </w:p>
        </w:tc>
        <w:tc>
          <w:tcPr/>
          <w:p w:rsidR="00000000" w:rsidDel="00000000" w:rsidP="00000000" w:rsidRDefault="00000000" w:rsidRPr="00000000" w14:paraId="000001C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0.19</w:t>
            </w:r>
          </w:p>
        </w:tc>
        <w:tc>
          <w:tcPr/>
          <w:p w:rsidR="00000000" w:rsidDel="00000000" w:rsidP="00000000" w:rsidRDefault="00000000" w:rsidRPr="00000000" w14:paraId="000001C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77.7</w:t>
            </w:r>
          </w:p>
        </w:tc>
      </w:tr>
      <w:tr>
        <w:trPr>
          <w:cantSplit w:val="0"/>
          <w:trHeight w:val="69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C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Change </w:t>
            </w:r>
          </w:p>
          <w:p w:rsidR="00000000" w:rsidDel="00000000" w:rsidP="00000000" w:rsidRDefault="00000000" w:rsidRPr="00000000" w14:paraId="000001C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 </w:t>
            </w:r>
          </w:p>
          <w:p w:rsidR="00000000" w:rsidDel="00000000" w:rsidP="00000000" w:rsidRDefault="00000000" w:rsidRPr="00000000" w14:paraId="000001C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NIHSS score</w:t>
            </w:r>
          </w:p>
        </w:tc>
        <w:tc>
          <w:tcPr/>
          <w:p w:rsidR="00000000" w:rsidDel="00000000" w:rsidP="00000000" w:rsidRDefault="00000000" w:rsidRPr="00000000" w14:paraId="000001C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Low risk</w:t>
            </w:r>
          </w:p>
        </w:tc>
        <w:tc>
          <w:tcPr/>
          <w:p w:rsidR="00000000" w:rsidDel="00000000" w:rsidP="00000000" w:rsidRDefault="00000000" w:rsidRPr="00000000" w14:paraId="000001C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C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MD: 0.30 (-1.30 – 1.90)</w:t>
            </w:r>
          </w:p>
        </w:tc>
        <w:tc>
          <w:tcPr/>
          <w:p w:rsidR="00000000" w:rsidDel="00000000" w:rsidP="00000000" w:rsidRDefault="00000000" w:rsidRPr="00000000" w14:paraId="000001C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0.71</w:t>
            </w:r>
          </w:p>
        </w:tc>
        <w:tc>
          <w:tcPr/>
          <w:p w:rsidR="00000000" w:rsidDel="00000000" w:rsidP="00000000" w:rsidRDefault="00000000" w:rsidRPr="00000000" w14:paraId="000001C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92.1</w:t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C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Moderate risk</w:t>
            </w:r>
          </w:p>
        </w:tc>
        <w:tc>
          <w:tcPr/>
          <w:p w:rsidR="00000000" w:rsidDel="00000000" w:rsidP="00000000" w:rsidRDefault="00000000" w:rsidRPr="00000000" w14:paraId="000001D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D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MD: 0.46 (0.05 - 0.86)</w:t>
            </w:r>
          </w:p>
        </w:tc>
        <w:tc>
          <w:tcPr/>
          <w:p w:rsidR="00000000" w:rsidDel="00000000" w:rsidP="00000000" w:rsidRDefault="00000000" w:rsidRPr="00000000" w14:paraId="000001D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</w:t>
            </w:r>
          </w:p>
        </w:tc>
        <w:tc>
          <w:tcPr/>
          <w:p w:rsidR="00000000" w:rsidDel="00000000" w:rsidP="00000000" w:rsidRDefault="00000000" w:rsidRPr="00000000" w14:paraId="000001D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53.1</w:t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D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High risk</w:t>
            </w:r>
          </w:p>
        </w:tc>
        <w:tc>
          <w:tcPr/>
          <w:p w:rsidR="00000000" w:rsidDel="00000000" w:rsidP="00000000" w:rsidRDefault="00000000" w:rsidRPr="00000000" w14:paraId="000001D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D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MD: 0.79 (-0.22 – 1.79)</w:t>
            </w:r>
          </w:p>
        </w:tc>
        <w:tc>
          <w:tcPr/>
          <w:p w:rsidR="00000000" w:rsidDel="00000000" w:rsidP="00000000" w:rsidRDefault="00000000" w:rsidRPr="00000000" w14:paraId="000001D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0.12</w:t>
            </w:r>
          </w:p>
        </w:tc>
        <w:tc>
          <w:tcPr/>
          <w:p w:rsidR="00000000" w:rsidDel="00000000" w:rsidP="00000000" w:rsidRDefault="00000000" w:rsidRPr="00000000" w14:paraId="000001D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95.9</w:t>
            </w:r>
          </w:p>
        </w:tc>
      </w:tr>
      <w:tr>
        <w:trPr>
          <w:cantSplit w:val="0"/>
          <w:trHeight w:val="69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D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Intracranial hemorrhage</w:t>
            </w:r>
          </w:p>
        </w:tc>
        <w:tc>
          <w:tcPr/>
          <w:p w:rsidR="00000000" w:rsidDel="00000000" w:rsidP="00000000" w:rsidRDefault="00000000" w:rsidRPr="00000000" w14:paraId="000001D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Low risk</w:t>
            </w:r>
          </w:p>
        </w:tc>
        <w:tc>
          <w:tcPr/>
          <w:p w:rsidR="00000000" w:rsidDel="00000000" w:rsidP="00000000" w:rsidRDefault="00000000" w:rsidRPr="00000000" w14:paraId="000001D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D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1.57 (1.06 – 2.35)</w:t>
            </w:r>
          </w:p>
        </w:tc>
        <w:tc>
          <w:tcPr/>
          <w:p w:rsidR="00000000" w:rsidDel="00000000" w:rsidP="00000000" w:rsidRDefault="00000000" w:rsidRPr="00000000" w14:paraId="000001D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</w:t>
            </w:r>
          </w:p>
        </w:tc>
        <w:tc>
          <w:tcPr/>
          <w:p w:rsidR="00000000" w:rsidDel="00000000" w:rsidP="00000000" w:rsidRDefault="00000000" w:rsidRPr="00000000" w14:paraId="000001E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E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Moderate risk</w:t>
            </w:r>
          </w:p>
        </w:tc>
        <w:tc>
          <w:tcPr/>
          <w:p w:rsidR="00000000" w:rsidDel="00000000" w:rsidP="00000000" w:rsidRDefault="00000000" w:rsidRPr="00000000" w14:paraId="000001E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0.88 (0.32 – 2.41)</w:t>
            </w:r>
          </w:p>
        </w:tc>
        <w:tc>
          <w:tcPr/>
          <w:p w:rsidR="00000000" w:rsidDel="00000000" w:rsidP="00000000" w:rsidRDefault="00000000" w:rsidRPr="00000000" w14:paraId="000001E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E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E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High risk</w:t>
            </w:r>
          </w:p>
        </w:tc>
        <w:tc>
          <w:tcPr/>
          <w:p w:rsidR="00000000" w:rsidDel="00000000" w:rsidP="00000000" w:rsidRDefault="00000000" w:rsidRPr="00000000" w14:paraId="000001E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E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0.88 (0.44 – 1.73)</w:t>
            </w:r>
          </w:p>
        </w:tc>
        <w:tc>
          <w:tcPr/>
          <w:p w:rsidR="00000000" w:rsidDel="00000000" w:rsidP="00000000" w:rsidRDefault="00000000" w:rsidRPr="00000000" w14:paraId="000001E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0.70</w:t>
            </w:r>
          </w:p>
        </w:tc>
        <w:tc>
          <w:tcPr/>
          <w:p w:rsidR="00000000" w:rsidDel="00000000" w:rsidP="00000000" w:rsidRDefault="00000000" w:rsidRPr="00000000" w14:paraId="000001E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69" w:hRule="atLeast"/>
          <w:tblHeader w:val="0"/>
        </w:trPr>
        <w:tc>
          <w:tcPr>
            <w:vMerge w:val="restart"/>
            <w:shd w:fill="d0cece" w:val="clear"/>
          </w:tcPr>
          <w:p w:rsidR="00000000" w:rsidDel="00000000" w:rsidP="00000000" w:rsidRDefault="00000000" w:rsidRPr="00000000" w14:paraId="000001E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Stroke recurrence</w:t>
            </w:r>
          </w:p>
        </w:tc>
        <w:tc>
          <w:tcPr/>
          <w:p w:rsidR="00000000" w:rsidDel="00000000" w:rsidP="00000000" w:rsidRDefault="00000000" w:rsidRPr="00000000" w14:paraId="000001E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Low risk</w:t>
            </w:r>
          </w:p>
        </w:tc>
        <w:tc>
          <w:tcPr/>
          <w:p w:rsidR="00000000" w:rsidDel="00000000" w:rsidP="00000000" w:rsidRDefault="00000000" w:rsidRPr="00000000" w14:paraId="000001E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F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0.80 (0.43 – 1.46)</w:t>
            </w:r>
          </w:p>
        </w:tc>
        <w:tc>
          <w:tcPr/>
          <w:p w:rsidR="00000000" w:rsidDel="00000000" w:rsidP="00000000" w:rsidRDefault="00000000" w:rsidRPr="00000000" w14:paraId="000001F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</w:t>
            </w:r>
          </w:p>
        </w:tc>
        <w:tc>
          <w:tcPr/>
          <w:p w:rsidR="00000000" w:rsidDel="00000000" w:rsidP="00000000" w:rsidRDefault="00000000" w:rsidRPr="00000000" w14:paraId="000001F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F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Moderate risk</w:t>
            </w:r>
          </w:p>
        </w:tc>
        <w:tc>
          <w:tcPr/>
          <w:p w:rsidR="00000000" w:rsidDel="00000000" w:rsidP="00000000" w:rsidRDefault="00000000" w:rsidRPr="00000000" w14:paraId="000001F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0.89 (0.61 – 1.30)</w:t>
            </w:r>
          </w:p>
        </w:tc>
        <w:tc>
          <w:tcPr/>
          <w:p w:rsidR="00000000" w:rsidDel="00000000" w:rsidP="00000000" w:rsidRDefault="00000000" w:rsidRPr="00000000" w14:paraId="000001F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F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vMerge w:val="continue"/>
            <w:shd w:fill="d0cece" w:val="clear"/>
          </w:tcPr>
          <w:p w:rsidR="00000000" w:rsidDel="00000000" w:rsidP="00000000" w:rsidRDefault="00000000" w:rsidRPr="00000000" w14:paraId="000001F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High risk</w:t>
            </w:r>
          </w:p>
        </w:tc>
        <w:tc>
          <w:tcPr/>
          <w:p w:rsidR="00000000" w:rsidDel="00000000" w:rsidP="00000000" w:rsidRDefault="00000000" w:rsidRPr="00000000" w14:paraId="000001F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F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0.98 (0.83 – 1.16)</w:t>
            </w:r>
          </w:p>
        </w:tc>
        <w:tc>
          <w:tcPr/>
          <w:p w:rsidR="00000000" w:rsidDel="00000000" w:rsidP="00000000" w:rsidRDefault="00000000" w:rsidRPr="00000000" w14:paraId="000001F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0.81</w:t>
            </w:r>
          </w:p>
        </w:tc>
        <w:tc>
          <w:tcPr/>
          <w:p w:rsidR="00000000" w:rsidDel="00000000" w:rsidP="00000000" w:rsidRDefault="00000000" w:rsidRPr="00000000" w14:paraId="000001F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FF">
      <w:pPr>
        <w:spacing w:after="160" w:line="259" w:lineRule="auto"/>
        <w:jc w:val="both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spacing w:after="160" w:line="259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CI: Confidence Interval; RR: Risk Ratio; MD: Mean Difference; mRS: Modified Rankin Scale; END: Early Neurological Deterioration; NIHSS: National Institutes of Health Stroke Scale</w:t>
      </w:r>
    </w:p>
    <w:p w:rsidR="00000000" w:rsidDel="00000000" w:rsidP="00000000" w:rsidRDefault="00000000" w:rsidRPr="00000000" w14:paraId="00000201">
      <w:pPr>
        <w:widowControl w:val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 5: Results of Subgroup Analysis Based on Stroke Phenotype</w:t>
      </w:r>
    </w:p>
    <w:p w:rsidR="00000000" w:rsidDel="00000000" w:rsidP="00000000" w:rsidRDefault="00000000" w:rsidRPr="00000000" w14:paraId="00000202">
      <w:pPr>
        <w:widowControl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850.0" w:type="dxa"/>
        <w:jc w:val="left"/>
        <w:tblInd w:w="-3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95"/>
        <w:gridCol w:w="3780"/>
        <w:gridCol w:w="1245"/>
        <w:gridCol w:w="2820"/>
        <w:gridCol w:w="1170"/>
        <w:gridCol w:w="1140"/>
        <w:tblGridChange w:id="0">
          <w:tblGrid>
            <w:gridCol w:w="1695"/>
            <w:gridCol w:w="3780"/>
            <w:gridCol w:w="1245"/>
            <w:gridCol w:w="2820"/>
            <w:gridCol w:w="1170"/>
            <w:gridCol w:w="1140"/>
          </w:tblGrid>
        </w:tblGridChange>
      </w:tblGrid>
      <w:tr>
        <w:trPr>
          <w:cantSplit w:val="0"/>
          <w:trHeight w:val="310.9570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Outcome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Subgroup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Studies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 Pooled Estimate (95% CI)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P value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superscript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(%)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mRS (0-2)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Small vessel/ BAD spectrum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1.08 (1.00 – 1.17)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Large artery atherosclerosis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1.07 (0.97 – 1.18)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84.6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Unselected 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0.96 (0.84 – 1.10)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61.1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Posterior circulation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1.04 (0.82 – 1.82)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Composite</w:t>
            </w:r>
          </w:p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hemorrhage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Small vessel/ BAD spectrum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1.93 (0.50 – 7.42)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Large artery atherosclerosis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1.02 (0.92 – 1.21)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Unselected 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1.68 (0.94 – 2.99)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Posterior circulation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1.10 (0.98 – 1.23)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 mRS (0-1)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Small vessel/ BAD spectrum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1.43 (1.26 – 1.63)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&lt;0.0001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Large artery atherosclerosis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1.08 (0.90 – 1.29)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Unselected 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0.66 (0.40 – 1.07)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Small vessel/ BAD spectrum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0.36 (0.23 – 0.56)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&lt;0.0001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Large artery atherosclerosis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0.72 (0.31 – 1.69)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70.6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Unselected 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0.47 (0.25 – 0.85)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Posterior circulation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0.22 (0.01 – 3.98)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Change in </w:t>
            </w:r>
          </w:p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NIHSS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Small vessel/ BAD spectrum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MD: 1.06 (0.25 – 1.88)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58.2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Large artery atherosclerosis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MD: -0.11 (-1.11 – 0.89)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Unselected 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MD: 0.91 (-0.21 – 2.02)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Posterior circulation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MD: 0.04 (-0.45 – 0.53)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 Intracranial </w:t>
            </w:r>
          </w:p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 hemorrhage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Large artery atherosclerosis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0.78 (0.42 – 1.46)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widowControl w:val="0"/>
              <w:ind w:left="-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widowControl w:val="0"/>
              <w:spacing w:line="240" w:lineRule="auto"/>
              <w:ind w:left="-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Unselected 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RR: 1.57 (1.07 – 2.29)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28A">
      <w:pPr>
        <w:spacing w:after="160" w:line="259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RCT: Randomized Controlled Trial; CI: Confidence Interval; RR: Risk Ratio; MD: Mean Difference; mRS: Modified Rankin Scale; END: Early Neurological Deterioration; NIHSS: National Institutes of Health Stroke Scale</w:t>
      </w:r>
    </w:p>
    <w:p w:rsidR="00000000" w:rsidDel="00000000" w:rsidP="00000000" w:rsidRDefault="00000000" w:rsidRPr="00000000" w14:paraId="0000028B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widowControl w:val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 6: Certainty Assessment of RCT-only Subgroup for All Outcomes</w:t>
      </w:r>
    </w:p>
    <w:tbl>
      <w:tblPr>
        <w:tblStyle w:val="Table6"/>
        <w:tblW w:w="14580.0" w:type="dxa"/>
        <w:jc w:val="left"/>
        <w:tblInd w:w="-825.0" w:type="dxa"/>
        <w:tblLayout w:type="fixed"/>
        <w:tblLook w:val="0400"/>
      </w:tblPr>
      <w:tblGrid>
        <w:gridCol w:w="1140"/>
        <w:gridCol w:w="795"/>
        <w:gridCol w:w="1290"/>
        <w:gridCol w:w="1035"/>
        <w:gridCol w:w="1140"/>
        <w:gridCol w:w="1050"/>
        <w:gridCol w:w="1185"/>
        <w:gridCol w:w="1020"/>
        <w:gridCol w:w="1035"/>
        <w:gridCol w:w="1035"/>
        <w:gridCol w:w="1950"/>
        <w:gridCol w:w="1905"/>
        <w:tblGridChange w:id="0">
          <w:tblGrid>
            <w:gridCol w:w="1140"/>
            <w:gridCol w:w="795"/>
            <w:gridCol w:w="1290"/>
            <w:gridCol w:w="1035"/>
            <w:gridCol w:w="1140"/>
            <w:gridCol w:w="1050"/>
            <w:gridCol w:w="1185"/>
            <w:gridCol w:w="1020"/>
            <w:gridCol w:w="1035"/>
            <w:gridCol w:w="1035"/>
            <w:gridCol w:w="1950"/>
            <w:gridCol w:w="1905"/>
          </w:tblGrid>
        </w:tblGridChange>
      </w:tblGrid>
      <w:tr>
        <w:trPr>
          <w:cantSplit w:val="1"/>
          <w:tblHeader w:val="1"/>
        </w:trPr>
        <w:tc>
          <w:tcPr>
            <w:gridSpan w:val="12"/>
          </w:tcPr>
          <w:p w:rsidR="00000000" w:rsidDel="00000000" w:rsidP="00000000" w:rsidRDefault="00000000" w:rsidRPr="00000000" w14:paraId="0000028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spacing w:after="160" w:line="259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gridSpan w:val="7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Certainty assessment</w:t>
            </w:r>
          </w:p>
        </w:tc>
        <w:tc>
          <w:tcPr>
            <w:gridSpan w:val="5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A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Summary of findings</w:t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Participants</w:t>
              <w:br w:type="textWrapping"/>
              <w:t xml:space="preserve">(studies)</w:t>
              <w:br w:type="textWrapping"/>
              <w:t xml:space="preserve">Follow-up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Risk of bias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Inconsistency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Indirectness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Imprecision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Publication bias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Overall certainty of evidence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Study event rates (%)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Relative effect</w:t>
              <w:br w:type="textWrapping"/>
              <w:t xml:space="preserve">(95% CI)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Anticipated absolute effects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3">
            <w:pPr>
              <w:widowControl w:val="0"/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4">
            <w:pPr>
              <w:widowControl w:val="0"/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5">
            <w:pPr>
              <w:widowControl w:val="0"/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6">
            <w:pPr>
              <w:widowControl w:val="0"/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7">
            <w:pPr>
              <w:widowControl w:val="0"/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8">
            <w:pPr>
              <w:widowControl w:val="0"/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9">
            <w:pPr>
              <w:widowControl w:val="0"/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With Antiplatelet therapy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With Argatroban + Antiplatelet therapy</w:t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C">
            <w:pPr>
              <w:widowControl w:val="0"/>
              <w:rPr>
                <w:rFonts w:ascii="Verdana" w:cs="Verdana" w:eastAsia="Verdana" w:hAnsi="Verdana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Risk with Antiplatelet therapy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vAlign w:val="center"/>
          </w:tcPr>
          <w:p w:rsidR="00000000" w:rsidDel="00000000" w:rsidP="00000000" w:rsidRDefault="00000000" w:rsidRPr="00000000" w14:paraId="000002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Risk difference with Argatroban + Antiplatelet therapy</w:t>
            </w:r>
          </w:p>
        </w:tc>
      </w:tr>
      <w:tr>
        <w:trPr>
          <w:cantSplit w:val="1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F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mRS (0-2) (assessed with: RR)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CB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1730</w:t>
              <w:br w:type="textWrapping"/>
              <w:t xml:space="preserve">(5 RCTs)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C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serious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CD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CE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CF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D0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D1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Cardo" w:cs="Cardo" w:eastAsia="Cardo" w:hAnsi="Cardo"/>
                <w:sz w:val="18"/>
                <w:szCs w:val="18"/>
                <w:rtl w:val="0"/>
              </w:rPr>
              <w:t xml:space="preserve">⨁⨁⨁◯</w:t>
              <w:br w:type="textWrapping"/>
              <w:t xml:space="preserve">Moderate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D2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765/1157 (66.1%)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D3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365/573 (63.7%)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D4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RR 1.08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(1.02 to 1.15)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D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765/1157 (66.1%)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D6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53 more per 1,000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(from 13 more to 99 more)</w:t>
            </w:r>
          </w:p>
        </w:tc>
      </w:tr>
      <w:tr>
        <w:trPr>
          <w:cantSplit w:val="1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D7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Composite hemorrhage (assessed with: RR)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3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213</w:t>
              <w:br w:type="textWrapping"/>
              <w:t xml:space="preserve">(2 RCTs)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4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6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serious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7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serious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8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9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Cardo" w:cs="Cardo" w:eastAsia="Cardo" w:hAnsi="Cardo"/>
                <w:sz w:val="18"/>
                <w:szCs w:val="18"/>
                <w:rtl w:val="0"/>
              </w:rPr>
              <w:t xml:space="preserve">⨁⨁◯◯</w:t>
              <w:br w:type="textWrapping"/>
              <w:t xml:space="preserve">Low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b,c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A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9/105 (8.6%)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B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21/108 (19.4%)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RR 2.17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(1.07 to 4.41)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D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9/105 (8.6%)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EE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100 more per 1,000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(from 6 more to 292 more)</w:t>
            </w:r>
          </w:p>
        </w:tc>
      </w:tr>
      <w:tr>
        <w:trPr>
          <w:cantSplit w:val="1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F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mRS (0-1) (assessed with: RR)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FB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1095</w:t>
              <w:br w:type="textWrapping"/>
              <w:t xml:space="preserve">(4 RCTs)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F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serious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FD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very serious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FE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serious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FF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0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1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Cardo" w:cs="Cardo" w:eastAsia="Cardo" w:hAnsi="Cardo"/>
                <w:sz w:val="18"/>
                <w:szCs w:val="18"/>
                <w:rtl w:val="0"/>
              </w:rPr>
              <w:t xml:space="preserve">⨁◯◯◯</w:t>
              <w:br w:type="textWrapping"/>
              <w:t xml:space="preserve">Very low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d,e,f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2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473/837 (56.5%)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3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157/258 (60.9%)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4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RR 1.08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(0.86 to 1.35)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473/837 (56.5%)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06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45 more per 1,000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(from 79 fewer to 198 more)</w:t>
            </w:r>
          </w:p>
        </w:tc>
      </w:tr>
      <w:tr>
        <w:trPr>
          <w:cantSplit w:val="1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07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END (assessed with: RR)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3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749</w:t>
              <w:br w:type="textWrapping"/>
              <w:t xml:space="preserve">(2 RCTs)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4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serious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6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7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8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9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Cardo" w:cs="Cardo" w:eastAsia="Cardo" w:hAnsi="Cardo"/>
                <w:sz w:val="18"/>
                <w:szCs w:val="18"/>
                <w:rtl w:val="0"/>
              </w:rPr>
              <w:t xml:space="preserve">⨁⨁⨁◯</w:t>
              <w:br w:type="textWrapping"/>
              <w:t xml:space="preserve">Moderate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 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A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77/580 (13.3%)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B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15/169 (8.9%)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RR 0.43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(0.26 to 0.71)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D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77/580 (13.3%)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1E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76 fewer per 1,000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(from 98 fewer to 39 fewer)</w:t>
            </w:r>
          </w:p>
        </w:tc>
      </w:tr>
      <w:tr>
        <w:trPr>
          <w:cantSplit w:val="1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1F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NIHSS score (assessed with: MD)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2B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1437</w:t>
              <w:br w:type="textWrapping"/>
              <w:t xml:space="preserve">(4 RCTs)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2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serious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2D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2E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2F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serious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30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31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Cardo" w:cs="Cardo" w:eastAsia="Cardo" w:hAnsi="Cardo"/>
                <w:sz w:val="18"/>
                <w:szCs w:val="18"/>
                <w:rtl w:val="0"/>
              </w:rPr>
              <w:t xml:space="preserve">⨁⨁◯◯</w:t>
              <w:br w:type="textWrapping"/>
              <w:t xml:space="preserve">Low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h, 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32">
            <w:pPr>
              <w:spacing w:after="160" w:line="259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924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33">
            <w:pPr>
              <w:spacing w:after="160" w:line="259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513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34">
            <w:pPr>
              <w:spacing w:after="160" w:line="259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924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3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36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MD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0.40 lower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br w:type="textWrapping"/>
              <w:t xml:space="preserve">(-0.72 lower to 1.51 higher)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37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Intracranial hemorrhage (assessed with: RR)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3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883</w:t>
              <w:br w:type="textWrapping"/>
              <w:t xml:space="preserve">(3 RCTs)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4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6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7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8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9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Cardo" w:cs="Cardo" w:eastAsia="Cardo" w:hAnsi="Cardo"/>
                <w:sz w:val="18"/>
                <w:szCs w:val="18"/>
                <w:rtl w:val="0"/>
              </w:rPr>
              <w:t xml:space="preserve">⨁⨁⨁⨁</w:t>
              <w:br w:type="textWrapping"/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A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55/453 (12.1%)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B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27/430 (6.3%)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RR 1.57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(1.06 to 2.35)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D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55/453 (12.1%)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E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69 more per 1,000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(from 7 more to 164 more)</w:t>
            </w:r>
          </w:p>
        </w:tc>
      </w:tr>
      <w:tr>
        <w:trPr>
          <w:cantSplit w:val="1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4F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Stroke recurrence (assessed with: RR)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B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661</w:t>
              <w:br w:type="textWrapping"/>
              <w:t xml:space="preserve">(2 RCTs)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D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E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F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serious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0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1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Cardo" w:cs="Cardo" w:eastAsia="Cardo" w:hAnsi="Cardo"/>
                <w:sz w:val="18"/>
                <w:szCs w:val="18"/>
                <w:rtl w:val="0"/>
              </w:rPr>
              <w:t xml:space="preserve">⨁⨁⨁◯</w:t>
              <w:br w:type="textWrapping"/>
              <w:t xml:space="preserve">Moderate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2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22/333 (6.6%)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3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17/328 (5.2%)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4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RR 0.80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(0.43 to 1.46)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22/333 (6.6%)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6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13 fewer per 1,000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br w:type="textWrapping"/>
              <w:t xml:space="preserve">(from 38 fewer to 30 more)</w:t>
            </w:r>
          </w:p>
        </w:tc>
      </w:tr>
    </w:tbl>
    <w:p w:rsidR="00000000" w:rsidDel="00000000" w:rsidP="00000000" w:rsidRDefault="00000000" w:rsidRPr="00000000" w14:paraId="00000367">
      <w:pPr>
        <w:spacing w:line="24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CI: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confidence interval;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MD: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mean difference;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RR: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risk ratio</w:t>
      </w:r>
    </w:p>
    <w:p w:rsidR="00000000" w:rsidDel="00000000" w:rsidP="00000000" w:rsidRDefault="00000000" w:rsidRPr="00000000" w14:paraId="00000368">
      <w:pPr>
        <w:spacing w:after="160" w:line="240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Explanations</w:t>
      </w:r>
    </w:p>
    <w:p w:rsidR="00000000" w:rsidDel="00000000" w:rsidP="00000000" w:rsidRDefault="00000000" w:rsidRPr="00000000" w14:paraId="00000369">
      <w:pPr>
        <w:spacing w:after="160" w:line="259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a. One study (Li 2022) was rated high risk of bias primarily due to concerns in randomization process and outcome measurement; one additional study (LaMonte 2004) had some concerns. So was downgraded one level for serious risk of bias. </w:t>
      </w:r>
    </w:p>
    <w:p w:rsidR="00000000" w:rsidDel="00000000" w:rsidP="00000000" w:rsidRDefault="00000000" w:rsidRPr="00000000" w14:paraId="0000036A">
      <w:pPr>
        <w:spacing w:after="160" w:line="259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b. Included studies differed in comparator (placebo vs DAPT), population, treatment window, and hemorrhage classification systems. These differences introduce meaningful indirectness. Downgraded one level for serious indirectness. </w:t>
      </w:r>
    </w:p>
    <w:p w:rsidR="00000000" w:rsidDel="00000000" w:rsidP="00000000" w:rsidRDefault="00000000" w:rsidRPr="00000000" w14:paraId="0000036B">
      <w:pPr>
        <w:spacing w:after="160" w:line="259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c. The pooled estimate did not reach statistical significance, and the confidence interval includes both no effect and a potentially clinically significant increase in hemorrhagic risk. Downgraded one level for serious imprecision.</w:t>
      </w:r>
    </w:p>
    <w:p w:rsidR="00000000" w:rsidDel="00000000" w:rsidP="00000000" w:rsidRDefault="00000000" w:rsidRPr="00000000" w14:paraId="0000036C">
      <w:pPr>
        <w:spacing w:after="160" w:line="259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d. Li 2022 used a prospective single-arm design with a retrospective historical control without true randomization, constituting high risk of selection bias. Liu 2020 was open-label with a small sample size. Downgraded one level for serious risk of bias.</w:t>
      </w:r>
    </w:p>
    <w:p w:rsidR="00000000" w:rsidDel="00000000" w:rsidP="00000000" w:rsidRDefault="00000000" w:rsidRPr="00000000" w14:paraId="0000036D">
      <w:pPr>
        <w:spacing w:after="160" w:line="259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e. High statistical heterogeneity was detected (I² = 73.9%), with considerable variation in effect estimates across studies. Clinical heterogeneity was also substantial, with studies enrolling different stroke subtypes, different disease severities, and different follow-up structures. Downgraded two levels for very serious inconsistency.</w:t>
      </w:r>
    </w:p>
    <w:p w:rsidR="00000000" w:rsidDel="00000000" w:rsidP="00000000" w:rsidRDefault="00000000" w:rsidRPr="00000000" w14:paraId="0000036E">
      <w:pPr>
        <w:spacing w:after="160" w:line="259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f. Included studies enrolled substantially different stroke populations, and Liu 2020 used argatroban monotherapy rather than argatroban plus DAPT. These differences introduce meaningful indirectness regarding applicability to a general AIS population. Downgraded one level for serious indirectness.</w:t>
      </w:r>
    </w:p>
    <w:p w:rsidR="00000000" w:rsidDel="00000000" w:rsidP="00000000" w:rsidRDefault="00000000" w:rsidRPr="00000000" w14:paraId="0000036F">
      <w:pPr>
        <w:spacing w:after="160" w:line="259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Arial Unicode MS" w:cs="Arial Unicode MS" w:eastAsia="Arial Unicode MS" w:hAnsi="Arial Unicode MS"/>
          <w:sz w:val="16"/>
          <w:szCs w:val="16"/>
          <w:rtl w:val="0"/>
        </w:rPr>
        <w:t xml:space="preserve">g. Li 2022 used a prospective single-arm design with a retrospective historical control without true randomization, constituting a high risk of selection bias; furthermore, END was defined as ≥1 NIHSS point increase in Li 2022 versus ≥2 points in Xu 2025, introducing measurement inconsistency. Downgraded one level for serious risk of bias.</w:t>
      </w:r>
    </w:p>
    <w:p w:rsidR="00000000" w:rsidDel="00000000" w:rsidP="00000000" w:rsidRDefault="00000000" w:rsidRPr="00000000" w14:paraId="00000370">
      <w:pPr>
        <w:spacing w:after="160" w:line="259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h. Li 2022 was a prospective, single-arm study where 120 patients receiving the intervention were compared entirely against a historical control cohort collected retrospectively, introducing high risks of selection bias and temporal confounding.</w:t>
      </w:r>
    </w:p>
    <w:p w:rsidR="00000000" w:rsidDel="00000000" w:rsidP="00000000" w:rsidRDefault="00000000" w:rsidRPr="00000000" w14:paraId="00000371">
      <w:pPr>
        <w:spacing w:after="160" w:line="259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i. While the pooled estimate is tightly bound and has reached strict statistical significance (P = 0.002), the absolute clinical magnitude of the effect is minimal and sits entirely below established clinical relevance thresholds. Downgraded one level for serious clinical imprecision.</w:t>
      </w:r>
    </w:p>
    <w:p w:rsidR="00000000" w:rsidDel="00000000" w:rsidP="00000000" w:rsidRDefault="00000000" w:rsidRPr="00000000" w14:paraId="00000372">
      <w:pPr>
        <w:spacing w:after="160" w:line="259" w:lineRule="auto"/>
        <w:rPr>
          <w:rFonts w:ascii="Verdana" w:cs="Verdana" w:eastAsia="Verdana" w:hAnsi="Verdana"/>
          <w:sz w:val="16"/>
          <w:szCs w:val="16"/>
        </w:rPr>
      </w:pPr>
      <w:bookmarkStart w:colFirst="0" w:colLast="0" w:name="_fz30qzelnk05" w:id="0"/>
      <w:bookmarkEnd w:id="0"/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j. The pooled estimate demonstrates profound statistical and clinical imprecision. The sample size is heavily underpowered for a rare clinical event like stroke recurrence, and the confidence interval completely fails to exclude either extreme benefit or severe harm. Downgraded one level for serious clinical imprecision. </w:t>
      </w:r>
    </w:p>
    <w:p w:rsidR="00000000" w:rsidDel="00000000" w:rsidP="00000000" w:rsidRDefault="00000000" w:rsidRPr="00000000" w14:paraId="00000373">
      <w:pPr>
        <w:spacing w:after="160" w:line="259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spacing w:after="160" w:line="259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 7: Definitions of END</w:t>
      </w:r>
    </w:p>
    <w:p w:rsidR="00000000" w:rsidDel="00000000" w:rsidP="00000000" w:rsidRDefault="00000000" w:rsidRPr="00000000" w14:paraId="00000382">
      <w:pPr>
        <w:tabs>
          <w:tab w:val="left" w:leader="none" w:pos="1320"/>
        </w:tabs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2100"/>
        <w:gridCol w:w="6225"/>
        <w:tblGridChange w:id="0">
          <w:tblGrid>
            <w:gridCol w:w="1035"/>
            <w:gridCol w:w="2100"/>
            <w:gridCol w:w="6225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Sr no.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Study ID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Definition of END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Nakashima 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defined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Xu 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≥2 points in NIHSS score within 7 days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3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Zhang 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≥2 points in NIHSS score within 7 days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8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9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Yan 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defined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9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3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Jin 2024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defined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3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Adeoye 2024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(1) An increase of ≥2 points in the total NIHSS score</w:t>
            </w:r>
          </w:p>
          <w:p w:rsidR="00000000" w:rsidDel="00000000" w:rsidP="00000000" w:rsidRDefault="00000000" w:rsidRPr="00000000" w14:paraId="0000039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(2) An increase in the motor score (5a–6b) of ≥1 point</w:t>
            </w:r>
          </w:p>
          <w:p w:rsidR="00000000" w:rsidDel="00000000" w:rsidP="00000000" w:rsidRDefault="00000000" w:rsidRPr="00000000" w14:paraId="0000039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 Any new neurological deficit (including deficits that were not measurable by the NIHSS score)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3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Sun 2024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Incremental increase in the NIHSS score of: 1- ≥1 point in motor power or 2 - ≥2 points in the total score within 7 days of admission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9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3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Zhang 2024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defined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A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3A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 2022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points or greater increase in NIHSS score at 7 days after</w:t>
            </w:r>
          </w:p>
          <w:p w:rsidR="00000000" w:rsidDel="00000000" w:rsidP="00000000" w:rsidRDefault="00000000" w:rsidRPr="00000000" w14:paraId="000003A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hospitalization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3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Wang 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≥1 point increase in NIHSS at 7 days compared with baseline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3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Xu 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≥2 point increase in NIHSS within 48 hours after admission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3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Zhou 2020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defined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3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Liu 2020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defined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3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Oguro 2018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≥2 point increase in NIHSS within 48 hours from symptom onset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3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Chen 2018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defined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3B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Wada 2015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≥2 point increase in NIHSS within 7 days compared to best post-stroke score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3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3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LaMonte 2004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defined</w:t>
            </w:r>
          </w:p>
        </w:tc>
      </w:tr>
    </w:tbl>
    <w:p w:rsidR="00000000" w:rsidDel="00000000" w:rsidP="00000000" w:rsidRDefault="00000000" w:rsidRPr="00000000" w14:paraId="000003BC">
      <w:pPr>
        <w:tabs>
          <w:tab w:val="left" w:leader="none" w:pos="1320"/>
        </w:tabs>
        <w:spacing w:after="160" w:line="278.0000000000000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D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  <w:font w:name="Arial Unicode MS"/>
  <w:font w:name="Gungsuh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>
        <w:top w:w="50.0" w:type="dxa"/>
        <w:left w:w="50.0" w:type="dxa"/>
        <w:bottom w:w="50.0" w:type="dxa"/>
        <w:right w:w="50.0" w:type="dxa"/>
      </w:tblCellMar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.png"/><Relationship Id="rId22" Type="http://schemas.openxmlformats.org/officeDocument/2006/relationships/image" Target="media/image3.png"/><Relationship Id="rId21" Type="http://schemas.openxmlformats.org/officeDocument/2006/relationships/image" Target="media/image4.png"/><Relationship Id="rId24" Type="http://schemas.openxmlformats.org/officeDocument/2006/relationships/image" Target="media/image20.png"/><Relationship Id="rId23" Type="http://schemas.openxmlformats.org/officeDocument/2006/relationships/image" Target="media/image1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9.png"/><Relationship Id="rId5" Type="http://schemas.openxmlformats.org/officeDocument/2006/relationships/styles" Target="styles.xml"/><Relationship Id="rId6" Type="http://schemas.openxmlformats.org/officeDocument/2006/relationships/hyperlink" Target="mailto:sdaim@illinois.edu" TargetMode="External"/><Relationship Id="rId7" Type="http://schemas.openxmlformats.org/officeDocument/2006/relationships/image" Target="media/image9.png"/><Relationship Id="rId8" Type="http://schemas.openxmlformats.org/officeDocument/2006/relationships/image" Target="media/image12.png"/><Relationship Id="rId11" Type="http://schemas.openxmlformats.org/officeDocument/2006/relationships/image" Target="media/image10.png"/><Relationship Id="rId10" Type="http://schemas.openxmlformats.org/officeDocument/2006/relationships/image" Target="media/image14.png"/><Relationship Id="rId13" Type="http://schemas.openxmlformats.org/officeDocument/2006/relationships/image" Target="media/image11.png"/><Relationship Id="rId12" Type="http://schemas.openxmlformats.org/officeDocument/2006/relationships/image" Target="media/image2.png"/><Relationship Id="rId15" Type="http://schemas.openxmlformats.org/officeDocument/2006/relationships/image" Target="media/image5.png"/><Relationship Id="rId14" Type="http://schemas.openxmlformats.org/officeDocument/2006/relationships/image" Target="media/image8.png"/><Relationship Id="rId17" Type="http://schemas.openxmlformats.org/officeDocument/2006/relationships/image" Target="media/image6.png"/><Relationship Id="rId16" Type="http://schemas.openxmlformats.org/officeDocument/2006/relationships/image" Target="media/image7.png"/><Relationship Id="rId19" Type="http://schemas.openxmlformats.org/officeDocument/2006/relationships/image" Target="media/image13.png"/><Relationship Id="rId18" Type="http://schemas.openxmlformats.org/officeDocument/2006/relationships/image" Target="media/image1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