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24B05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B7919">
        <w:rPr>
          <w:rFonts w:ascii="Times New Roman" w:hAnsi="Times New Roman" w:cs="Times New Roman"/>
          <w:b/>
          <w:sz w:val="20"/>
          <w:szCs w:val="20"/>
          <w:lang w:val="en-US"/>
        </w:rPr>
        <w:t>Supplementary data</w:t>
      </w:r>
    </w:p>
    <w:p w14:paraId="1714E88B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829DB4A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Table S1: Measurements of cell membrane fluidity (r-anisotropy) in conditions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that can 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significantly affect gene </w:t>
      </w:r>
      <w:proofErr w:type="spellStart"/>
      <w:r w:rsidRPr="00DB7919">
        <w:rPr>
          <w:rFonts w:ascii="Times New Roman" w:hAnsi="Times New Roman" w:cs="Times New Roman"/>
          <w:sz w:val="20"/>
          <w:szCs w:val="20"/>
          <w:lang w:val="en-US"/>
        </w:rPr>
        <w:t>electrotransfer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(GFP)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or cell </w:t>
      </w:r>
      <w:r>
        <w:rPr>
          <w:rFonts w:ascii="Times New Roman" w:hAnsi="Times New Roman" w:cs="Times New Roman"/>
          <w:sz w:val="20"/>
          <w:szCs w:val="20"/>
          <w:lang w:val="en-US"/>
        </w:rPr>
        <w:t>electro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>fusion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(ECF)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>. We used two cell lines characterized in our previous work (B16F1 and  CHO)  that significantly differ in their GFP expression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ZOTERO_ITEM CSL_CITATION {"citationID":"rW6WVPip","properties":{"formattedCitation":"(Marjanovi\\uc0\\u269{} et al., 2010)","plainCitation":"(Marjanovič et al., 2010)","noteIndex":0},"citationItems":[{"id":"CCMg282w/qZaJwes3","uris":["http://zotero.org/users/4548960/items/6IAK8NSM"],"itemData":{"id":"fHIRJohS/RWIW1Vii","type":"article-journal","container-title":"The Journal of Membrane Biology","DOI":"10.1007/s00232-010-9282-1","ISSN":"0022-2631, 1432-1424","issue":"1","page":"97-105","source":"CrossRef","title":"Analysis and Comparison of Electrical Pulse Parameters for Gene Electrotransfer of Two Different Cell Lines","volume":"236","author":[{"family":"Marjanovič","given":"Igor"},{"family":"Haberl","given":"Saša"},{"family":"Miklavčič","given":"Damijan"},{"family":"Kandušer","given":"Maša"},{"family":"Pavlin","given":"Mojca"}],"issued":{"date-parts":[["2010",7,20]]}}}],"schema":"https://github.com/citation-style-language/schema/raw/master/csl-citation.json"} </w:instrTex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CB5322">
        <w:rPr>
          <w:rFonts w:ascii="Times New Roman" w:hAnsi="Times New Roman" w:cs="Times New Roman"/>
          <w:sz w:val="20"/>
          <w:szCs w:val="24"/>
        </w:rPr>
        <w:t xml:space="preserve">(Marjanovič et </w:t>
      </w:r>
      <w:proofErr w:type="spellStart"/>
      <w:r w:rsidRPr="00CB5322">
        <w:rPr>
          <w:rFonts w:ascii="Times New Roman" w:hAnsi="Times New Roman" w:cs="Times New Roman"/>
          <w:sz w:val="20"/>
          <w:szCs w:val="24"/>
        </w:rPr>
        <w:t>al</w:t>
      </w:r>
      <w:proofErr w:type="spellEnd"/>
      <w:r w:rsidRPr="00CB5322">
        <w:rPr>
          <w:rFonts w:ascii="Times New Roman" w:hAnsi="Times New Roman" w:cs="Times New Roman"/>
          <w:sz w:val="20"/>
          <w:szCs w:val="24"/>
        </w:rPr>
        <w:t>., 2010)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and cell fusion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ZOTERO_ITEM CSL_CITATION {"citationID":"jQIvWAl3","properties":{"formattedCitation":"(Usaj and Kanduser, 2012)","plainCitation":"(Usaj and Kanduser, 2012)","noteIndex":0},"citationItems":[{"id":264,"uris":["http://zotero.org/users/4548960/items/HFJG28CP"],"itemData":{"id":264,"type":"article-journal","container-title":"The Journal of Membrane Biology","DOI":"10.1007/s00232-012-9470-2","ISSN":"0022-2631, 1432-1424","issue":"9","language":"en","page":"583-590","source":"CrossRef","title":"The Systematic Study of the Electroporation and Electrofusion of B16-F1 and CHO Cells in Isotonic and Hypotonic Buffer","volume":"245","author":[{"family":"Usaj","given":"Marko"},{"family":"Kanduser","given":"Masa"}],"issued":{"date-parts":[["2012",9]]}}}],"schema":"https://github.com/citation-style-language/schema/raw/master/csl-citation.json"} </w:instrTex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CB5322">
        <w:rPr>
          <w:rFonts w:ascii="Times New Roman" w:hAnsi="Times New Roman" w:cs="Times New Roman"/>
          <w:sz w:val="20"/>
        </w:rPr>
        <w:t>(</w:t>
      </w:r>
      <w:proofErr w:type="spellStart"/>
      <w:r w:rsidRPr="00CB5322">
        <w:rPr>
          <w:rFonts w:ascii="Times New Roman" w:hAnsi="Times New Roman" w:cs="Times New Roman"/>
          <w:sz w:val="20"/>
        </w:rPr>
        <w:t>Usaj</w:t>
      </w:r>
      <w:proofErr w:type="spellEnd"/>
      <w:r w:rsidRPr="00CB5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B5322">
        <w:rPr>
          <w:rFonts w:ascii="Times New Roman" w:hAnsi="Times New Roman" w:cs="Times New Roman"/>
          <w:sz w:val="20"/>
        </w:rPr>
        <w:t>and</w:t>
      </w:r>
      <w:proofErr w:type="spellEnd"/>
      <w:r w:rsidRPr="00CB5322">
        <w:rPr>
          <w:rFonts w:ascii="Times New Roman" w:hAnsi="Times New Roman" w:cs="Times New Roman"/>
          <w:sz w:val="20"/>
        </w:rPr>
        <w:t xml:space="preserve"> Kanduser, 2012)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r>
        <w:rPr>
          <w:rFonts w:ascii="Times New Roman" w:hAnsi="Times New Roman" w:cs="Times New Roman"/>
          <w:sz w:val="20"/>
          <w:szCs w:val="20"/>
          <w:lang w:val="en-US"/>
        </w:rPr>
        <w:t>Electrof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usion yield for B16F1 was determined at </w:t>
      </w:r>
      <w:proofErr w:type="spellStart"/>
      <w:r w:rsidRPr="00DB7919">
        <w:rPr>
          <w:rFonts w:ascii="Times New Roman" w:hAnsi="Times New Roman" w:cs="Times New Roman"/>
          <w:sz w:val="20"/>
          <w:szCs w:val="20"/>
          <w:lang w:val="en-US"/>
        </w:rPr>
        <w:t>ITV</w:t>
      </w:r>
      <w:r w:rsidRPr="00DB79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1.7 V which corresponds to 1.2 kV/cm for hypotonic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buffer (hypo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KPB) 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proofErr w:type="gramEnd"/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1.4 kV/cm for </w:t>
      </w:r>
      <w:proofErr w:type="spellStart"/>
      <w:r w:rsidRPr="00DB7919">
        <w:rPr>
          <w:rFonts w:ascii="Times New Roman" w:hAnsi="Times New Roman" w:cs="Times New Roman"/>
          <w:sz w:val="20"/>
          <w:szCs w:val="20"/>
          <w:lang w:val="en-US"/>
        </w:rPr>
        <w:t>isotonic</w:t>
      </w:r>
      <w:r>
        <w:rPr>
          <w:rFonts w:ascii="Times New Roman" w:hAnsi="Times New Roman" w:cs="Times New Roman"/>
          <w:sz w:val="20"/>
          <w:szCs w:val="20"/>
          <w:lang w:val="en-US"/>
        </w:rPr>
        <w:t>buffer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(iso KPB)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. For CHO the </w:t>
      </w:r>
      <w:proofErr w:type="spellStart"/>
      <w:r w:rsidRPr="00DB7919">
        <w:rPr>
          <w:rFonts w:ascii="Times New Roman" w:hAnsi="Times New Roman" w:cs="Times New Roman"/>
          <w:sz w:val="20"/>
          <w:szCs w:val="20"/>
          <w:lang w:val="en-US"/>
        </w:rPr>
        <w:t>ITV</w:t>
      </w:r>
      <w:r w:rsidRPr="00DB79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was 1.8 V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ZOTERO_ITEM CSL_CITATION {"citationID":"kG0vxjCL","properties":{"formattedCitation":"(Usaj and Kanduser, 2012)","plainCitation":"(Usaj and Kanduser, 2012)","noteIndex":0},"citationItems":[{"id":264,"uris":["http://zotero.org/users/4548960/items/HFJG28CP"],"itemData":{"id":264,"type":"article-journal","container-title":"The Journal of Membrane Biology","DOI":"10.1007/s00232-012-9470-2","ISSN":"0022-2631, 1432-1424","issue":"9","language":"en","page":"583-590","source":"CrossRef","title":"The Systematic Study of the Electroporation and Electrofusion of B16-F1 and CHO Cells in Isotonic and Hypotonic Buffer","volume":"245","author":[{"family":"Usaj","given":"Marko"},{"family":"Kanduser","given":"Masa"}],"issued":{"date-parts":[["2012",9]]}}}],"schema":"https://github.com/citation-style-language/schema/raw/master/csl-citation.json"} </w:instrTex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CB5322">
        <w:rPr>
          <w:rFonts w:ascii="Times New Roman" w:hAnsi="Times New Roman" w:cs="Times New Roman"/>
          <w:sz w:val="20"/>
        </w:rPr>
        <w:t>(</w:t>
      </w:r>
      <w:proofErr w:type="spellStart"/>
      <w:r w:rsidRPr="00CB5322">
        <w:rPr>
          <w:rFonts w:ascii="Times New Roman" w:hAnsi="Times New Roman" w:cs="Times New Roman"/>
          <w:sz w:val="20"/>
        </w:rPr>
        <w:t>Usaj</w:t>
      </w:r>
      <w:proofErr w:type="spellEnd"/>
      <w:r w:rsidRPr="00CB532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B5322">
        <w:rPr>
          <w:rFonts w:ascii="Times New Roman" w:hAnsi="Times New Roman" w:cs="Times New Roman"/>
          <w:sz w:val="20"/>
        </w:rPr>
        <w:t>and</w:t>
      </w:r>
      <w:proofErr w:type="spellEnd"/>
      <w:r w:rsidRPr="00CB5322">
        <w:rPr>
          <w:rFonts w:ascii="Times New Roman" w:hAnsi="Times New Roman" w:cs="Times New Roman"/>
          <w:sz w:val="20"/>
        </w:rPr>
        <w:t xml:space="preserve"> Kanduser, 2012)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pPr w:leftFromText="141" w:rightFromText="141" w:vertAnchor="page" w:horzAnchor="margin" w:tblpY="342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1068"/>
        <w:gridCol w:w="2401"/>
        <w:gridCol w:w="2401"/>
        <w:gridCol w:w="2211"/>
      </w:tblGrid>
      <w:tr w:rsidR="009B3AA8" w:rsidRPr="00DB7919" w14:paraId="395BD166" w14:textId="77777777" w:rsidTr="003B233C">
        <w:trPr>
          <w:cantSplit/>
          <w:trHeight w:val="794"/>
        </w:trPr>
        <w:tc>
          <w:tcPr>
            <w:tcW w:w="1206" w:type="pct"/>
            <w:gridSpan w:val="2"/>
            <w:tcBorders>
              <w:bottom w:val="single" w:sz="4" w:space="0" w:color="auto"/>
            </w:tcBorders>
            <w:vAlign w:val="center"/>
          </w:tcPr>
          <w:p w14:paraId="18CE619A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line / buffer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408321DE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 KPB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01B72216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 KPB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69A350B3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l-SI"/>
              </w:rPr>
              <w:t>T (4°C)</w:t>
            </w:r>
          </w:p>
        </w:tc>
      </w:tr>
      <w:tr w:rsidR="009B3AA8" w:rsidRPr="00DB7919" w14:paraId="656AC086" w14:textId="77777777" w:rsidTr="003B233C">
        <w:trPr>
          <w:cantSplit/>
          <w:trHeight w:val="737"/>
        </w:trPr>
        <w:tc>
          <w:tcPr>
            <w:tcW w:w="628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27D15E4" w14:textId="77777777" w:rsidR="009B3AA8" w:rsidRPr="00DB7919" w:rsidRDefault="009B3AA8" w:rsidP="003B233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l-SI"/>
              </w:rPr>
            </w:pPr>
            <w:r w:rsidRPr="00DB791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l-SI"/>
              </w:rPr>
              <w:t>r-ani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sl-SI"/>
              </w:rPr>
              <w:t>s</w:t>
            </w:r>
            <w:r w:rsidRPr="00DB791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l-SI"/>
              </w:rPr>
              <w:t>otropy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63BD8B84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B16F1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799E2FED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0" w:name="_Hlk158021155"/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0.187 </w:t>
            </w:r>
            <w:bookmarkEnd w:id="0"/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0.020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44A1834B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0.182 ± 0.014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14:paraId="0336B92E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0.228 ± 0.03</w:t>
            </w:r>
          </w:p>
        </w:tc>
      </w:tr>
      <w:tr w:rsidR="009B3AA8" w:rsidRPr="00DB7919" w14:paraId="661A5DFB" w14:textId="77777777" w:rsidTr="003B233C">
        <w:trPr>
          <w:cantSplit/>
          <w:trHeight w:val="737"/>
        </w:trPr>
        <w:tc>
          <w:tcPr>
            <w:tcW w:w="628" w:type="pct"/>
            <w:vMerge/>
            <w:vAlign w:val="center"/>
          </w:tcPr>
          <w:p w14:paraId="4B68B1F8" w14:textId="77777777" w:rsidR="009B3AA8" w:rsidRPr="00DB7919" w:rsidRDefault="009B3AA8" w:rsidP="003B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0A80470C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76324390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0.172 ± 0.016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0156F1F6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0.171 ± 0,007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7F8D2D93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0.223 ± 0.01</w:t>
            </w:r>
          </w:p>
        </w:tc>
      </w:tr>
      <w:tr w:rsidR="009B3AA8" w:rsidRPr="00DB7919" w14:paraId="048BD9DE" w14:textId="77777777" w:rsidTr="003B233C">
        <w:trPr>
          <w:cantSplit/>
          <w:trHeight w:val="737"/>
        </w:trPr>
        <w:tc>
          <w:tcPr>
            <w:tcW w:w="628" w:type="pct"/>
            <w:vMerge w:val="restart"/>
            <w:textDirection w:val="btLr"/>
            <w:vAlign w:val="center"/>
          </w:tcPr>
          <w:p w14:paraId="1C945C0C" w14:textId="77777777" w:rsidR="009B3AA8" w:rsidRPr="00DB7919" w:rsidRDefault="009B3AA8" w:rsidP="003B233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GFP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029C077D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B16F1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36D7F2B2" w14:textId="77777777" w:rsidR="009B3AA8" w:rsidRPr="00DB7919" w:rsidRDefault="009B3AA8" w:rsidP="003B233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22.83 ± 7.05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1586578F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14:paraId="5DD9B89A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B3AA8" w:rsidRPr="00DB7919" w14:paraId="7552D26A" w14:textId="77777777" w:rsidTr="003B233C">
        <w:trPr>
          <w:cantSplit/>
          <w:trHeight w:val="737"/>
        </w:trPr>
        <w:tc>
          <w:tcPr>
            <w:tcW w:w="628" w:type="pct"/>
            <w:vMerge/>
            <w:vAlign w:val="center"/>
          </w:tcPr>
          <w:p w14:paraId="0431DF09" w14:textId="77777777" w:rsidR="009B3AA8" w:rsidRPr="00DB7919" w:rsidRDefault="009B3AA8" w:rsidP="003B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08461764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03FC16DF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57.89 ± 2.00</w:t>
            </w:r>
          </w:p>
        </w:tc>
        <w:tc>
          <w:tcPr>
            <w:tcW w:w="1299" w:type="pct"/>
            <w:tcBorders>
              <w:bottom w:val="single" w:sz="4" w:space="0" w:color="auto"/>
            </w:tcBorders>
            <w:vAlign w:val="center"/>
          </w:tcPr>
          <w:p w14:paraId="79061DAF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6" w:type="pct"/>
            <w:tcBorders>
              <w:bottom w:val="single" w:sz="4" w:space="0" w:color="auto"/>
            </w:tcBorders>
            <w:vAlign w:val="center"/>
          </w:tcPr>
          <w:p w14:paraId="7AADB702" w14:textId="77777777" w:rsidR="009B3AA8" w:rsidRPr="00DB7919" w:rsidRDefault="009B3AA8" w:rsidP="003B233C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B3AA8" w:rsidRPr="00DB7919" w14:paraId="0862FE43" w14:textId="77777777" w:rsidTr="003B233C">
        <w:trPr>
          <w:cantSplit/>
          <w:trHeight w:val="737"/>
        </w:trPr>
        <w:tc>
          <w:tcPr>
            <w:tcW w:w="628" w:type="pct"/>
            <w:vMerge w:val="restart"/>
            <w:textDirection w:val="btLr"/>
            <w:vAlign w:val="center"/>
          </w:tcPr>
          <w:p w14:paraId="055F351B" w14:textId="77777777" w:rsidR="009B3AA8" w:rsidRPr="00DB7919" w:rsidRDefault="009B3AA8" w:rsidP="003B233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ECF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30850561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B16-F1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7A2C3965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16.38 ± 8.56</w:t>
            </w:r>
          </w:p>
        </w:tc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0DA2CBC2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32.01 ± 4.47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vAlign w:val="center"/>
          </w:tcPr>
          <w:p w14:paraId="396F92E4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B3AA8" w:rsidRPr="00DB7919" w14:paraId="7FC76F01" w14:textId="77777777" w:rsidTr="003B233C">
        <w:trPr>
          <w:cantSplit/>
          <w:trHeight w:val="737"/>
        </w:trPr>
        <w:tc>
          <w:tcPr>
            <w:tcW w:w="628" w:type="pct"/>
            <w:vMerge/>
            <w:vAlign w:val="center"/>
          </w:tcPr>
          <w:p w14:paraId="58C1041D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8" w:type="pct"/>
            <w:vAlign w:val="center"/>
          </w:tcPr>
          <w:p w14:paraId="7FC7BA14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</w:t>
            </w:r>
          </w:p>
        </w:tc>
        <w:tc>
          <w:tcPr>
            <w:tcW w:w="1299" w:type="pct"/>
            <w:vAlign w:val="center"/>
          </w:tcPr>
          <w:p w14:paraId="2C3A8089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 ± 0,05</w:t>
            </w:r>
          </w:p>
        </w:tc>
        <w:tc>
          <w:tcPr>
            <w:tcW w:w="1299" w:type="pct"/>
            <w:vAlign w:val="center"/>
          </w:tcPr>
          <w:p w14:paraId="5B61D791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79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10.20 ± 4.39</w:t>
            </w:r>
          </w:p>
        </w:tc>
        <w:tc>
          <w:tcPr>
            <w:tcW w:w="1196" w:type="pct"/>
            <w:vAlign w:val="center"/>
          </w:tcPr>
          <w:p w14:paraId="5397C0AC" w14:textId="77777777" w:rsidR="009B3AA8" w:rsidRPr="00DB7919" w:rsidRDefault="009B3AA8" w:rsidP="003B23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0FA887B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5287C3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72F1CB4" w14:textId="77777777" w:rsidR="009B3AA8" w:rsidRPr="00DB7919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B7919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56D0F91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3FAEFEA" w14:textId="77777777" w:rsidR="009B3AA8" w:rsidRPr="00DB7919" w:rsidRDefault="009B3AA8" w:rsidP="009B3A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7919">
        <w:rPr>
          <w:rFonts w:ascii="Times New Roman" w:hAnsi="Times New Roman" w:cs="Times New Roman"/>
          <w:sz w:val="20"/>
          <w:szCs w:val="20"/>
        </w:rPr>
        <w:object w:dxaOrig="3535" w:dyaOrig="5114" w14:anchorId="61028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pt;height:254.5pt" o:ole="">
            <v:imagedata r:id="rId7" o:title=""/>
          </v:shape>
          <o:OLEObject Type="Embed" ProgID="Prism10.Document" ShapeID="_x0000_i1025" DrawAspect="Content" ObjectID="_1781968647" r:id="rId8"/>
        </w:object>
      </w:r>
    </w:p>
    <w:p w14:paraId="1CD2AD5D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9519BF4" w14:textId="77777777" w:rsidR="009B3AA8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Figure S1: The effect of pulse parameters on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fraction of obtained hybrids that were efficiently transfected with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plasmid encoding GFP in isotonic KPB buffer. </w:t>
      </w:r>
    </w:p>
    <w:p w14:paraId="2AD8D14F" w14:textId="77777777" w:rsidR="009B3AA8" w:rsidRPr="00DB7919" w:rsidRDefault="009B3AA8" w:rsidP="009B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The fraction was calculated as 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 xml:space="preserve">fraction GFP hybrids =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GFP hybrid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hybrid</m:t>
            </m:r>
          </m:den>
        </m:f>
        <m:r>
          <w:rPr>
            <w:rFonts w:ascii="Cambria Math" w:hAnsi="Cambria Math" w:cs="Times New Roman"/>
            <w:sz w:val="20"/>
            <w:szCs w:val="20"/>
            <w:lang w:val="en-US"/>
          </w:rPr>
          <m:t>×100</m:t>
        </m:r>
      </m:oMath>
      <w:r w:rsidRPr="00DB7919">
        <w:rPr>
          <w:rFonts w:ascii="Times New Roman" w:hAnsi="Times New Roman" w:cs="Times New Roman"/>
          <w:sz w:val="20"/>
          <w:szCs w:val="20"/>
          <w:lang w:val="en-US"/>
        </w:rPr>
        <w:t>. Electric pulse parameters were: 4×200 µs (HV), 8×100 µs (HV) pulses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and a combination of HV (4×200 µs) and one LV</w:t>
      </w:r>
      <w:r w:rsidRPr="00DB79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55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pulse (100 </w:t>
      </w:r>
      <w:proofErr w:type="spellStart"/>
      <w:r w:rsidRPr="00DB7919">
        <w:rPr>
          <w:rFonts w:ascii="Times New Roman" w:hAnsi="Times New Roman" w:cs="Times New Roman"/>
          <w:sz w:val="20"/>
          <w:szCs w:val="20"/>
          <w:lang w:val="en-US"/>
        </w:rPr>
        <w:t>ms</w:t>
      </w:r>
      <w:proofErr w:type="spellEnd"/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) (HV+LV). </w:t>
      </w:r>
      <w:r>
        <w:rPr>
          <w:rFonts w:ascii="Times New Roman" w:hAnsi="Times New Roman" w:cs="Times New Roman"/>
          <w:sz w:val="20"/>
          <w:szCs w:val="20"/>
          <w:lang w:val="en-US"/>
        </w:rPr>
        <w:t>The electric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 field amplitude for HV was 1.4 kV/cm and for LV 0.11 kV/cm for LV</w:t>
      </w:r>
      <w:r w:rsidRPr="00DB79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55</w:t>
      </w:r>
      <w:r w:rsidRPr="00DB7919">
        <w:rPr>
          <w:rFonts w:ascii="Times New Roman" w:hAnsi="Times New Roman" w:cs="Times New Roman"/>
          <w:sz w:val="20"/>
          <w:szCs w:val="20"/>
          <w:lang w:val="en-US"/>
        </w:rPr>
        <w:t xml:space="preserve">. Bars are means of 3 independent experiments ± standard deviation. </w:t>
      </w:r>
    </w:p>
    <w:p w14:paraId="5AE28C3A" w14:textId="77777777" w:rsidR="009B3AA8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2A86AE" w14:textId="77777777" w:rsidR="009B3AA8" w:rsidRDefault="009B3AA8" w:rsidP="009B3AA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A7D937C" w14:textId="77777777" w:rsidR="009B3AA8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E8FC074" w14:textId="77777777" w:rsidR="009B3AA8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69752ABE" wp14:editId="4EF59E01">
            <wp:extent cx="4993200" cy="50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00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71C1F" w14:textId="77777777" w:rsidR="009B3AA8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11495">
        <w:rPr>
          <w:rFonts w:ascii="Times New Roman" w:hAnsi="Times New Roman" w:cs="Times New Roman"/>
          <w:sz w:val="20"/>
          <w:szCs w:val="20"/>
          <w:lang w:val="en-US"/>
        </w:rPr>
        <w:t>Figure S2: The effect of temperature on r-</w:t>
      </w:r>
      <w:proofErr w:type="spellStart"/>
      <w:r w:rsidRPr="00C11495">
        <w:rPr>
          <w:rFonts w:ascii="Times New Roman" w:hAnsi="Times New Roman" w:cs="Times New Roman"/>
          <w:sz w:val="20"/>
          <w:szCs w:val="20"/>
          <w:lang w:val="en-US"/>
        </w:rPr>
        <w:t>anysotropy</w:t>
      </w:r>
      <w:proofErr w:type="spellEnd"/>
      <w:r w:rsidRPr="00C11495">
        <w:rPr>
          <w:rFonts w:ascii="Times New Roman" w:hAnsi="Times New Roman" w:cs="Times New Roman"/>
          <w:sz w:val="20"/>
          <w:szCs w:val="20"/>
          <w:lang w:val="en-US"/>
        </w:rPr>
        <w:t xml:space="preserve"> and the percentage of cell electrofusion and gene </w:t>
      </w:r>
      <w:proofErr w:type="spellStart"/>
      <w:r w:rsidRPr="00C11495">
        <w:rPr>
          <w:rFonts w:ascii="Times New Roman" w:hAnsi="Times New Roman" w:cs="Times New Roman"/>
          <w:sz w:val="20"/>
          <w:szCs w:val="20"/>
          <w:lang w:val="en-US"/>
        </w:rPr>
        <w:t>electrotransfer</w:t>
      </w:r>
      <w:proofErr w:type="spellEnd"/>
      <w:r w:rsidRPr="00C11495">
        <w:rPr>
          <w:rFonts w:ascii="Times New Roman" w:hAnsi="Times New Roman" w:cs="Times New Roman"/>
          <w:sz w:val="20"/>
          <w:szCs w:val="20"/>
          <w:lang w:val="en-US"/>
        </w:rPr>
        <w:t xml:space="preserve"> in two cell lines that differ significantly in gene </w:t>
      </w:r>
      <w:proofErr w:type="spellStart"/>
      <w:r w:rsidRPr="00C11495">
        <w:rPr>
          <w:rFonts w:ascii="Times New Roman" w:hAnsi="Times New Roman" w:cs="Times New Roman"/>
          <w:sz w:val="20"/>
          <w:szCs w:val="20"/>
          <w:lang w:val="en-US"/>
        </w:rPr>
        <w:t>electrotransfer</w:t>
      </w:r>
      <w:proofErr w:type="spellEnd"/>
      <w:r w:rsidRPr="00C11495">
        <w:rPr>
          <w:rFonts w:ascii="Times New Roman" w:hAnsi="Times New Roman" w:cs="Times New Roman"/>
          <w:sz w:val="20"/>
          <w:szCs w:val="20"/>
          <w:lang w:val="en-US"/>
        </w:rPr>
        <w:t xml:space="preserve"> and cell electrofusion.</w:t>
      </w:r>
    </w:p>
    <w:p w14:paraId="365EC660" w14:textId="77777777" w:rsidR="009B3AA8" w:rsidRDefault="009B3AA8" w:rsidP="009B3AA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FBB642E" wp14:editId="12FF0E0F">
            <wp:extent cx="5170170" cy="27070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D271D" w14:textId="77777777" w:rsidR="009F681E" w:rsidRDefault="009B3AA8" w:rsidP="009B3AA8">
      <w:r w:rsidRPr="00CE4193">
        <w:rPr>
          <w:rFonts w:ascii="Times New Roman" w:hAnsi="Times New Roman" w:cs="Times New Roman"/>
          <w:sz w:val="20"/>
          <w:szCs w:val="20"/>
          <w:lang w:val="en-US"/>
        </w:rPr>
        <w:t xml:space="preserve">Figure S3. R-anisotropy for two different cell lines and different conditions used for gene </w:t>
      </w:r>
      <w:proofErr w:type="spellStart"/>
      <w:r w:rsidRPr="00CE4193">
        <w:rPr>
          <w:rFonts w:ascii="Times New Roman" w:hAnsi="Times New Roman" w:cs="Times New Roman"/>
          <w:sz w:val="20"/>
          <w:szCs w:val="20"/>
          <w:lang w:val="en-US"/>
        </w:rPr>
        <w:t>electrotransfer</w:t>
      </w:r>
      <w:proofErr w:type="spellEnd"/>
      <w:r w:rsidRPr="00CE4193">
        <w:rPr>
          <w:rFonts w:ascii="Times New Roman" w:hAnsi="Times New Roman" w:cs="Times New Roman"/>
          <w:sz w:val="20"/>
          <w:szCs w:val="20"/>
          <w:lang w:val="en-US"/>
        </w:rPr>
        <w:t xml:space="preserve"> or cell electrofusion protocols.</w:t>
      </w:r>
      <w:bookmarkStart w:id="1" w:name="_GoBack"/>
      <w:bookmarkEnd w:id="1"/>
    </w:p>
    <w:sectPr w:rsidR="009F6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A8"/>
    <w:rsid w:val="003C1272"/>
    <w:rsid w:val="007B2CCC"/>
    <w:rsid w:val="00931B10"/>
    <w:rsid w:val="009B3AA8"/>
    <w:rsid w:val="009F681E"/>
    <w:rsid w:val="00D3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6524"/>
  <w15:chartTrackingRefBased/>
  <w15:docId w15:val="{5AE4D804-B288-4DEF-BF53-D5E631D5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3AA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AA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FA72190DA3E47A98C79953924F41E" ma:contentTypeVersion="18" ma:contentTypeDescription="Create a new document." ma:contentTypeScope="" ma:versionID="f3eee9faa70bf4ebd7f49a60ac877d0d">
  <xsd:schema xmlns:xsd="http://www.w3.org/2001/XMLSchema" xmlns:xs="http://www.w3.org/2001/XMLSchema" xmlns:p="http://schemas.microsoft.com/office/2006/metadata/properties" xmlns:ns3="5e035109-acd6-489a-abec-6ba7f9d6f9f7" xmlns:ns4="d0f62f47-2aa0-44ee-81ad-e0fbfd0370c7" targetNamespace="http://schemas.microsoft.com/office/2006/metadata/properties" ma:root="true" ma:fieldsID="2535da2a9b24fc299ab476159fe02991" ns3:_="" ns4:_="">
    <xsd:import namespace="5e035109-acd6-489a-abec-6ba7f9d6f9f7"/>
    <xsd:import namespace="d0f62f47-2aa0-44ee-81ad-e0fbfd0370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35109-acd6-489a-abec-6ba7f9d6f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62f47-2aa0-44ee-81ad-e0fbfd037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f62f47-2aa0-44ee-81ad-e0fbfd0370c7" xsi:nil="true"/>
  </documentManagement>
</p:properties>
</file>

<file path=customXml/itemProps1.xml><?xml version="1.0" encoding="utf-8"?>
<ds:datastoreItem xmlns:ds="http://schemas.openxmlformats.org/officeDocument/2006/customXml" ds:itemID="{A0455838-F717-4F23-9C4F-398686900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35109-acd6-489a-abec-6ba7f9d6f9f7"/>
    <ds:schemaRef ds:uri="d0f62f47-2aa0-44ee-81ad-e0fbfd037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EF61C-1448-4A91-A1B3-7956CD183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7A5D5-F892-4C64-BA92-A1F75B0ED8CB}">
  <ds:schemaRefs>
    <ds:schemaRef ds:uri="http://purl.org/dc/elements/1.1/"/>
    <ds:schemaRef ds:uri="http://schemas.microsoft.com/office/2006/documentManagement/types"/>
    <ds:schemaRef ds:uri="http://purl.org/dc/dcmitype/"/>
    <ds:schemaRef ds:uri="5e035109-acd6-489a-abec-6ba7f9d6f9f7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0f62f47-2aa0-44ee-81ad-e0fbfd0370c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FFA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Kandušer, Maša</dc:creator>
  <cp:keywords/>
  <dc:description/>
  <cp:lastModifiedBy>Kandušer, Maša</cp:lastModifiedBy>
  <cp:revision>1</cp:revision>
  <dcterms:created xsi:type="dcterms:W3CDTF">2024-07-08T16:30:00Z</dcterms:created>
  <dcterms:modified xsi:type="dcterms:W3CDTF">2024-07-08T16:30:00Z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0x010100898FA72190DA3E47A98C79953924F41E</vt:lpwstr>
  </property>
</Properties>
</file>