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02CA1" w14:textId="77777777" w:rsidR="00181B2E" w:rsidRPr="006759F4" w:rsidRDefault="00181B2E" w:rsidP="00181B2E">
      <w:pPr>
        <w:pStyle w:val="BodyText1"/>
        <w:spacing w:line="360" w:lineRule="auto"/>
        <w:jc w:val="center"/>
        <w:rPr>
          <w:rFonts w:asciiTheme="minorHAnsi" w:hAnsiTheme="minorHAnsi" w:cstheme="minorHAnsi"/>
          <w:b/>
          <w:sz w:val="22"/>
          <w:szCs w:val="22"/>
        </w:rPr>
      </w:pPr>
      <w:r w:rsidRPr="006759F4">
        <w:rPr>
          <w:rFonts w:asciiTheme="minorHAnsi" w:hAnsiTheme="minorHAnsi" w:cstheme="minorHAnsi"/>
          <w:b/>
          <w:sz w:val="22"/>
          <w:szCs w:val="22"/>
        </w:rPr>
        <w:t>Supplementary Appendix</w:t>
      </w:r>
    </w:p>
    <w:p w14:paraId="16CCEEFD" w14:textId="77777777" w:rsidR="00181B2E" w:rsidRPr="006759F4" w:rsidRDefault="00181B2E" w:rsidP="00181B2E">
      <w:pPr>
        <w:spacing w:after="0"/>
        <w:rPr>
          <w:rFonts w:cstheme="minorHAnsi"/>
          <w:color w:val="000000" w:themeColor="text1"/>
        </w:rPr>
      </w:pPr>
    </w:p>
    <w:p w14:paraId="4EF912DC" w14:textId="77777777" w:rsidR="00181B2E" w:rsidRPr="006759F4" w:rsidRDefault="00181B2E" w:rsidP="00181B2E">
      <w:pPr>
        <w:spacing w:after="0"/>
        <w:rPr>
          <w:rFonts w:cstheme="minorHAnsi"/>
          <w:color w:val="000000" w:themeColor="text1"/>
        </w:rPr>
      </w:pPr>
      <w:r w:rsidRPr="006759F4">
        <w:rPr>
          <w:rFonts w:cstheme="minorHAnsi"/>
          <w:color w:val="000000" w:themeColor="text1"/>
        </w:rPr>
        <w:t>This appendix has been provided by the authors to give readers additional information about their work.</w:t>
      </w:r>
    </w:p>
    <w:p w14:paraId="44556F8B" w14:textId="77777777" w:rsidR="00181B2E" w:rsidRPr="006759F4" w:rsidRDefault="00181B2E" w:rsidP="00181B2E">
      <w:pPr>
        <w:spacing w:line="360" w:lineRule="auto"/>
        <w:rPr>
          <w:rFonts w:cstheme="minorHAnsi"/>
          <w:color w:val="000000" w:themeColor="text1"/>
        </w:rPr>
      </w:pPr>
    </w:p>
    <w:p w14:paraId="1CA4F75F" w14:textId="1881FF0B" w:rsidR="00181B2E" w:rsidRPr="006759F4" w:rsidRDefault="00181B2E" w:rsidP="00181B2E">
      <w:pPr>
        <w:spacing w:line="360" w:lineRule="auto"/>
        <w:rPr>
          <w:rFonts w:cstheme="minorHAnsi"/>
          <w:color w:val="000000" w:themeColor="text1"/>
        </w:rPr>
      </w:pPr>
      <w:r w:rsidRPr="006759F4">
        <w:rPr>
          <w:rFonts w:cstheme="minorHAnsi"/>
          <w:color w:val="000000" w:themeColor="text1"/>
        </w:rPr>
        <w:t xml:space="preserve">Supplement to: </w:t>
      </w:r>
      <w:r w:rsidRPr="00181B2E">
        <w:rPr>
          <w:rFonts w:cstheme="minorHAnsi"/>
          <w:color w:val="000000" w:themeColor="text1"/>
        </w:rPr>
        <w:t xml:space="preserve">David S. Goldfarb, John Lieske, Jaap </w:t>
      </w:r>
      <w:proofErr w:type="spellStart"/>
      <w:r w:rsidRPr="00181B2E">
        <w:rPr>
          <w:rFonts w:cstheme="minorHAnsi"/>
          <w:color w:val="000000" w:themeColor="text1"/>
        </w:rPr>
        <w:t>Groothoff</w:t>
      </w:r>
      <w:proofErr w:type="spellEnd"/>
      <w:r>
        <w:rPr>
          <w:rFonts w:cstheme="minorHAnsi"/>
          <w:color w:val="000000" w:themeColor="text1"/>
        </w:rPr>
        <w:t xml:space="preserve">, et al. </w:t>
      </w:r>
      <w:r w:rsidRPr="005417CD">
        <w:rPr>
          <w:rFonts w:cstheme="minorHAnsi"/>
          <w:color w:val="000000" w:themeColor="text1"/>
        </w:rPr>
        <w:t xml:space="preserve">Nedosiran in Primary Hyperoxaluria Subtype 3: Results from a Phase </w:t>
      </w:r>
      <w:r w:rsidR="00091899">
        <w:rPr>
          <w:rFonts w:cstheme="minorHAnsi"/>
          <w:color w:val="000000" w:themeColor="text1"/>
        </w:rPr>
        <w:t>I</w:t>
      </w:r>
      <w:r w:rsidRPr="005417CD">
        <w:rPr>
          <w:rFonts w:cstheme="minorHAnsi"/>
          <w:color w:val="000000" w:themeColor="text1"/>
        </w:rPr>
        <w:t>, Single-dose Study (PHYOX4)</w:t>
      </w:r>
    </w:p>
    <w:p w14:paraId="7B17E771" w14:textId="3661F097" w:rsidR="00550517" w:rsidRDefault="00550517" w:rsidP="00181B2E"/>
    <w:p w14:paraId="5DD74347" w14:textId="77777777" w:rsidR="00177038" w:rsidRDefault="00177038">
      <w:pPr>
        <w:rPr>
          <w:b/>
          <w:bCs/>
        </w:rPr>
      </w:pPr>
      <w:r>
        <w:rPr>
          <w:b/>
          <w:bCs/>
        </w:rPr>
        <w:t>Plain language summary</w:t>
      </w:r>
    </w:p>
    <w:p w14:paraId="7C1DECB7" w14:textId="77777777" w:rsidR="00177038" w:rsidRPr="000C5CCE" w:rsidRDefault="00177038" w:rsidP="00177038">
      <w:pPr>
        <w:spacing w:line="480" w:lineRule="auto"/>
        <w:rPr>
          <w:rFonts w:cstheme="minorHAnsi"/>
        </w:rPr>
      </w:pPr>
      <w:r w:rsidRPr="000C5CCE">
        <w:rPr>
          <w:rFonts w:cstheme="minorHAnsi"/>
        </w:rPr>
        <w:t xml:space="preserve">Primary hyperoxaluria (PH) is a group of three rare genetic diseases called PH1, PH2 and PH3. People living with PH make too much of a natural chemical called oxalate, which can – in large enough quantities – form kidney stones. Too much oxalate can also damage their kidneys and other organs. Currently, there is no cure for PH3. Nedosiran is an investigational medicine which aims to stop kidney stone formation by reducing oxalate production. In people living with PH1, nedosiran was found to be safe and shown to reduce oxalate production. </w:t>
      </w:r>
    </w:p>
    <w:p w14:paraId="230F14D4" w14:textId="08BDCF2A" w:rsidR="00177038" w:rsidRPr="000C5CCE" w:rsidRDefault="00177038" w:rsidP="00177038">
      <w:pPr>
        <w:spacing w:line="480" w:lineRule="auto"/>
        <w:rPr>
          <w:rFonts w:cstheme="minorHAnsi"/>
        </w:rPr>
      </w:pPr>
      <w:r w:rsidRPr="000C5CCE">
        <w:rPr>
          <w:rFonts w:cstheme="minorHAnsi"/>
        </w:rPr>
        <w:t xml:space="preserve">To test nedosiran treatment for PH3, researchers recruited </w:t>
      </w:r>
      <w:r w:rsidR="007E2B3E">
        <w:rPr>
          <w:rFonts w:cstheme="minorHAnsi"/>
        </w:rPr>
        <w:t>six</w:t>
      </w:r>
      <w:r w:rsidR="007E2B3E" w:rsidRPr="000C5CCE">
        <w:rPr>
          <w:rFonts w:cstheme="minorHAnsi"/>
        </w:rPr>
        <w:t xml:space="preserve"> </w:t>
      </w:r>
      <w:r w:rsidRPr="000C5CCE">
        <w:rPr>
          <w:rFonts w:cstheme="minorHAnsi"/>
        </w:rPr>
        <w:t>participants living with PH3 to participate in a new clinical trial called PHYOX4. The participants were randomly divided into two groups and received one injection of either nedosiran (</w:t>
      </w:r>
      <w:r w:rsidR="008B765D">
        <w:rPr>
          <w:rFonts w:cstheme="minorHAnsi"/>
        </w:rPr>
        <w:t>f</w:t>
      </w:r>
      <w:r w:rsidR="007E2B3E">
        <w:rPr>
          <w:rFonts w:cstheme="minorHAnsi"/>
        </w:rPr>
        <w:t>our</w:t>
      </w:r>
      <w:r w:rsidR="008B765D" w:rsidRPr="000C5CCE">
        <w:rPr>
          <w:rFonts w:cstheme="minorHAnsi"/>
        </w:rPr>
        <w:t xml:space="preserve"> </w:t>
      </w:r>
      <w:r w:rsidRPr="000C5CCE">
        <w:rPr>
          <w:rFonts w:cstheme="minorHAnsi"/>
        </w:rPr>
        <w:t xml:space="preserve">participants) or a placebo (a liquid containing no medicine; </w:t>
      </w:r>
      <w:r w:rsidR="00613F5E" w:rsidRPr="000C5CCE">
        <w:rPr>
          <w:rFonts w:cstheme="minorHAnsi"/>
        </w:rPr>
        <w:t xml:space="preserve">two </w:t>
      </w:r>
      <w:r w:rsidRPr="000C5CCE">
        <w:rPr>
          <w:rFonts w:cstheme="minorHAnsi"/>
        </w:rPr>
        <w:t xml:space="preserve">participants). The main aim of the trial was to detect any unsafe side-effects caused by nedosiran treatment. Another aim was to measure the amount of urine oxalate excreted in the patients’ urine at different intervals during the trial. A reduction of at least 30% in oxalate levels over two back-to-back visits was needed to show that nedosiran treatment was effective. </w:t>
      </w:r>
    </w:p>
    <w:p w14:paraId="149ED5AC" w14:textId="74C1419E" w:rsidR="00177038" w:rsidRPr="000C5CCE" w:rsidRDefault="00177038" w:rsidP="00177038">
      <w:pPr>
        <w:spacing w:line="480" w:lineRule="auto"/>
        <w:rPr>
          <w:rFonts w:cstheme="minorHAnsi"/>
        </w:rPr>
      </w:pPr>
      <w:r w:rsidRPr="000C5CCE">
        <w:rPr>
          <w:rFonts w:cstheme="minorHAnsi"/>
        </w:rPr>
        <w:t xml:space="preserve">There were no treatment-related unsafe side-effects in any of the participants after nedosiran or placebo injection. The researchers concluded that nedosiran was well tolerated by all participants. None of the participants given nedosiran achieved the goal of 30% reduction in oxalate over two back-to-back visits. However, all </w:t>
      </w:r>
      <w:r w:rsidR="00613F5E" w:rsidRPr="000C5CCE">
        <w:rPr>
          <w:rFonts w:cstheme="minorHAnsi"/>
        </w:rPr>
        <w:t>four</w:t>
      </w:r>
      <w:r w:rsidRPr="000C5CCE">
        <w:rPr>
          <w:rFonts w:cstheme="minorHAnsi"/>
        </w:rPr>
        <w:t xml:space="preserve"> participants given nedosiran showed a reduction in oxalate levels over the 12-</w:t>
      </w:r>
      <w:r w:rsidRPr="000C5CCE">
        <w:rPr>
          <w:rFonts w:cstheme="minorHAnsi"/>
        </w:rPr>
        <w:lastRenderedPageBreak/>
        <w:t xml:space="preserve">week measurement period (an average reduction of 24.5% was seen). Three of the participants given nedosiran showed a reduction of more than 30% in oxalate levels at least once during the trial.  </w:t>
      </w:r>
    </w:p>
    <w:p w14:paraId="2C77D3FE" w14:textId="34FF2F8D" w:rsidR="00177038" w:rsidRPr="000C5CCE" w:rsidRDefault="00177038" w:rsidP="00177038">
      <w:pPr>
        <w:spacing w:line="480" w:lineRule="auto"/>
        <w:rPr>
          <w:rFonts w:cstheme="minorHAnsi"/>
        </w:rPr>
      </w:pPr>
      <w:r w:rsidRPr="000C5CCE">
        <w:rPr>
          <w:rFonts w:cstheme="minorHAnsi"/>
        </w:rPr>
        <w:t>Overall, this trial shows that nedosiran is safe and well tolerated in people living with PH3. It also showed that oxalate levels can decrease after one injection of nedosiran. As the study goal for lowering of oxalate levels on back-to-back visits was not met, more research is needed to learn if nedosiran can help people with PH3.</w:t>
      </w:r>
    </w:p>
    <w:p w14:paraId="22EB563A" w14:textId="7980D0CD" w:rsidR="00177038" w:rsidRDefault="00177038">
      <w:pPr>
        <w:rPr>
          <w:b/>
          <w:bCs/>
        </w:rPr>
      </w:pPr>
      <w:r>
        <w:rPr>
          <w:b/>
          <w:bCs/>
        </w:rPr>
        <w:br w:type="page"/>
      </w:r>
    </w:p>
    <w:p w14:paraId="3F0FB584" w14:textId="3C4FBB31" w:rsidR="003B0237" w:rsidRDefault="0044008A" w:rsidP="00181B2E">
      <w:r>
        <w:rPr>
          <w:noProof/>
        </w:rPr>
        <w:lastRenderedPageBreak/>
        <w:drawing>
          <wp:inline distT="0" distB="0" distL="0" distR="0" wp14:anchorId="63C3DDE3" wp14:editId="55A588D5">
            <wp:extent cx="6057900" cy="355562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4117" cy="3565142"/>
                    </a:xfrm>
                    <a:prstGeom prst="rect">
                      <a:avLst/>
                    </a:prstGeom>
                    <a:noFill/>
                  </pic:spPr>
                </pic:pic>
              </a:graphicData>
            </a:graphic>
          </wp:inline>
        </w:drawing>
      </w:r>
    </w:p>
    <w:p w14:paraId="5C9BA0D3" w14:textId="1542B217" w:rsidR="006D53B0" w:rsidRDefault="006D53B0" w:rsidP="006D53B0">
      <w:r w:rsidRPr="009D70E1">
        <w:rPr>
          <w:b/>
          <w:bCs/>
        </w:rPr>
        <w:t>Fig</w:t>
      </w:r>
      <w:r>
        <w:rPr>
          <w:b/>
          <w:bCs/>
        </w:rPr>
        <w:t>.</w:t>
      </w:r>
      <w:r w:rsidRPr="009D70E1">
        <w:rPr>
          <w:b/>
          <w:bCs/>
        </w:rPr>
        <w:t xml:space="preserve"> S1</w:t>
      </w:r>
      <w:r>
        <w:t xml:space="preserve">   Flow of individuals through PHYOX4</w:t>
      </w:r>
    </w:p>
    <w:p w14:paraId="579CEC73" w14:textId="077FAF9E" w:rsidR="003B0237" w:rsidRDefault="00FB0C98">
      <w:proofErr w:type="spellStart"/>
      <w:r w:rsidRPr="00E46A82">
        <w:rPr>
          <w:rFonts w:cstheme="minorHAnsi"/>
          <w:bCs/>
          <w:i/>
          <w:iCs/>
        </w:rPr>
        <w:t>mITT</w:t>
      </w:r>
      <w:proofErr w:type="spellEnd"/>
      <w:r w:rsidRPr="007A3118">
        <w:rPr>
          <w:rFonts w:cstheme="minorHAnsi"/>
          <w:bCs/>
        </w:rPr>
        <w:t xml:space="preserve"> </w:t>
      </w:r>
      <w:r>
        <w:rPr>
          <w:rFonts w:cstheme="minorHAnsi"/>
          <w:bCs/>
        </w:rPr>
        <w:t>modified intention-to-treat</w:t>
      </w:r>
      <w:r w:rsidR="003B0237">
        <w:br w:type="page"/>
      </w:r>
    </w:p>
    <w:p w14:paraId="1875D10C" w14:textId="294BFDD1" w:rsidR="009D70E1" w:rsidRDefault="009D70E1" w:rsidP="00181B2E"/>
    <w:p w14:paraId="6C76C05A" w14:textId="105577A8" w:rsidR="00B474D3" w:rsidRDefault="00810138" w:rsidP="00181B2E">
      <w:r>
        <w:rPr>
          <w:noProof/>
        </w:rPr>
        <w:drawing>
          <wp:inline distT="0" distB="0" distL="0" distR="0" wp14:anchorId="39DC1B6F" wp14:editId="67B79366">
            <wp:extent cx="5943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4457700"/>
                    </a:xfrm>
                    <a:prstGeom prst="rect">
                      <a:avLst/>
                    </a:prstGeom>
                  </pic:spPr>
                </pic:pic>
              </a:graphicData>
            </a:graphic>
          </wp:inline>
        </w:drawing>
      </w:r>
    </w:p>
    <w:p w14:paraId="6C668E0F" w14:textId="745EBEE6" w:rsidR="00CE175E" w:rsidRDefault="00CE175E" w:rsidP="007A3118">
      <w:pPr>
        <w:pStyle w:val="BodyText1"/>
        <w:rPr>
          <w:rFonts w:asciiTheme="minorHAnsi" w:hAnsiTheme="minorHAnsi" w:cstheme="minorHAnsi"/>
          <w:bCs/>
          <w:sz w:val="22"/>
          <w:szCs w:val="22"/>
        </w:rPr>
      </w:pPr>
      <w:r w:rsidRPr="00CE175E">
        <w:rPr>
          <w:rFonts w:asciiTheme="minorHAnsi" w:hAnsiTheme="minorHAnsi" w:cstheme="minorHAnsi"/>
          <w:b/>
          <w:bCs/>
          <w:sz w:val="22"/>
          <w:szCs w:val="22"/>
        </w:rPr>
        <w:t xml:space="preserve">Fig. S2   </w:t>
      </w:r>
      <w:r w:rsidRPr="00CE175E">
        <w:rPr>
          <w:rFonts w:asciiTheme="minorHAnsi" w:hAnsiTheme="minorHAnsi" w:cstheme="minorHAnsi"/>
          <w:bCs/>
          <w:sz w:val="22"/>
          <w:szCs w:val="22"/>
        </w:rPr>
        <w:t>Mean (SD) oxalate-to-creatinine ratio over time (</w:t>
      </w:r>
      <w:proofErr w:type="spellStart"/>
      <w:r w:rsidRPr="00CE175E">
        <w:rPr>
          <w:rFonts w:asciiTheme="minorHAnsi" w:hAnsiTheme="minorHAnsi" w:cstheme="minorHAnsi"/>
          <w:bCs/>
          <w:sz w:val="22"/>
          <w:szCs w:val="22"/>
        </w:rPr>
        <w:t>mITT</w:t>
      </w:r>
      <w:proofErr w:type="spellEnd"/>
      <w:r w:rsidRPr="00CE175E">
        <w:rPr>
          <w:rFonts w:asciiTheme="minorHAnsi" w:hAnsiTheme="minorHAnsi" w:cstheme="minorHAnsi"/>
          <w:bCs/>
          <w:sz w:val="22"/>
          <w:szCs w:val="22"/>
        </w:rPr>
        <w:t xml:space="preserve"> population)</w:t>
      </w:r>
    </w:p>
    <w:p w14:paraId="3BBCED59" w14:textId="771C7326" w:rsidR="007A3118" w:rsidRPr="007A3118" w:rsidRDefault="007A3118" w:rsidP="007A3118">
      <w:pPr>
        <w:pStyle w:val="BodyText1"/>
        <w:rPr>
          <w:rFonts w:asciiTheme="minorHAnsi" w:hAnsiTheme="minorHAnsi" w:cstheme="minorHAnsi"/>
          <w:bCs/>
          <w:sz w:val="22"/>
          <w:szCs w:val="22"/>
        </w:rPr>
      </w:pPr>
      <w:proofErr w:type="spellStart"/>
      <w:r w:rsidRPr="000C5CCE">
        <w:rPr>
          <w:rFonts w:asciiTheme="minorHAnsi" w:hAnsiTheme="minorHAnsi" w:cstheme="minorHAnsi"/>
          <w:bCs/>
          <w:i/>
          <w:iCs/>
          <w:sz w:val="22"/>
          <w:szCs w:val="22"/>
        </w:rPr>
        <w:t>mITT</w:t>
      </w:r>
      <w:proofErr w:type="spellEnd"/>
      <w:r w:rsidRPr="007A3118">
        <w:rPr>
          <w:rFonts w:asciiTheme="minorHAnsi" w:hAnsiTheme="minorHAnsi" w:cstheme="minorHAnsi"/>
          <w:bCs/>
          <w:sz w:val="22"/>
          <w:szCs w:val="22"/>
        </w:rPr>
        <w:t xml:space="preserve"> </w:t>
      </w:r>
      <w:r>
        <w:rPr>
          <w:rFonts w:asciiTheme="minorHAnsi" w:hAnsiTheme="minorHAnsi" w:cstheme="minorHAnsi"/>
          <w:bCs/>
          <w:sz w:val="22"/>
          <w:szCs w:val="22"/>
        </w:rPr>
        <w:t>modified intention-to-treat</w:t>
      </w:r>
      <w:r w:rsidR="00A16874">
        <w:rPr>
          <w:rFonts w:asciiTheme="minorHAnsi" w:hAnsiTheme="minorHAnsi" w:cstheme="minorHAnsi"/>
          <w:bCs/>
          <w:sz w:val="22"/>
          <w:szCs w:val="22"/>
        </w:rPr>
        <w:t>;</w:t>
      </w:r>
      <w:r w:rsidR="001477C9">
        <w:rPr>
          <w:rFonts w:asciiTheme="minorHAnsi" w:hAnsiTheme="minorHAnsi" w:cstheme="minorHAnsi"/>
          <w:bCs/>
          <w:sz w:val="22"/>
          <w:szCs w:val="22"/>
        </w:rPr>
        <w:t xml:space="preserve"> </w:t>
      </w:r>
      <w:r w:rsidR="001477C9">
        <w:rPr>
          <w:rFonts w:asciiTheme="minorHAnsi" w:hAnsiTheme="minorHAnsi" w:cstheme="minorHAnsi"/>
          <w:bCs/>
          <w:i/>
          <w:iCs/>
          <w:sz w:val="22"/>
          <w:szCs w:val="22"/>
        </w:rPr>
        <w:t xml:space="preserve">No. </w:t>
      </w:r>
      <w:r w:rsidR="001477C9">
        <w:rPr>
          <w:rFonts w:asciiTheme="minorHAnsi" w:hAnsiTheme="minorHAnsi" w:cstheme="minorHAnsi"/>
          <w:bCs/>
          <w:sz w:val="22"/>
          <w:szCs w:val="22"/>
        </w:rPr>
        <w:t>number,</w:t>
      </w:r>
      <w:r w:rsidR="00A16874">
        <w:rPr>
          <w:rFonts w:asciiTheme="minorHAnsi" w:hAnsiTheme="minorHAnsi" w:cstheme="minorHAnsi"/>
          <w:bCs/>
          <w:sz w:val="22"/>
          <w:szCs w:val="22"/>
        </w:rPr>
        <w:t xml:space="preserve"> </w:t>
      </w:r>
      <w:bookmarkStart w:id="0" w:name="_Hlk126163138"/>
      <w:r w:rsidR="00A16874" w:rsidRPr="000C5CCE">
        <w:rPr>
          <w:rFonts w:asciiTheme="minorHAnsi" w:hAnsiTheme="minorHAnsi" w:cstheme="minorHAnsi"/>
          <w:bCs/>
          <w:i/>
          <w:iCs/>
          <w:sz w:val="22"/>
          <w:szCs w:val="22"/>
        </w:rPr>
        <w:t>SD</w:t>
      </w:r>
      <w:r w:rsidR="00A16874">
        <w:rPr>
          <w:rFonts w:asciiTheme="minorHAnsi" w:hAnsiTheme="minorHAnsi" w:cstheme="minorHAnsi"/>
          <w:bCs/>
          <w:sz w:val="22"/>
          <w:szCs w:val="22"/>
        </w:rPr>
        <w:t xml:space="preserve"> standard </w:t>
      </w:r>
      <w:proofErr w:type="gramStart"/>
      <w:r w:rsidR="00A16874">
        <w:rPr>
          <w:rFonts w:asciiTheme="minorHAnsi" w:hAnsiTheme="minorHAnsi" w:cstheme="minorHAnsi"/>
          <w:bCs/>
          <w:sz w:val="22"/>
          <w:szCs w:val="22"/>
        </w:rPr>
        <w:t>deviation</w:t>
      </w:r>
      <w:bookmarkEnd w:id="0"/>
      <w:proofErr w:type="gramEnd"/>
    </w:p>
    <w:p w14:paraId="769D9C06" w14:textId="17778905" w:rsidR="00B474D3" w:rsidRDefault="00B474D3">
      <w:r>
        <w:br w:type="page"/>
      </w:r>
    </w:p>
    <w:p w14:paraId="5FD03B96" w14:textId="53D62A2B" w:rsidR="00B474D3" w:rsidRDefault="00B474D3" w:rsidP="00181B2E"/>
    <w:p w14:paraId="7797976C" w14:textId="560459D1" w:rsidR="007A3118" w:rsidRDefault="00F62799" w:rsidP="00181B2E">
      <w:r>
        <w:rPr>
          <w:noProof/>
        </w:rPr>
        <w:drawing>
          <wp:inline distT="0" distB="0" distL="0" distR="0" wp14:anchorId="7C23F424" wp14:editId="0FB232BB">
            <wp:extent cx="5958690" cy="4184650"/>
            <wp:effectExtent l="0" t="0" r="444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62646" cy="4187428"/>
                    </a:xfrm>
                    <a:prstGeom prst="rect">
                      <a:avLst/>
                    </a:prstGeom>
                    <a:noFill/>
                  </pic:spPr>
                </pic:pic>
              </a:graphicData>
            </a:graphic>
          </wp:inline>
        </w:drawing>
      </w:r>
    </w:p>
    <w:p w14:paraId="7F41A27C" w14:textId="3B1BEBDB" w:rsidR="00AD5368" w:rsidRDefault="00AD5368" w:rsidP="00181B2E">
      <w:pPr>
        <w:rPr>
          <w:rFonts w:cstheme="minorHAnsi"/>
          <w:bCs/>
        </w:rPr>
      </w:pPr>
      <w:r w:rsidRPr="00B474D3">
        <w:rPr>
          <w:b/>
          <w:bCs/>
        </w:rPr>
        <w:t>Fig</w:t>
      </w:r>
      <w:r>
        <w:rPr>
          <w:b/>
          <w:bCs/>
        </w:rPr>
        <w:t>.</w:t>
      </w:r>
      <w:r w:rsidRPr="00B474D3">
        <w:rPr>
          <w:b/>
          <w:bCs/>
        </w:rPr>
        <w:t xml:space="preserve"> S3</w:t>
      </w:r>
      <w:r w:rsidRPr="00B474D3">
        <w:t xml:space="preserve"> </w:t>
      </w:r>
      <w:r>
        <w:t xml:space="preserve">  </w:t>
      </w:r>
      <w:r w:rsidRPr="00B474D3">
        <w:t>Individual 24-hour urinary citrate, calcium, phosphate, and magnesium</w:t>
      </w:r>
      <w:r>
        <w:t xml:space="preserve"> (</w:t>
      </w:r>
      <w:proofErr w:type="spellStart"/>
      <w:r>
        <w:t>mITT</w:t>
      </w:r>
      <w:proofErr w:type="spellEnd"/>
      <w:r>
        <w:t xml:space="preserve"> population)</w:t>
      </w:r>
    </w:p>
    <w:p w14:paraId="43437BA9" w14:textId="2F06B336" w:rsidR="007A3118" w:rsidRDefault="007A3118" w:rsidP="00181B2E">
      <w:pPr>
        <w:rPr>
          <w:rFonts w:cstheme="minorHAnsi"/>
          <w:bCs/>
        </w:rPr>
      </w:pPr>
      <w:proofErr w:type="spellStart"/>
      <w:r w:rsidRPr="000C5CCE">
        <w:rPr>
          <w:rFonts w:cstheme="minorHAnsi"/>
          <w:bCs/>
          <w:i/>
          <w:iCs/>
        </w:rPr>
        <w:t>mITT</w:t>
      </w:r>
      <w:proofErr w:type="spellEnd"/>
      <w:r w:rsidRPr="007A3118">
        <w:rPr>
          <w:rFonts w:cstheme="minorHAnsi"/>
          <w:bCs/>
        </w:rPr>
        <w:t xml:space="preserve"> </w:t>
      </w:r>
      <w:r>
        <w:rPr>
          <w:rFonts w:cstheme="minorHAnsi"/>
          <w:bCs/>
        </w:rPr>
        <w:t>modified intention-to-</w:t>
      </w:r>
      <w:proofErr w:type="gramStart"/>
      <w:r>
        <w:rPr>
          <w:rFonts w:cstheme="minorHAnsi"/>
          <w:bCs/>
        </w:rPr>
        <w:t>treat</w:t>
      </w:r>
      <w:proofErr w:type="gramEnd"/>
    </w:p>
    <w:p w14:paraId="77587B08" w14:textId="1874E4A9" w:rsidR="00E10792" w:rsidRDefault="00E10792" w:rsidP="00181B2E">
      <w:pPr>
        <w:rPr>
          <w:rFonts w:cstheme="minorHAnsi"/>
          <w:bCs/>
        </w:rPr>
      </w:pPr>
    </w:p>
    <w:p w14:paraId="5774D985" w14:textId="38C9B103" w:rsidR="00E10792" w:rsidRDefault="00E10792">
      <w:pPr>
        <w:rPr>
          <w:rFonts w:cstheme="minorHAnsi"/>
          <w:bCs/>
        </w:rPr>
      </w:pPr>
      <w:r>
        <w:rPr>
          <w:rFonts w:cstheme="minorHAnsi"/>
          <w:bCs/>
        </w:rPr>
        <w:br w:type="page"/>
      </w:r>
    </w:p>
    <w:p w14:paraId="2C9896EF" w14:textId="04FDAAC9" w:rsidR="00E10792" w:rsidRDefault="00E10792" w:rsidP="00181B2E">
      <w:bookmarkStart w:id="1" w:name="OLE_LINK1"/>
    </w:p>
    <w:bookmarkEnd w:id="1"/>
    <w:p w14:paraId="00CD74B8" w14:textId="14C26A5A" w:rsidR="0044008A" w:rsidRDefault="00C65CA5">
      <w:r w:rsidRPr="00C65CA5">
        <w:rPr>
          <w:noProof/>
        </w:rPr>
        <w:t xml:space="preserve"> </w:t>
      </w:r>
      <w:r w:rsidR="00F62799">
        <w:rPr>
          <w:noProof/>
        </w:rPr>
        <w:drawing>
          <wp:inline distT="0" distB="0" distL="0" distR="0" wp14:anchorId="0176AD74" wp14:editId="198FFD6C">
            <wp:extent cx="5943600" cy="36042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604260"/>
                    </a:xfrm>
                    <a:prstGeom prst="rect">
                      <a:avLst/>
                    </a:prstGeom>
                  </pic:spPr>
                </pic:pic>
              </a:graphicData>
            </a:graphic>
          </wp:inline>
        </w:drawing>
      </w:r>
    </w:p>
    <w:p w14:paraId="22718A97" w14:textId="4ECE3D16" w:rsidR="002114A9" w:rsidRDefault="002114A9">
      <w:r w:rsidRPr="00E93A04">
        <w:rPr>
          <w:b/>
          <w:bCs/>
        </w:rPr>
        <w:t>Fig</w:t>
      </w:r>
      <w:r>
        <w:rPr>
          <w:b/>
          <w:bCs/>
        </w:rPr>
        <w:t>.</w:t>
      </w:r>
      <w:r w:rsidRPr="00E93A04">
        <w:rPr>
          <w:b/>
          <w:bCs/>
        </w:rPr>
        <w:t xml:space="preserve"> S4</w:t>
      </w:r>
      <w:r>
        <w:t xml:space="preserve">   Semi-log plots of a</w:t>
      </w:r>
      <w:r w:rsidRPr="00EA7DAC">
        <w:t>rithmetic mean (</w:t>
      </w:r>
      <w:r>
        <w:t>+</w:t>
      </w:r>
      <w:r w:rsidRPr="00EA7DAC">
        <w:t xml:space="preserve">SD) plasma concentrations of </w:t>
      </w:r>
      <w:r>
        <w:t>nedosiran</w:t>
      </w:r>
      <w:r w:rsidRPr="00EA7DAC">
        <w:t xml:space="preserve"> following a single subcutaneous dose of </w:t>
      </w:r>
      <w:r>
        <w:t>3 mg/kg nedosiran</w:t>
      </w:r>
      <w:r w:rsidRPr="00EA7DAC">
        <w:t xml:space="preserve"> in </w:t>
      </w:r>
      <w:r>
        <w:t xml:space="preserve">participants with </w:t>
      </w:r>
      <w:r w:rsidR="00927E80">
        <w:t>PH</w:t>
      </w:r>
      <w:r>
        <w:t xml:space="preserve"> subtype </w:t>
      </w:r>
      <w:proofErr w:type="gramStart"/>
      <w:r>
        <w:t>3</w:t>
      </w:r>
      <w:proofErr w:type="gramEnd"/>
    </w:p>
    <w:p w14:paraId="425BC27F" w14:textId="0162F452" w:rsidR="009A6CBE" w:rsidRDefault="00927E80">
      <w:r>
        <w:rPr>
          <w:rFonts w:cstheme="minorHAnsi"/>
          <w:bCs/>
          <w:i/>
          <w:iCs/>
        </w:rPr>
        <w:t xml:space="preserve">PH </w:t>
      </w:r>
      <w:r>
        <w:rPr>
          <w:rFonts w:cstheme="minorHAnsi"/>
          <w:bCs/>
        </w:rPr>
        <w:t xml:space="preserve">primary hyperoxaluria, </w:t>
      </w:r>
      <w:r w:rsidR="009A6CBE" w:rsidRPr="00E46A82">
        <w:rPr>
          <w:rFonts w:cstheme="minorHAnsi"/>
          <w:bCs/>
          <w:i/>
          <w:iCs/>
        </w:rPr>
        <w:t>SD</w:t>
      </w:r>
      <w:r w:rsidR="009A6CBE">
        <w:rPr>
          <w:rFonts w:cstheme="minorHAnsi"/>
          <w:bCs/>
        </w:rPr>
        <w:t xml:space="preserve"> standard deviation</w:t>
      </w:r>
    </w:p>
    <w:p w14:paraId="032F1099" w14:textId="128D9CF7" w:rsidR="00311849" w:rsidRDefault="002114A9">
      <w:r>
        <w:t xml:space="preserve">Note: </w:t>
      </w:r>
      <w:r w:rsidR="0044008A">
        <w:t>Dots and lines represent the mean profiles at nominal time points, error bars represent the standard deviation</w:t>
      </w:r>
      <w:r w:rsidR="00311849">
        <w:br w:type="page"/>
      </w:r>
    </w:p>
    <w:p w14:paraId="6FFE461E" w14:textId="546687D4" w:rsidR="006B2245" w:rsidRDefault="006B2245" w:rsidP="006B2245"/>
    <w:p w14:paraId="143DDD23" w14:textId="739DAB44" w:rsidR="00020F18" w:rsidRDefault="00B560D0" w:rsidP="00181B2E">
      <w:r>
        <w:rPr>
          <w:noProof/>
        </w:rPr>
        <w:drawing>
          <wp:inline distT="0" distB="0" distL="0" distR="0" wp14:anchorId="543A1EB0" wp14:editId="208A459F">
            <wp:extent cx="4785995" cy="47917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85995" cy="4791710"/>
                    </a:xfrm>
                    <a:prstGeom prst="rect">
                      <a:avLst/>
                    </a:prstGeom>
                    <a:noFill/>
                  </pic:spPr>
                </pic:pic>
              </a:graphicData>
            </a:graphic>
          </wp:inline>
        </w:drawing>
      </w:r>
    </w:p>
    <w:p w14:paraId="05B071C7" w14:textId="4188C8D8" w:rsidR="00DF0477" w:rsidRDefault="00DF0477" w:rsidP="00181B2E">
      <w:r w:rsidRPr="00E93A04">
        <w:rPr>
          <w:b/>
          <w:bCs/>
        </w:rPr>
        <w:t>Fig</w:t>
      </w:r>
      <w:r>
        <w:rPr>
          <w:b/>
          <w:bCs/>
        </w:rPr>
        <w:t>.</w:t>
      </w:r>
      <w:r w:rsidRPr="00E93A04">
        <w:rPr>
          <w:b/>
          <w:bCs/>
        </w:rPr>
        <w:t xml:space="preserve"> S</w:t>
      </w:r>
      <w:r>
        <w:rPr>
          <w:b/>
          <w:bCs/>
        </w:rPr>
        <w:t>5</w:t>
      </w:r>
      <w:r>
        <w:t xml:space="preserve">   Comparison of </w:t>
      </w:r>
      <w:r w:rsidRPr="00EA7DAC">
        <w:t>plasma</w:t>
      </w:r>
      <w:r>
        <w:t xml:space="preserve"> nedosiran </w:t>
      </w:r>
      <w:bookmarkStart w:id="2" w:name="_Hlk126163022"/>
      <w:r>
        <w:t>AUC</w:t>
      </w:r>
      <w:r>
        <w:rPr>
          <w:vertAlign w:val="subscript"/>
        </w:rPr>
        <w:t>0-last</w:t>
      </w:r>
      <w:bookmarkEnd w:id="2"/>
      <w:r>
        <w:t xml:space="preserve"> in participants with PH subtype 3 with patients with PH1/PH2 </w:t>
      </w:r>
      <w:r w:rsidRPr="00EA7DAC">
        <w:t xml:space="preserve">following a single subcutaneous dose </w:t>
      </w:r>
      <w:r>
        <w:t>of nedosiran</w:t>
      </w:r>
      <w:r w:rsidRPr="00EA7DAC">
        <w:t xml:space="preserve"> </w:t>
      </w:r>
      <w:r>
        <w:t>3 mg/</w:t>
      </w:r>
      <w:proofErr w:type="gramStart"/>
      <w:r>
        <w:t>kg</w:t>
      </w:r>
      <w:proofErr w:type="gramEnd"/>
    </w:p>
    <w:p w14:paraId="6FFA390E" w14:textId="77777777" w:rsidR="00F66584" w:rsidRDefault="00F66584" w:rsidP="00F66584">
      <w:r w:rsidRPr="00DA4909">
        <w:rPr>
          <w:i/>
          <w:iCs/>
        </w:rPr>
        <w:t>AUC</w:t>
      </w:r>
      <w:r w:rsidRPr="00DA4909">
        <w:rPr>
          <w:i/>
          <w:iCs/>
          <w:vertAlign w:val="subscript"/>
        </w:rPr>
        <w:t>0-last</w:t>
      </w:r>
      <w:r w:rsidRPr="00DA4909">
        <w:rPr>
          <w:i/>
          <w:iCs/>
        </w:rPr>
        <w:t xml:space="preserve"> </w:t>
      </w:r>
      <w:r w:rsidRPr="00DA4909">
        <w:t>area under the concentration-time curve (AUC) from time of dosing to the last measurable blood concentration</w:t>
      </w:r>
      <w:r>
        <w:t xml:space="preserve">, </w:t>
      </w:r>
      <w:r w:rsidRPr="009B5136">
        <w:rPr>
          <w:i/>
          <w:iCs/>
        </w:rPr>
        <w:t>PH</w:t>
      </w:r>
      <w:r>
        <w:t xml:space="preserve"> primary hyperoxaluria</w:t>
      </w:r>
    </w:p>
    <w:p w14:paraId="57146ACA" w14:textId="4FF0B742" w:rsidR="006171D8" w:rsidRDefault="00DF0477" w:rsidP="00181B2E">
      <w:r>
        <w:t xml:space="preserve">Note: </w:t>
      </w:r>
      <w:r w:rsidR="005156F1">
        <w:t xml:space="preserve">The </w:t>
      </w:r>
      <w:r w:rsidR="00C909BF">
        <w:t>solid line inside the boxes represent</w:t>
      </w:r>
      <w:r w:rsidR="006171D8">
        <w:t>s</w:t>
      </w:r>
      <w:r w:rsidR="00C909BF">
        <w:t xml:space="preserve"> the median of the data, </w:t>
      </w:r>
      <w:r w:rsidR="005156F1">
        <w:t>hinges (top and bottom of the boxes) represent the 25</w:t>
      </w:r>
      <w:r w:rsidR="005156F1" w:rsidRPr="004A1D77">
        <w:rPr>
          <w:vertAlign w:val="superscript"/>
        </w:rPr>
        <w:t>th</w:t>
      </w:r>
      <w:r w:rsidR="005156F1">
        <w:t xml:space="preserve"> and 75</w:t>
      </w:r>
      <w:r w:rsidR="005156F1" w:rsidRPr="004A1D77">
        <w:rPr>
          <w:vertAlign w:val="superscript"/>
        </w:rPr>
        <w:t>th</w:t>
      </w:r>
      <w:r w:rsidR="005156F1">
        <w:t xml:space="preserve"> percentiles</w:t>
      </w:r>
      <w:r w:rsidR="00C909BF">
        <w:t xml:space="preserve"> of the data, the top and bottom whi</w:t>
      </w:r>
      <w:r w:rsidR="00AA232E">
        <w:t>s</w:t>
      </w:r>
      <w:r w:rsidR="00C909BF">
        <w:t xml:space="preserve">kers </w:t>
      </w:r>
      <w:r w:rsidR="006171D8">
        <w:t>extend to the largest and smallest values that are within 1.5 times interquartile range</w:t>
      </w:r>
    </w:p>
    <w:p w14:paraId="60D0C972" w14:textId="60B347E0" w:rsidR="00491D76" w:rsidRDefault="00726E01" w:rsidP="00181B2E">
      <w:r>
        <w:t xml:space="preserve">The nedosiran PK exposure data in PH1/PH2 patients were obtained in clinical trial </w:t>
      </w:r>
      <w:proofErr w:type="gramStart"/>
      <w:r>
        <w:t>PHYOX1</w:t>
      </w:r>
      <w:proofErr w:type="gramEnd"/>
    </w:p>
    <w:p w14:paraId="2C457491" w14:textId="6288D37D" w:rsidR="00311849" w:rsidRDefault="00311849" w:rsidP="00F66584"/>
    <w:sectPr w:rsidR="00311849" w:rsidSect="00584CA0">
      <w:headerReference w:type="default" r:id="rId13"/>
      <w:footerReference w:type="default"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B069A" w14:textId="77777777" w:rsidR="00067A4E" w:rsidRDefault="00067A4E" w:rsidP="005417CD">
      <w:pPr>
        <w:spacing w:after="0" w:line="240" w:lineRule="auto"/>
      </w:pPr>
      <w:r>
        <w:separator/>
      </w:r>
    </w:p>
  </w:endnote>
  <w:endnote w:type="continuationSeparator" w:id="0">
    <w:p w14:paraId="2B193CFE" w14:textId="77777777" w:rsidR="00067A4E" w:rsidRDefault="00067A4E" w:rsidP="005417CD">
      <w:pPr>
        <w:spacing w:after="0" w:line="240" w:lineRule="auto"/>
      </w:pPr>
      <w:r>
        <w:continuationSeparator/>
      </w:r>
    </w:p>
  </w:endnote>
  <w:endnote w:type="continuationNotice" w:id="1">
    <w:p w14:paraId="46DE4E6A" w14:textId="77777777" w:rsidR="00067A4E" w:rsidRDefault="00067A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3728239"/>
      <w:docPartObj>
        <w:docPartGallery w:val="Page Numbers (Bottom of Page)"/>
        <w:docPartUnique/>
      </w:docPartObj>
    </w:sdtPr>
    <w:sdtEndPr>
      <w:rPr>
        <w:noProof/>
      </w:rPr>
    </w:sdtEndPr>
    <w:sdtContent>
      <w:p w14:paraId="3C51D6E7" w14:textId="77777777" w:rsidR="002D0AC0" w:rsidRDefault="002D0AC0" w:rsidP="00584CA0">
        <w:pPr>
          <w:pStyle w:val="Footer"/>
          <w:jc w:val="center"/>
        </w:pPr>
        <w:r>
          <w:fldChar w:fldCharType="begin"/>
        </w:r>
        <w:r>
          <w:instrText xml:space="preserve"> PAGE   \* MERGEFORMAT </w:instrText>
        </w:r>
        <w:r>
          <w:fldChar w:fldCharType="separate"/>
        </w:r>
        <w:r>
          <w:rPr>
            <w:noProof/>
          </w:rPr>
          <w:t>30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7DC40" w14:textId="77777777" w:rsidR="00067A4E" w:rsidRDefault="00067A4E" w:rsidP="005417CD">
      <w:pPr>
        <w:spacing w:after="0" w:line="240" w:lineRule="auto"/>
      </w:pPr>
      <w:r>
        <w:separator/>
      </w:r>
    </w:p>
  </w:footnote>
  <w:footnote w:type="continuationSeparator" w:id="0">
    <w:p w14:paraId="5F3BEAE2" w14:textId="77777777" w:rsidR="00067A4E" w:rsidRDefault="00067A4E" w:rsidP="005417CD">
      <w:pPr>
        <w:spacing w:after="0" w:line="240" w:lineRule="auto"/>
      </w:pPr>
      <w:r>
        <w:continuationSeparator/>
      </w:r>
    </w:p>
  </w:footnote>
  <w:footnote w:type="continuationNotice" w:id="1">
    <w:p w14:paraId="05BDBA95" w14:textId="77777777" w:rsidR="00067A4E" w:rsidRDefault="00067A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3D87" w14:textId="03DC60CF" w:rsidR="002D0AC0" w:rsidRPr="006759F4" w:rsidRDefault="002D0AC0">
    <w:pPr>
      <w:pStyle w:val="Header"/>
      <w:rPr>
        <w:rFonts w:cstheme="minorHAnsi"/>
      </w:rPr>
    </w:pPr>
    <w:r w:rsidRPr="006759F4">
      <w:rPr>
        <w:rFonts w:cstheme="minorHAnsi"/>
      </w:rPr>
      <w:t>Nedosiran in PH</w:t>
    </w:r>
    <w:r>
      <w:rPr>
        <w:rFonts w:cstheme="minorHAnsi"/>
      </w:rPr>
      <w:t>3</w:t>
    </w:r>
    <w:r w:rsidRPr="006759F4">
      <w:rPr>
        <w:rFonts w:cstheme="minorHAnsi"/>
      </w:rPr>
      <w:t xml:space="preserve"> (PHYOX</w:t>
    </w:r>
    <w:r>
      <w:rPr>
        <w:rFonts w:cstheme="minorHAnsi"/>
      </w:rPr>
      <w:t>4</w:t>
    </w:r>
    <w:r w:rsidRPr="006759F4">
      <w:rPr>
        <w:rFonts w:cstheme="minorHAnsi"/>
      </w:rPr>
      <w:t>)</w:t>
    </w:r>
    <w:r w:rsidRPr="006759F4">
      <w:rPr>
        <w:rFonts w:cstheme="minorHAnsi"/>
      </w:rPr>
      <w:tab/>
    </w:r>
    <w:r w:rsidRPr="006759F4">
      <w:rPr>
        <w:rFonts w:cstheme="minorHAnsi"/>
      </w:rPr>
      <w:tab/>
    </w:r>
    <w:r w:rsidR="000C555F">
      <w:rPr>
        <w:rFonts w:cstheme="minorHAnsi"/>
      </w:rPr>
      <w:t>April 5</w:t>
    </w:r>
    <w:r w:rsidRPr="006759F4">
      <w:rPr>
        <w:rFonts w:cstheme="minorHAnsi"/>
      </w:rPr>
      <w:t>, 202</w:t>
    </w:r>
    <w:r>
      <w:rPr>
        <w:rFonts w:cstheme="minorHAnsi"/>
      </w:rPr>
      <w:t>3</w:t>
    </w:r>
  </w:p>
  <w:p w14:paraId="4DC943A7" w14:textId="4A92A23F" w:rsidR="002D0AC0" w:rsidRPr="006759F4" w:rsidRDefault="002871FC">
    <w:pPr>
      <w:pStyle w:val="Header"/>
      <w:rPr>
        <w:rFonts w:cstheme="minorHAnsi"/>
      </w:rPr>
    </w:pPr>
    <w:r>
      <w:rPr>
        <w:rFonts w:cstheme="minorHAnsi"/>
      </w:rPr>
      <w:t>Final</w:t>
    </w:r>
    <w:r w:rsidR="002D0AC0">
      <w:rPr>
        <w:rFonts w:cstheme="minorHAnsi"/>
      </w:rPr>
      <w:t xml:space="preserve">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E3C5C"/>
    <w:multiLevelType w:val="hybridMultilevel"/>
    <w:tmpl w:val="D608920A"/>
    <w:lvl w:ilvl="0" w:tplc="35F68EC6">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num w:numId="1" w16cid:durableId="802770485">
    <w:abstractNumId w:val="1"/>
  </w:num>
  <w:num w:numId="2" w16cid:durableId="169541893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Urolithiasi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50pdretxzpv2exzsm5fe9cwz5vfwtpde2v&quot;&gt;PHYOX4 Manuscript&lt;record-ids&gt;&lt;item&gt;4&lt;/item&gt;&lt;item&gt;6&lt;/item&gt;&lt;item&gt;39&lt;/item&gt;&lt;item&gt;47&lt;/item&gt;&lt;item&gt;55&lt;/item&gt;&lt;item&gt;59&lt;/item&gt;&lt;item&gt;70&lt;/item&gt;&lt;item&gt;75&lt;/item&gt;&lt;item&gt;79&lt;/item&gt;&lt;item&gt;81&lt;/item&gt;&lt;item&gt;86&lt;/item&gt;&lt;item&gt;87&lt;/item&gt;&lt;item&gt;101&lt;/item&gt;&lt;item&gt;102&lt;/item&gt;&lt;item&gt;103&lt;/item&gt;&lt;item&gt;105&lt;/item&gt;&lt;item&gt;106&lt;/item&gt;&lt;item&gt;107&lt;/item&gt;&lt;item&gt;110&lt;/item&gt;&lt;item&gt;111&lt;/item&gt;&lt;item&gt;112&lt;/item&gt;&lt;item&gt;113&lt;/item&gt;&lt;/record-ids&gt;&lt;/item&gt;&lt;/Libraries&gt;"/>
  </w:docVars>
  <w:rsids>
    <w:rsidRoot w:val="004451E9"/>
    <w:rsid w:val="00001211"/>
    <w:rsid w:val="00001E46"/>
    <w:rsid w:val="00002124"/>
    <w:rsid w:val="00002732"/>
    <w:rsid w:val="00003BB2"/>
    <w:rsid w:val="00011B00"/>
    <w:rsid w:val="00014534"/>
    <w:rsid w:val="00017F73"/>
    <w:rsid w:val="0002069C"/>
    <w:rsid w:val="00020F18"/>
    <w:rsid w:val="00022C6F"/>
    <w:rsid w:val="000301FA"/>
    <w:rsid w:val="00030FFA"/>
    <w:rsid w:val="00033CA2"/>
    <w:rsid w:val="00037604"/>
    <w:rsid w:val="0004177C"/>
    <w:rsid w:val="00042994"/>
    <w:rsid w:val="000449D0"/>
    <w:rsid w:val="00045282"/>
    <w:rsid w:val="00046766"/>
    <w:rsid w:val="000469A6"/>
    <w:rsid w:val="00046C94"/>
    <w:rsid w:val="00047012"/>
    <w:rsid w:val="000573D9"/>
    <w:rsid w:val="0005785D"/>
    <w:rsid w:val="0006038D"/>
    <w:rsid w:val="00062977"/>
    <w:rsid w:val="0006615D"/>
    <w:rsid w:val="00067A4E"/>
    <w:rsid w:val="0007626F"/>
    <w:rsid w:val="00076D41"/>
    <w:rsid w:val="00077052"/>
    <w:rsid w:val="000800FB"/>
    <w:rsid w:val="00080A82"/>
    <w:rsid w:val="00080D34"/>
    <w:rsid w:val="000831D1"/>
    <w:rsid w:val="00084C0D"/>
    <w:rsid w:val="0008550C"/>
    <w:rsid w:val="0008582A"/>
    <w:rsid w:val="00085E56"/>
    <w:rsid w:val="00086C6D"/>
    <w:rsid w:val="00091899"/>
    <w:rsid w:val="00091EC2"/>
    <w:rsid w:val="0009719A"/>
    <w:rsid w:val="00097C27"/>
    <w:rsid w:val="000A1700"/>
    <w:rsid w:val="000A18A8"/>
    <w:rsid w:val="000A634F"/>
    <w:rsid w:val="000B526A"/>
    <w:rsid w:val="000B65A1"/>
    <w:rsid w:val="000B7A3F"/>
    <w:rsid w:val="000B7FE1"/>
    <w:rsid w:val="000C2A3F"/>
    <w:rsid w:val="000C4D72"/>
    <w:rsid w:val="000C555F"/>
    <w:rsid w:val="000C5CCE"/>
    <w:rsid w:val="000D04AF"/>
    <w:rsid w:val="000D07D1"/>
    <w:rsid w:val="000D25D2"/>
    <w:rsid w:val="000D42AA"/>
    <w:rsid w:val="000D5056"/>
    <w:rsid w:val="000D566B"/>
    <w:rsid w:val="000E44D5"/>
    <w:rsid w:val="000E5106"/>
    <w:rsid w:val="00101F32"/>
    <w:rsid w:val="00102F3A"/>
    <w:rsid w:val="00102FAA"/>
    <w:rsid w:val="00103645"/>
    <w:rsid w:val="00106BD2"/>
    <w:rsid w:val="00107632"/>
    <w:rsid w:val="00110852"/>
    <w:rsid w:val="00114929"/>
    <w:rsid w:val="00135DD1"/>
    <w:rsid w:val="001372FD"/>
    <w:rsid w:val="001429C5"/>
    <w:rsid w:val="001456DB"/>
    <w:rsid w:val="00145CB7"/>
    <w:rsid w:val="001477C9"/>
    <w:rsid w:val="001512DA"/>
    <w:rsid w:val="00152C7E"/>
    <w:rsid w:val="00154478"/>
    <w:rsid w:val="0015518A"/>
    <w:rsid w:val="001563E4"/>
    <w:rsid w:val="00156BDA"/>
    <w:rsid w:val="00162885"/>
    <w:rsid w:val="001677D0"/>
    <w:rsid w:val="00172083"/>
    <w:rsid w:val="00172B9B"/>
    <w:rsid w:val="00175676"/>
    <w:rsid w:val="00175A81"/>
    <w:rsid w:val="00177038"/>
    <w:rsid w:val="00181B2E"/>
    <w:rsid w:val="00181CD0"/>
    <w:rsid w:val="00182E5D"/>
    <w:rsid w:val="00185F81"/>
    <w:rsid w:val="00186504"/>
    <w:rsid w:val="0018744C"/>
    <w:rsid w:val="0019153F"/>
    <w:rsid w:val="0019174F"/>
    <w:rsid w:val="001A0D25"/>
    <w:rsid w:val="001A5551"/>
    <w:rsid w:val="001A65C2"/>
    <w:rsid w:val="001A7253"/>
    <w:rsid w:val="001B2461"/>
    <w:rsid w:val="001B4C8B"/>
    <w:rsid w:val="001B53E8"/>
    <w:rsid w:val="001B58A8"/>
    <w:rsid w:val="001B60EC"/>
    <w:rsid w:val="001B7557"/>
    <w:rsid w:val="001B7D27"/>
    <w:rsid w:val="001C2C05"/>
    <w:rsid w:val="001C5F77"/>
    <w:rsid w:val="001C6AE2"/>
    <w:rsid w:val="001D03C6"/>
    <w:rsid w:val="001D0A95"/>
    <w:rsid w:val="001D3ADF"/>
    <w:rsid w:val="001D4536"/>
    <w:rsid w:val="001D45E9"/>
    <w:rsid w:val="001D70F5"/>
    <w:rsid w:val="001E2E9E"/>
    <w:rsid w:val="001E3291"/>
    <w:rsid w:val="001E46BA"/>
    <w:rsid w:val="001E71AC"/>
    <w:rsid w:val="001F5294"/>
    <w:rsid w:val="001F5C2F"/>
    <w:rsid w:val="00202D5F"/>
    <w:rsid w:val="00203DC6"/>
    <w:rsid w:val="002068B9"/>
    <w:rsid w:val="00210490"/>
    <w:rsid w:val="002114A9"/>
    <w:rsid w:val="00213A4C"/>
    <w:rsid w:val="00214B78"/>
    <w:rsid w:val="002168BA"/>
    <w:rsid w:val="00217A6D"/>
    <w:rsid w:val="0022153E"/>
    <w:rsid w:val="00221DAB"/>
    <w:rsid w:val="00222B37"/>
    <w:rsid w:val="00225181"/>
    <w:rsid w:val="00225810"/>
    <w:rsid w:val="002272C2"/>
    <w:rsid w:val="00234506"/>
    <w:rsid w:val="00234CEA"/>
    <w:rsid w:val="00234E60"/>
    <w:rsid w:val="002424D1"/>
    <w:rsid w:val="00245498"/>
    <w:rsid w:val="00250B3C"/>
    <w:rsid w:val="002561DC"/>
    <w:rsid w:val="00260D46"/>
    <w:rsid w:val="00261A1F"/>
    <w:rsid w:val="00261C4A"/>
    <w:rsid w:val="00272B80"/>
    <w:rsid w:val="002746C0"/>
    <w:rsid w:val="0027646F"/>
    <w:rsid w:val="00277823"/>
    <w:rsid w:val="00281207"/>
    <w:rsid w:val="00284537"/>
    <w:rsid w:val="002854AE"/>
    <w:rsid w:val="00285F53"/>
    <w:rsid w:val="002871FC"/>
    <w:rsid w:val="002915DD"/>
    <w:rsid w:val="00291B26"/>
    <w:rsid w:val="00292B27"/>
    <w:rsid w:val="00295D4F"/>
    <w:rsid w:val="002977A1"/>
    <w:rsid w:val="002A170E"/>
    <w:rsid w:val="002A3041"/>
    <w:rsid w:val="002A6451"/>
    <w:rsid w:val="002B2E2E"/>
    <w:rsid w:val="002B5297"/>
    <w:rsid w:val="002B7457"/>
    <w:rsid w:val="002C157C"/>
    <w:rsid w:val="002C386E"/>
    <w:rsid w:val="002D0AC0"/>
    <w:rsid w:val="002D1459"/>
    <w:rsid w:val="002D2D84"/>
    <w:rsid w:val="002D3368"/>
    <w:rsid w:val="002D5A85"/>
    <w:rsid w:val="002E3A15"/>
    <w:rsid w:val="002E62FB"/>
    <w:rsid w:val="002E6D1B"/>
    <w:rsid w:val="002E6DD9"/>
    <w:rsid w:val="002F11F3"/>
    <w:rsid w:val="002F4237"/>
    <w:rsid w:val="002F4712"/>
    <w:rsid w:val="002F4F97"/>
    <w:rsid w:val="002F5BBB"/>
    <w:rsid w:val="002F5FDD"/>
    <w:rsid w:val="00300369"/>
    <w:rsid w:val="00300FAF"/>
    <w:rsid w:val="003036F4"/>
    <w:rsid w:val="0030404D"/>
    <w:rsid w:val="00305C83"/>
    <w:rsid w:val="00305FC2"/>
    <w:rsid w:val="0030754A"/>
    <w:rsid w:val="00311849"/>
    <w:rsid w:val="00311A73"/>
    <w:rsid w:val="0031378A"/>
    <w:rsid w:val="00317ADC"/>
    <w:rsid w:val="00321591"/>
    <w:rsid w:val="003216D8"/>
    <w:rsid w:val="00323E5E"/>
    <w:rsid w:val="00324156"/>
    <w:rsid w:val="0032558B"/>
    <w:rsid w:val="0032639C"/>
    <w:rsid w:val="003311FC"/>
    <w:rsid w:val="003334D2"/>
    <w:rsid w:val="00337226"/>
    <w:rsid w:val="00351C03"/>
    <w:rsid w:val="00356060"/>
    <w:rsid w:val="003616B9"/>
    <w:rsid w:val="003626CC"/>
    <w:rsid w:val="00364F9F"/>
    <w:rsid w:val="00373E02"/>
    <w:rsid w:val="00374D64"/>
    <w:rsid w:val="00375437"/>
    <w:rsid w:val="00376236"/>
    <w:rsid w:val="00376999"/>
    <w:rsid w:val="00381024"/>
    <w:rsid w:val="00384602"/>
    <w:rsid w:val="00386876"/>
    <w:rsid w:val="00386A49"/>
    <w:rsid w:val="00387D1D"/>
    <w:rsid w:val="0039064F"/>
    <w:rsid w:val="003909C5"/>
    <w:rsid w:val="00391E03"/>
    <w:rsid w:val="00394F81"/>
    <w:rsid w:val="0039731C"/>
    <w:rsid w:val="003A6694"/>
    <w:rsid w:val="003B014F"/>
    <w:rsid w:val="003B0237"/>
    <w:rsid w:val="003B1E0C"/>
    <w:rsid w:val="003B4D76"/>
    <w:rsid w:val="003B6B8E"/>
    <w:rsid w:val="003D4C33"/>
    <w:rsid w:val="003D7D62"/>
    <w:rsid w:val="003E15AA"/>
    <w:rsid w:val="003E4D81"/>
    <w:rsid w:val="003F293A"/>
    <w:rsid w:val="003F294F"/>
    <w:rsid w:val="003F7185"/>
    <w:rsid w:val="004109CA"/>
    <w:rsid w:val="00413284"/>
    <w:rsid w:val="00414E8A"/>
    <w:rsid w:val="0042038A"/>
    <w:rsid w:val="004257C1"/>
    <w:rsid w:val="00425931"/>
    <w:rsid w:val="00432207"/>
    <w:rsid w:val="00432C87"/>
    <w:rsid w:val="004341A8"/>
    <w:rsid w:val="00434970"/>
    <w:rsid w:val="00435897"/>
    <w:rsid w:val="00436561"/>
    <w:rsid w:val="00436799"/>
    <w:rsid w:val="00436F49"/>
    <w:rsid w:val="0044008A"/>
    <w:rsid w:val="00441205"/>
    <w:rsid w:val="004415B3"/>
    <w:rsid w:val="00441D36"/>
    <w:rsid w:val="00442413"/>
    <w:rsid w:val="004451E9"/>
    <w:rsid w:val="00447CF9"/>
    <w:rsid w:val="004552C5"/>
    <w:rsid w:val="004631D1"/>
    <w:rsid w:val="00463EF9"/>
    <w:rsid w:val="004664F0"/>
    <w:rsid w:val="00472504"/>
    <w:rsid w:val="004725E0"/>
    <w:rsid w:val="00472667"/>
    <w:rsid w:val="00472992"/>
    <w:rsid w:val="004765A5"/>
    <w:rsid w:val="00481EEB"/>
    <w:rsid w:val="004835DF"/>
    <w:rsid w:val="004844DF"/>
    <w:rsid w:val="004870E0"/>
    <w:rsid w:val="00490672"/>
    <w:rsid w:val="00490814"/>
    <w:rsid w:val="004914A4"/>
    <w:rsid w:val="00491D76"/>
    <w:rsid w:val="0049238E"/>
    <w:rsid w:val="00495213"/>
    <w:rsid w:val="00496859"/>
    <w:rsid w:val="004A1D77"/>
    <w:rsid w:val="004A596F"/>
    <w:rsid w:val="004B355C"/>
    <w:rsid w:val="004B3880"/>
    <w:rsid w:val="004B5A96"/>
    <w:rsid w:val="004B6898"/>
    <w:rsid w:val="004B6F37"/>
    <w:rsid w:val="004B7485"/>
    <w:rsid w:val="004C069C"/>
    <w:rsid w:val="004C06D5"/>
    <w:rsid w:val="004C0C55"/>
    <w:rsid w:val="004C1DC2"/>
    <w:rsid w:val="004C5B28"/>
    <w:rsid w:val="004C6134"/>
    <w:rsid w:val="004C7895"/>
    <w:rsid w:val="004D33AD"/>
    <w:rsid w:val="004E13D7"/>
    <w:rsid w:val="004E1AE6"/>
    <w:rsid w:val="004E43D2"/>
    <w:rsid w:val="004E564F"/>
    <w:rsid w:val="004E5CFC"/>
    <w:rsid w:val="004E7157"/>
    <w:rsid w:val="004E7968"/>
    <w:rsid w:val="004F2B91"/>
    <w:rsid w:val="004F4BF3"/>
    <w:rsid w:val="004F645C"/>
    <w:rsid w:val="00502260"/>
    <w:rsid w:val="00502D97"/>
    <w:rsid w:val="00505D35"/>
    <w:rsid w:val="00512C6D"/>
    <w:rsid w:val="005156F1"/>
    <w:rsid w:val="00515853"/>
    <w:rsid w:val="0052005B"/>
    <w:rsid w:val="00521911"/>
    <w:rsid w:val="005234B6"/>
    <w:rsid w:val="00524840"/>
    <w:rsid w:val="00524FD7"/>
    <w:rsid w:val="00533D6E"/>
    <w:rsid w:val="00537056"/>
    <w:rsid w:val="005417CD"/>
    <w:rsid w:val="00541E15"/>
    <w:rsid w:val="005433D1"/>
    <w:rsid w:val="005435AD"/>
    <w:rsid w:val="00543B5C"/>
    <w:rsid w:val="00544490"/>
    <w:rsid w:val="00547EFA"/>
    <w:rsid w:val="00550517"/>
    <w:rsid w:val="005542C8"/>
    <w:rsid w:val="005555E5"/>
    <w:rsid w:val="00555CBC"/>
    <w:rsid w:val="0055719E"/>
    <w:rsid w:val="00560C43"/>
    <w:rsid w:val="00565AF8"/>
    <w:rsid w:val="005667CC"/>
    <w:rsid w:val="0057075F"/>
    <w:rsid w:val="00574068"/>
    <w:rsid w:val="00582FEA"/>
    <w:rsid w:val="00584139"/>
    <w:rsid w:val="00584CA0"/>
    <w:rsid w:val="005871E1"/>
    <w:rsid w:val="005932F0"/>
    <w:rsid w:val="0059472C"/>
    <w:rsid w:val="005A2FDC"/>
    <w:rsid w:val="005A3C31"/>
    <w:rsid w:val="005B3150"/>
    <w:rsid w:val="005B4A84"/>
    <w:rsid w:val="005B612E"/>
    <w:rsid w:val="005B6301"/>
    <w:rsid w:val="005C1C2A"/>
    <w:rsid w:val="005C675B"/>
    <w:rsid w:val="005C6D46"/>
    <w:rsid w:val="005C747B"/>
    <w:rsid w:val="005C7751"/>
    <w:rsid w:val="005D06A7"/>
    <w:rsid w:val="005D1778"/>
    <w:rsid w:val="005D34D7"/>
    <w:rsid w:val="005D6D17"/>
    <w:rsid w:val="005E3147"/>
    <w:rsid w:val="005E4643"/>
    <w:rsid w:val="005E5028"/>
    <w:rsid w:val="005E63BF"/>
    <w:rsid w:val="005E744E"/>
    <w:rsid w:val="005E7C08"/>
    <w:rsid w:val="005F1FF7"/>
    <w:rsid w:val="005F3CB3"/>
    <w:rsid w:val="005F4EAD"/>
    <w:rsid w:val="005F5657"/>
    <w:rsid w:val="005F7BF3"/>
    <w:rsid w:val="005F7CD7"/>
    <w:rsid w:val="006005D5"/>
    <w:rsid w:val="00607C6B"/>
    <w:rsid w:val="00611860"/>
    <w:rsid w:val="00613F5E"/>
    <w:rsid w:val="006159E9"/>
    <w:rsid w:val="006171D8"/>
    <w:rsid w:val="00617387"/>
    <w:rsid w:val="00620226"/>
    <w:rsid w:val="006223FA"/>
    <w:rsid w:val="00623ECC"/>
    <w:rsid w:val="00625276"/>
    <w:rsid w:val="00625FF5"/>
    <w:rsid w:val="0063350A"/>
    <w:rsid w:val="00637AC8"/>
    <w:rsid w:val="006417F8"/>
    <w:rsid w:val="0064428F"/>
    <w:rsid w:val="00644CE4"/>
    <w:rsid w:val="00645E9B"/>
    <w:rsid w:val="006507B3"/>
    <w:rsid w:val="00653B32"/>
    <w:rsid w:val="006550E6"/>
    <w:rsid w:val="00660B51"/>
    <w:rsid w:val="00663ACF"/>
    <w:rsid w:val="00665BA4"/>
    <w:rsid w:val="00666072"/>
    <w:rsid w:val="00670D00"/>
    <w:rsid w:val="00671A0E"/>
    <w:rsid w:val="00671FE5"/>
    <w:rsid w:val="00672B54"/>
    <w:rsid w:val="00673DF3"/>
    <w:rsid w:val="0067567F"/>
    <w:rsid w:val="006757C2"/>
    <w:rsid w:val="006764FA"/>
    <w:rsid w:val="00685656"/>
    <w:rsid w:val="0068666D"/>
    <w:rsid w:val="00690811"/>
    <w:rsid w:val="00691D50"/>
    <w:rsid w:val="0069450D"/>
    <w:rsid w:val="006A1B08"/>
    <w:rsid w:val="006A2C4A"/>
    <w:rsid w:val="006A362B"/>
    <w:rsid w:val="006B2245"/>
    <w:rsid w:val="006B3006"/>
    <w:rsid w:val="006B3626"/>
    <w:rsid w:val="006B67B4"/>
    <w:rsid w:val="006B71A7"/>
    <w:rsid w:val="006B7B70"/>
    <w:rsid w:val="006C21BA"/>
    <w:rsid w:val="006C378F"/>
    <w:rsid w:val="006C40BD"/>
    <w:rsid w:val="006C79E8"/>
    <w:rsid w:val="006D0F81"/>
    <w:rsid w:val="006D145E"/>
    <w:rsid w:val="006D43F0"/>
    <w:rsid w:val="006D53B0"/>
    <w:rsid w:val="006D7D33"/>
    <w:rsid w:val="006E47F0"/>
    <w:rsid w:val="006E6AE4"/>
    <w:rsid w:val="006E6BAB"/>
    <w:rsid w:val="006F05AD"/>
    <w:rsid w:val="006F46B3"/>
    <w:rsid w:val="00704058"/>
    <w:rsid w:val="007045F0"/>
    <w:rsid w:val="007113A5"/>
    <w:rsid w:val="007174BB"/>
    <w:rsid w:val="00720E60"/>
    <w:rsid w:val="007225FA"/>
    <w:rsid w:val="00723AA6"/>
    <w:rsid w:val="007252AA"/>
    <w:rsid w:val="00725BC3"/>
    <w:rsid w:val="0072689A"/>
    <w:rsid w:val="00726E01"/>
    <w:rsid w:val="00730039"/>
    <w:rsid w:val="00732D50"/>
    <w:rsid w:val="00733D9F"/>
    <w:rsid w:val="007342CD"/>
    <w:rsid w:val="00735C7F"/>
    <w:rsid w:val="00736D89"/>
    <w:rsid w:val="00737474"/>
    <w:rsid w:val="007376C7"/>
    <w:rsid w:val="00740FA9"/>
    <w:rsid w:val="00741FED"/>
    <w:rsid w:val="007423EC"/>
    <w:rsid w:val="007451F8"/>
    <w:rsid w:val="00746F17"/>
    <w:rsid w:val="00752010"/>
    <w:rsid w:val="00755647"/>
    <w:rsid w:val="00757848"/>
    <w:rsid w:val="007602FB"/>
    <w:rsid w:val="00762A31"/>
    <w:rsid w:val="00775504"/>
    <w:rsid w:val="00777766"/>
    <w:rsid w:val="00787150"/>
    <w:rsid w:val="00787420"/>
    <w:rsid w:val="00792B53"/>
    <w:rsid w:val="00793E14"/>
    <w:rsid w:val="0079711A"/>
    <w:rsid w:val="007A01DA"/>
    <w:rsid w:val="007A09A4"/>
    <w:rsid w:val="007A09E7"/>
    <w:rsid w:val="007A2645"/>
    <w:rsid w:val="007A3118"/>
    <w:rsid w:val="007A6BBF"/>
    <w:rsid w:val="007A7A66"/>
    <w:rsid w:val="007A7B23"/>
    <w:rsid w:val="007B1758"/>
    <w:rsid w:val="007B2489"/>
    <w:rsid w:val="007B427A"/>
    <w:rsid w:val="007B43B7"/>
    <w:rsid w:val="007B53D3"/>
    <w:rsid w:val="007B7E41"/>
    <w:rsid w:val="007C32B8"/>
    <w:rsid w:val="007C45FD"/>
    <w:rsid w:val="007C5609"/>
    <w:rsid w:val="007D1BCC"/>
    <w:rsid w:val="007D2719"/>
    <w:rsid w:val="007D2FE2"/>
    <w:rsid w:val="007E1582"/>
    <w:rsid w:val="007E2B30"/>
    <w:rsid w:val="007E2B3E"/>
    <w:rsid w:val="007E3E6D"/>
    <w:rsid w:val="007E5EC9"/>
    <w:rsid w:val="007E7C74"/>
    <w:rsid w:val="007F3A41"/>
    <w:rsid w:val="007F4FB8"/>
    <w:rsid w:val="007F769A"/>
    <w:rsid w:val="008005B4"/>
    <w:rsid w:val="008022DB"/>
    <w:rsid w:val="00802EB2"/>
    <w:rsid w:val="00803412"/>
    <w:rsid w:val="00804287"/>
    <w:rsid w:val="0080473C"/>
    <w:rsid w:val="00810138"/>
    <w:rsid w:val="00821551"/>
    <w:rsid w:val="008218A3"/>
    <w:rsid w:val="00821995"/>
    <w:rsid w:val="008230B7"/>
    <w:rsid w:val="00824424"/>
    <w:rsid w:val="008265DE"/>
    <w:rsid w:val="00831FEA"/>
    <w:rsid w:val="008449F5"/>
    <w:rsid w:val="00846DB9"/>
    <w:rsid w:val="008476FE"/>
    <w:rsid w:val="00852BBE"/>
    <w:rsid w:val="00853047"/>
    <w:rsid w:val="00854986"/>
    <w:rsid w:val="00854CEF"/>
    <w:rsid w:val="00854DF7"/>
    <w:rsid w:val="00855F22"/>
    <w:rsid w:val="00857797"/>
    <w:rsid w:val="008614D9"/>
    <w:rsid w:val="0086209A"/>
    <w:rsid w:val="00862730"/>
    <w:rsid w:val="008627FA"/>
    <w:rsid w:val="008638E0"/>
    <w:rsid w:val="00864CAB"/>
    <w:rsid w:val="00872A17"/>
    <w:rsid w:val="00873BB2"/>
    <w:rsid w:val="00873D71"/>
    <w:rsid w:val="00875F2A"/>
    <w:rsid w:val="0087723D"/>
    <w:rsid w:val="008772E6"/>
    <w:rsid w:val="00880F42"/>
    <w:rsid w:val="00882CDD"/>
    <w:rsid w:val="00886C31"/>
    <w:rsid w:val="00891999"/>
    <w:rsid w:val="00894149"/>
    <w:rsid w:val="00897EA3"/>
    <w:rsid w:val="008A0994"/>
    <w:rsid w:val="008A1076"/>
    <w:rsid w:val="008A3C35"/>
    <w:rsid w:val="008A49D5"/>
    <w:rsid w:val="008A4A2C"/>
    <w:rsid w:val="008B08AC"/>
    <w:rsid w:val="008B135F"/>
    <w:rsid w:val="008B171E"/>
    <w:rsid w:val="008B5A68"/>
    <w:rsid w:val="008B765D"/>
    <w:rsid w:val="008C1F12"/>
    <w:rsid w:val="008C252E"/>
    <w:rsid w:val="008C2DDC"/>
    <w:rsid w:val="008C4F91"/>
    <w:rsid w:val="008C6BD5"/>
    <w:rsid w:val="008D04DC"/>
    <w:rsid w:val="008D05C2"/>
    <w:rsid w:val="008D1738"/>
    <w:rsid w:val="008D2938"/>
    <w:rsid w:val="008D32DD"/>
    <w:rsid w:val="008D3A8F"/>
    <w:rsid w:val="008E660E"/>
    <w:rsid w:val="008F1A29"/>
    <w:rsid w:val="008F2954"/>
    <w:rsid w:val="008F3581"/>
    <w:rsid w:val="008F5EAF"/>
    <w:rsid w:val="00903A63"/>
    <w:rsid w:val="009051DF"/>
    <w:rsid w:val="00912091"/>
    <w:rsid w:val="009125F4"/>
    <w:rsid w:val="00913A38"/>
    <w:rsid w:val="00923697"/>
    <w:rsid w:val="00923EA2"/>
    <w:rsid w:val="00924042"/>
    <w:rsid w:val="00927E80"/>
    <w:rsid w:val="00930A2C"/>
    <w:rsid w:val="00932CC2"/>
    <w:rsid w:val="00935C50"/>
    <w:rsid w:val="0093743F"/>
    <w:rsid w:val="00937544"/>
    <w:rsid w:val="009427F5"/>
    <w:rsid w:val="009427F7"/>
    <w:rsid w:val="00944A9D"/>
    <w:rsid w:val="00945E19"/>
    <w:rsid w:val="00946FB4"/>
    <w:rsid w:val="009505B6"/>
    <w:rsid w:val="009512C5"/>
    <w:rsid w:val="00952258"/>
    <w:rsid w:val="00954E30"/>
    <w:rsid w:val="00956614"/>
    <w:rsid w:val="00964858"/>
    <w:rsid w:val="00966973"/>
    <w:rsid w:val="009702B1"/>
    <w:rsid w:val="00973BDE"/>
    <w:rsid w:val="00974EC9"/>
    <w:rsid w:val="0097581B"/>
    <w:rsid w:val="0098251C"/>
    <w:rsid w:val="00982765"/>
    <w:rsid w:val="00983609"/>
    <w:rsid w:val="009851EF"/>
    <w:rsid w:val="00986E78"/>
    <w:rsid w:val="00987D52"/>
    <w:rsid w:val="0099358C"/>
    <w:rsid w:val="00993AB8"/>
    <w:rsid w:val="009963B1"/>
    <w:rsid w:val="009A1E40"/>
    <w:rsid w:val="009A2921"/>
    <w:rsid w:val="009A52B1"/>
    <w:rsid w:val="009A6CBE"/>
    <w:rsid w:val="009B01F3"/>
    <w:rsid w:val="009B2A9A"/>
    <w:rsid w:val="009B3C31"/>
    <w:rsid w:val="009B444B"/>
    <w:rsid w:val="009B49A6"/>
    <w:rsid w:val="009B4E42"/>
    <w:rsid w:val="009B724E"/>
    <w:rsid w:val="009C2307"/>
    <w:rsid w:val="009C4ABF"/>
    <w:rsid w:val="009C6FAA"/>
    <w:rsid w:val="009D2416"/>
    <w:rsid w:val="009D2C83"/>
    <w:rsid w:val="009D5E58"/>
    <w:rsid w:val="009D70E1"/>
    <w:rsid w:val="009D70E7"/>
    <w:rsid w:val="009D7747"/>
    <w:rsid w:val="009E1098"/>
    <w:rsid w:val="009E73EF"/>
    <w:rsid w:val="009E7B12"/>
    <w:rsid w:val="009F1F55"/>
    <w:rsid w:val="009F35D2"/>
    <w:rsid w:val="009F3F42"/>
    <w:rsid w:val="009F66B4"/>
    <w:rsid w:val="00A02335"/>
    <w:rsid w:val="00A02FD2"/>
    <w:rsid w:val="00A032F5"/>
    <w:rsid w:val="00A036CD"/>
    <w:rsid w:val="00A04969"/>
    <w:rsid w:val="00A06120"/>
    <w:rsid w:val="00A06F40"/>
    <w:rsid w:val="00A076D6"/>
    <w:rsid w:val="00A10B8F"/>
    <w:rsid w:val="00A142DD"/>
    <w:rsid w:val="00A15EC1"/>
    <w:rsid w:val="00A16874"/>
    <w:rsid w:val="00A20810"/>
    <w:rsid w:val="00A22C1C"/>
    <w:rsid w:val="00A259CB"/>
    <w:rsid w:val="00A30D48"/>
    <w:rsid w:val="00A31F0F"/>
    <w:rsid w:val="00A36987"/>
    <w:rsid w:val="00A37082"/>
    <w:rsid w:val="00A459F7"/>
    <w:rsid w:val="00A45C92"/>
    <w:rsid w:val="00A507F0"/>
    <w:rsid w:val="00A5169E"/>
    <w:rsid w:val="00A519A1"/>
    <w:rsid w:val="00A522C9"/>
    <w:rsid w:val="00A53348"/>
    <w:rsid w:val="00A564B0"/>
    <w:rsid w:val="00A57257"/>
    <w:rsid w:val="00A5750D"/>
    <w:rsid w:val="00A57AE0"/>
    <w:rsid w:val="00A61D8C"/>
    <w:rsid w:val="00A622B4"/>
    <w:rsid w:val="00A62CAC"/>
    <w:rsid w:val="00A64F90"/>
    <w:rsid w:val="00A6618D"/>
    <w:rsid w:val="00A672A3"/>
    <w:rsid w:val="00A756C6"/>
    <w:rsid w:val="00A7728D"/>
    <w:rsid w:val="00A827FF"/>
    <w:rsid w:val="00A90218"/>
    <w:rsid w:val="00A97752"/>
    <w:rsid w:val="00AA232E"/>
    <w:rsid w:val="00AA2FE5"/>
    <w:rsid w:val="00AA4C41"/>
    <w:rsid w:val="00AB05C6"/>
    <w:rsid w:val="00AB5FE6"/>
    <w:rsid w:val="00AB716D"/>
    <w:rsid w:val="00AC0242"/>
    <w:rsid w:val="00AC3014"/>
    <w:rsid w:val="00AD1C6E"/>
    <w:rsid w:val="00AD31CE"/>
    <w:rsid w:val="00AD5368"/>
    <w:rsid w:val="00AD7C0E"/>
    <w:rsid w:val="00AD7C3A"/>
    <w:rsid w:val="00AE0425"/>
    <w:rsid w:val="00AF0977"/>
    <w:rsid w:val="00AF13D0"/>
    <w:rsid w:val="00AF594A"/>
    <w:rsid w:val="00AF7239"/>
    <w:rsid w:val="00AF7382"/>
    <w:rsid w:val="00B00579"/>
    <w:rsid w:val="00B056EE"/>
    <w:rsid w:val="00B07FB6"/>
    <w:rsid w:val="00B139C6"/>
    <w:rsid w:val="00B177A6"/>
    <w:rsid w:val="00B21233"/>
    <w:rsid w:val="00B25371"/>
    <w:rsid w:val="00B25637"/>
    <w:rsid w:val="00B26B24"/>
    <w:rsid w:val="00B26C92"/>
    <w:rsid w:val="00B30D19"/>
    <w:rsid w:val="00B36B40"/>
    <w:rsid w:val="00B4090E"/>
    <w:rsid w:val="00B4294D"/>
    <w:rsid w:val="00B44C6A"/>
    <w:rsid w:val="00B45E61"/>
    <w:rsid w:val="00B464F4"/>
    <w:rsid w:val="00B46ABA"/>
    <w:rsid w:val="00B474D3"/>
    <w:rsid w:val="00B535ED"/>
    <w:rsid w:val="00B55FD8"/>
    <w:rsid w:val="00B560D0"/>
    <w:rsid w:val="00B60F87"/>
    <w:rsid w:val="00B610F6"/>
    <w:rsid w:val="00B61909"/>
    <w:rsid w:val="00B61C1F"/>
    <w:rsid w:val="00B63942"/>
    <w:rsid w:val="00B63DF9"/>
    <w:rsid w:val="00B65193"/>
    <w:rsid w:val="00B67D96"/>
    <w:rsid w:val="00B70F0B"/>
    <w:rsid w:val="00B77FAF"/>
    <w:rsid w:val="00B8162B"/>
    <w:rsid w:val="00B81B0A"/>
    <w:rsid w:val="00B842DB"/>
    <w:rsid w:val="00B92973"/>
    <w:rsid w:val="00BA0481"/>
    <w:rsid w:val="00BA2DD3"/>
    <w:rsid w:val="00BA4CB6"/>
    <w:rsid w:val="00BB40E2"/>
    <w:rsid w:val="00BB48BA"/>
    <w:rsid w:val="00BB6835"/>
    <w:rsid w:val="00BB770A"/>
    <w:rsid w:val="00BC04FF"/>
    <w:rsid w:val="00BC2D1B"/>
    <w:rsid w:val="00BC7BF7"/>
    <w:rsid w:val="00BD1647"/>
    <w:rsid w:val="00BD2CB0"/>
    <w:rsid w:val="00BD3129"/>
    <w:rsid w:val="00BD3457"/>
    <w:rsid w:val="00BD4728"/>
    <w:rsid w:val="00BD586A"/>
    <w:rsid w:val="00BD6E52"/>
    <w:rsid w:val="00BE1BDD"/>
    <w:rsid w:val="00BE24A2"/>
    <w:rsid w:val="00BE5C72"/>
    <w:rsid w:val="00BF4D3E"/>
    <w:rsid w:val="00BF57A4"/>
    <w:rsid w:val="00C047BB"/>
    <w:rsid w:val="00C10822"/>
    <w:rsid w:val="00C113B9"/>
    <w:rsid w:val="00C122C1"/>
    <w:rsid w:val="00C1395E"/>
    <w:rsid w:val="00C148B2"/>
    <w:rsid w:val="00C16029"/>
    <w:rsid w:val="00C17B0D"/>
    <w:rsid w:val="00C22698"/>
    <w:rsid w:val="00C232FE"/>
    <w:rsid w:val="00C24CF4"/>
    <w:rsid w:val="00C2613E"/>
    <w:rsid w:val="00C27E40"/>
    <w:rsid w:val="00C3027D"/>
    <w:rsid w:val="00C30D78"/>
    <w:rsid w:val="00C37DE4"/>
    <w:rsid w:val="00C40C63"/>
    <w:rsid w:val="00C41EE4"/>
    <w:rsid w:val="00C45DCB"/>
    <w:rsid w:val="00C47928"/>
    <w:rsid w:val="00C5431E"/>
    <w:rsid w:val="00C54942"/>
    <w:rsid w:val="00C61C18"/>
    <w:rsid w:val="00C64CC6"/>
    <w:rsid w:val="00C65CA5"/>
    <w:rsid w:val="00C65D19"/>
    <w:rsid w:val="00C65D6C"/>
    <w:rsid w:val="00C66870"/>
    <w:rsid w:val="00C67D61"/>
    <w:rsid w:val="00C71763"/>
    <w:rsid w:val="00C7500F"/>
    <w:rsid w:val="00C75C9B"/>
    <w:rsid w:val="00C80562"/>
    <w:rsid w:val="00C820F6"/>
    <w:rsid w:val="00C83126"/>
    <w:rsid w:val="00C87351"/>
    <w:rsid w:val="00C9081F"/>
    <w:rsid w:val="00C909BF"/>
    <w:rsid w:val="00C91950"/>
    <w:rsid w:val="00C92459"/>
    <w:rsid w:val="00C92A30"/>
    <w:rsid w:val="00C92E22"/>
    <w:rsid w:val="00C932E8"/>
    <w:rsid w:val="00C93BC0"/>
    <w:rsid w:val="00C951B9"/>
    <w:rsid w:val="00CA0FB9"/>
    <w:rsid w:val="00CA5EAF"/>
    <w:rsid w:val="00CA750A"/>
    <w:rsid w:val="00CB0F07"/>
    <w:rsid w:val="00CB1C30"/>
    <w:rsid w:val="00CB2757"/>
    <w:rsid w:val="00CB4306"/>
    <w:rsid w:val="00CB4351"/>
    <w:rsid w:val="00CB54D8"/>
    <w:rsid w:val="00CC5B42"/>
    <w:rsid w:val="00CC6648"/>
    <w:rsid w:val="00CC72F4"/>
    <w:rsid w:val="00CD15DC"/>
    <w:rsid w:val="00CD234F"/>
    <w:rsid w:val="00CD2E67"/>
    <w:rsid w:val="00CD6EE8"/>
    <w:rsid w:val="00CE06CC"/>
    <w:rsid w:val="00CE175E"/>
    <w:rsid w:val="00CE1E7E"/>
    <w:rsid w:val="00CE23CD"/>
    <w:rsid w:val="00CE5F36"/>
    <w:rsid w:val="00CE7EB6"/>
    <w:rsid w:val="00CF03DE"/>
    <w:rsid w:val="00CF04A0"/>
    <w:rsid w:val="00CF04C0"/>
    <w:rsid w:val="00CF0EDC"/>
    <w:rsid w:val="00CF19C7"/>
    <w:rsid w:val="00CF261A"/>
    <w:rsid w:val="00CF26AC"/>
    <w:rsid w:val="00D00014"/>
    <w:rsid w:val="00D02383"/>
    <w:rsid w:val="00D02F68"/>
    <w:rsid w:val="00D05FAA"/>
    <w:rsid w:val="00D11780"/>
    <w:rsid w:val="00D15197"/>
    <w:rsid w:val="00D1565D"/>
    <w:rsid w:val="00D161F7"/>
    <w:rsid w:val="00D163B6"/>
    <w:rsid w:val="00D17376"/>
    <w:rsid w:val="00D21C00"/>
    <w:rsid w:val="00D317A0"/>
    <w:rsid w:val="00D321D1"/>
    <w:rsid w:val="00D35A8D"/>
    <w:rsid w:val="00D3762A"/>
    <w:rsid w:val="00D43AAE"/>
    <w:rsid w:val="00D519E7"/>
    <w:rsid w:val="00D542CE"/>
    <w:rsid w:val="00D54626"/>
    <w:rsid w:val="00D57521"/>
    <w:rsid w:val="00D576E6"/>
    <w:rsid w:val="00D57FFB"/>
    <w:rsid w:val="00D64AD0"/>
    <w:rsid w:val="00D64BCF"/>
    <w:rsid w:val="00D67097"/>
    <w:rsid w:val="00D674CA"/>
    <w:rsid w:val="00D67BA9"/>
    <w:rsid w:val="00D67D68"/>
    <w:rsid w:val="00D712CE"/>
    <w:rsid w:val="00D72708"/>
    <w:rsid w:val="00D72EB9"/>
    <w:rsid w:val="00D7476A"/>
    <w:rsid w:val="00D74AA0"/>
    <w:rsid w:val="00D822C3"/>
    <w:rsid w:val="00D8319B"/>
    <w:rsid w:val="00D83FE0"/>
    <w:rsid w:val="00D85664"/>
    <w:rsid w:val="00D868CE"/>
    <w:rsid w:val="00D8734E"/>
    <w:rsid w:val="00D9296E"/>
    <w:rsid w:val="00D946A6"/>
    <w:rsid w:val="00D955FB"/>
    <w:rsid w:val="00D962AE"/>
    <w:rsid w:val="00DA4909"/>
    <w:rsid w:val="00DA72DB"/>
    <w:rsid w:val="00DB2826"/>
    <w:rsid w:val="00DB3C7A"/>
    <w:rsid w:val="00DC083D"/>
    <w:rsid w:val="00DC4EC8"/>
    <w:rsid w:val="00DC4FE3"/>
    <w:rsid w:val="00DC6923"/>
    <w:rsid w:val="00DD0287"/>
    <w:rsid w:val="00DD1763"/>
    <w:rsid w:val="00DD4EA4"/>
    <w:rsid w:val="00DD56AA"/>
    <w:rsid w:val="00DD68B5"/>
    <w:rsid w:val="00DD6C4F"/>
    <w:rsid w:val="00DE3794"/>
    <w:rsid w:val="00DF0477"/>
    <w:rsid w:val="00DF0524"/>
    <w:rsid w:val="00DF23F6"/>
    <w:rsid w:val="00DF5C2B"/>
    <w:rsid w:val="00DF74ED"/>
    <w:rsid w:val="00DF7725"/>
    <w:rsid w:val="00DF7A66"/>
    <w:rsid w:val="00DF7BB8"/>
    <w:rsid w:val="00E00DF0"/>
    <w:rsid w:val="00E0262A"/>
    <w:rsid w:val="00E02C64"/>
    <w:rsid w:val="00E0386B"/>
    <w:rsid w:val="00E10792"/>
    <w:rsid w:val="00E115F7"/>
    <w:rsid w:val="00E11858"/>
    <w:rsid w:val="00E14A35"/>
    <w:rsid w:val="00E159E2"/>
    <w:rsid w:val="00E2183B"/>
    <w:rsid w:val="00E236AB"/>
    <w:rsid w:val="00E26722"/>
    <w:rsid w:val="00E32876"/>
    <w:rsid w:val="00E33F53"/>
    <w:rsid w:val="00E341F0"/>
    <w:rsid w:val="00E343A5"/>
    <w:rsid w:val="00E36527"/>
    <w:rsid w:val="00E36AF8"/>
    <w:rsid w:val="00E37FA6"/>
    <w:rsid w:val="00E4001A"/>
    <w:rsid w:val="00E4054A"/>
    <w:rsid w:val="00E41B97"/>
    <w:rsid w:val="00E44AF6"/>
    <w:rsid w:val="00E46E53"/>
    <w:rsid w:val="00E46FFC"/>
    <w:rsid w:val="00E47071"/>
    <w:rsid w:val="00E51201"/>
    <w:rsid w:val="00E5477A"/>
    <w:rsid w:val="00E551DF"/>
    <w:rsid w:val="00E6003D"/>
    <w:rsid w:val="00E63396"/>
    <w:rsid w:val="00E67569"/>
    <w:rsid w:val="00E716B9"/>
    <w:rsid w:val="00E73486"/>
    <w:rsid w:val="00E73EE3"/>
    <w:rsid w:val="00E75536"/>
    <w:rsid w:val="00E80B99"/>
    <w:rsid w:val="00E87DB2"/>
    <w:rsid w:val="00E9199E"/>
    <w:rsid w:val="00E93A04"/>
    <w:rsid w:val="00E954E1"/>
    <w:rsid w:val="00E9682D"/>
    <w:rsid w:val="00EA02AB"/>
    <w:rsid w:val="00EA1241"/>
    <w:rsid w:val="00EA7D69"/>
    <w:rsid w:val="00EA7DAC"/>
    <w:rsid w:val="00EB1296"/>
    <w:rsid w:val="00EB3B95"/>
    <w:rsid w:val="00EB3C05"/>
    <w:rsid w:val="00EB5D9D"/>
    <w:rsid w:val="00EB5E71"/>
    <w:rsid w:val="00EB6266"/>
    <w:rsid w:val="00EC082E"/>
    <w:rsid w:val="00EC1555"/>
    <w:rsid w:val="00ED1930"/>
    <w:rsid w:val="00ED2312"/>
    <w:rsid w:val="00ED7325"/>
    <w:rsid w:val="00EE1D81"/>
    <w:rsid w:val="00EE437F"/>
    <w:rsid w:val="00EE52AB"/>
    <w:rsid w:val="00EE64CE"/>
    <w:rsid w:val="00EF13F7"/>
    <w:rsid w:val="00EF2EC2"/>
    <w:rsid w:val="00EF52BA"/>
    <w:rsid w:val="00EF6040"/>
    <w:rsid w:val="00EF607C"/>
    <w:rsid w:val="00F01962"/>
    <w:rsid w:val="00F0248C"/>
    <w:rsid w:val="00F06E9B"/>
    <w:rsid w:val="00F07C8B"/>
    <w:rsid w:val="00F13E8A"/>
    <w:rsid w:val="00F17C52"/>
    <w:rsid w:val="00F26AB2"/>
    <w:rsid w:val="00F30E2C"/>
    <w:rsid w:val="00F324C1"/>
    <w:rsid w:val="00F327AC"/>
    <w:rsid w:val="00F33247"/>
    <w:rsid w:val="00F35017"/>
    <w:rsid w:val="00F421D1"/>
    <w:rsid w:val="00F42284"/>
    <w:rsid w:val="00F423B6"/>
    <w:rsid w:val="00F44FD1"/>
    <w:rsid w:val="00F46E84"/>
    <w:rsid w:val="00F503DB"/>
    <w:rsid w:val="00F507C4"/>
    <w:rsid w:val="00F54395"/>
    <w:rsid w:val="00F55A68"/>
    <w:rsid w:val="00F572D6"/>
    <w:rsid w:val="00F57465"/>
    <w:rsid w:val="00F57A4B"/>
    <w:rsid w:val="00F57EE9"/>
    <w:rsid w:val="00F6039F"/>
    <w:rsid w:val="00F605BA"/>
    <w:rsid w:val="00F62207"/>
    <w:rsid w:val="00F62799"/>
    <w:rsid w:val="00F63682"/>
    <w:rsid w:val="00F6420E"/>
    <w:rsid w:val="00F65E60"/>
    <w:rsid w:val="00F66584"/>
    <w:rsid w:val="00F702ED"/>
    <w:rsid w:val="00F85C12"/>
    <w:rsid w:val="00F86987"/>
    <w:rsid w:val="00F86D5E"/>
    <w:rsid w:val="00F87376"/>
    <w:rsid w:val="00F91747"/>
    <w:rsid w:val="00F920E4"/>
    <w:rsid w:val="00F928CD"/>
    <w:rsid w:val="00F946C0"/>
    <w:rsid w:val="00FA1276"/>
    <w:rsid w:val="00FA485C"/>
    <w:rsid w:val="00FA4B48"/>
    <w:rsid w:val="00FB0C98"/>
    <w:rsid w:val="00FB2666"/>
    <w:rsid w:val="00FB503B"/>
    <w:rsid w:val="00FC721E"/>
    <w:rsid w:val="00FD276A"/>
    <w:rsid w:val="00FD4CEA"/>
    <w:rsid w:val="00FE1CC6"/>
    <w:rsid w:val="00FE3BE3"/>
    <w:rsid w:val="00FE54F2"/>
    <w:rsid w:val="00FE61D2"/>
    <w:rsid w:val="00FE7B7F"/>
    <w:rsid w:val="00FE7C97"/>
    <w:rsid w:val="00FF1062"/>
    <w:rsid w:val="00FF284F"/>
    <w:rsid w:val="00FF4CCD"/>
    <w:rsid w:val="00FF578E"/>
    <w:rsid w:val="00FF6701"/>
  </w:rsids>
  <m:mathPr>
    <m:mathFont m:val="Cambria Math"/>
    <m:brkBin m:val="before"/>
    <m:brkBinSub m:val="--"/>
    <m:smallFrac m:val="0"/>
    <m:dispDef/>
    <m:lMargin m:val="0"/>
    <m:rMargin m:val="0"/>
    <m:defJc m:val="centerGroup"/>
    <m:wrapIndent m:val="1440"/>
    <m:intLim m:val="subSup"/>
    <m:naryLim m:val="undOvr"/>
  </m:mathPr>
  <w:themeFontLang w:val="en-AU"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850B7"/>
  <w15:chartTrackingRefBased/>
  <w15:docId w15:val="{71C14F21-FEE9-482C-938D-CDE979A43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451E9"/>
    <w:rPr>
      <w:lang w:val="en-US"/>
    </w:rPr>
  </w:style>
  <w:style w:type="paragraph" w:styleId="Heading1">
    <w:name w:val="heading 1"/>
    <w:basedOn w:val="Normal"/>
    <w:link w:val="Heading1Char"/>
    <w:uiPriority w:val="9"/>
    <w:qFormat/>
    <w:rsid w:val="004451E9"/>
    <w:pPr>
      <w:keepNext/>
      <w:spacing w:before="240" w:after="120" w:line="240" w:lineRule="auto"/>
      <w:outlineLvl w:val="0"/>
    </w:pPr>
    <w:rPr>
      <w:rFonts w:ascii="Times New Roman Bold" w:eastAsia="Times New Roman" w:hAnsi="Times New Roman Bold" w:cs="Times New Roman"/>
      <w:b/>
      <w:bCs/>
      <w:caps/>
      <w:kern w:val="36"/>
      <w:sz w:val="28"/>
      <w:szCs w:val="48"/>
    </w:rPr>
  </w:style>
  <w:style w:type="paragraph" w:styleId="Heading2">
    <w:name w:val="heading 2"/>
    <w:basedOn w:val="Normal"/>
    <w:next w:val="Normal"/>
    <w:link w:val="Heading2Char"/>
    <w:uiPriority w:val="9"/>
    <w:unhideWhenUsed/>
    <w:qFormat/>
    <w:rsid w:val="004451E9"/>
    <w:pPr>
      <w:keepNext/>
      <w:spacing w:before="240" w:after="120" w:line="240" w:lineRule="auto"/>
      <w:outlineLvl w:val="1"/>
    </w:pPr>
    <w:rPr>
      <w:rFonts w:ascii="Times New Roman Bold" w:eastAsiaTheme="majorEastAsia" w:hAnsi="Times New Roman Bold" w:cstheme="majorBidi"/>
      <w:b/>
      <w:bCs/>
      <w:caps/>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51E9"/>
    <w:rPr>
      <w:rFonts w:ascii="Times New Roman Bold" w:eastAsia="Times New Roman" w:hAnsi="Times New Roman Bold" w:cs="Times New Roman"/>
      <w:b/>
      <w:bCs/>
      <w:caps/>
      <w:kern w:val="36"/>
      <w:sz w:val="28"/>
      <w:szCs w:val="48"/>
      <w:lang w:val="en-US"/>
    </w:rPr>
  </w:style>
  <w:style w:type="character" w:customStyle="1" w:styleId="Heading2Char">
    <w:name w:val="Heading 2 Char"/>
    <w:basedOn w:val="DefaultParagraphFont"/>
    <w:link w:val="Heading2"/>
    <w:uiPriority w:val="9"/>
    <w:rsid w:val="004451E9"/>
    <w:rPr>
      <w:rFonts w:ascii="Times New Roman Bold" w:eastAsiaTheme="majorEastAsia" w:hAnsi="Times New Roman Bold" w:cstheme="majorBidi"/>
      <w:b/>
      <w:bCs/>
      <w:caps/>
      <w:color w:val="000000" w:themeColor="text1"/>
      <w:sz w:val="24"/>
      <w:szCs w:val="26"/>
      <w:lang w:val="en-US"/>
    </w:rPr>
  </w:style>
  <w:style w:type="character" w:styleId="CommentReference">
    <w:name w:val="annotation reference"/>
    <w:basedOn w:val="DefaultParagraphFont"/>
    <w:unhideWhenUsed/>
    <w:rsid w:val="004451E9"/>
    <w:rPr>
      <w:sz w:val="16"/>
      <w:szCs w:val="16"/>
    </w:rPr>
  </w:style>
  <w:style w:type="paragraph" w:styleId="CommentText">
    <w:name w:val="annotation text"/>
    <w:basedOn w:val="Normal"/>
    <w:link w:val="CommentTextChar"/>
    <w:uiPriority w:val="99"/>
    <w:unhideWhenUsed/>
    <w:rsid w:val="004451E9"/>
    <w:pPr>
      <w:spacing w:line="240" w:lineRule="auto"/>
    </w:pPr>
    <w:rPr>
      <w:sz w:val="20"/>
      <w:szCs w:val="20"/>
    </w:rPr>
  </w:style>
  <w:style w:type="character" w:customStyle="1" w:styleId="CommentTextChar">
    <w:name w:val="Comment Text Char"/>
    <w:basedOn w:val="DefaultParagraphFont"/>
    <w:link w:val="CommentText"/>
    <w:uiPriority w:val="99"/>
    <w:rsid w:val="004451E9"/>
    <w:rPr>
      <w:sz w:val="20"/>
      <w:szCs w:val="20"/>
      <w:lang w:val="en-US"/>
    </w:rPr>
  </w:style>
  <w:style w:type="paragraph" w:styleId="BalloonText">
    <w:name w:val="Balloon Text"/>
    <w:basedOn w:val="Normal"/>
    <w:link w:val="BalloonTextChar"/>
    <w:uiPriority w:val="99"/>
    <w:semiHidden/>
    <w:unhideWhenUsed/>
    <w:rsid w:val="004451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51E9"/>
    <w:rPr>
      <w:rFonts w:ascii="Segoe UI" w:hAnsi="Segoe UI" w:cs="Segoe UI"/>
      <w:sz w:val="18"/>
      <w:szCs w:val="18"/>
      <w:lang w:val="en-US"/>
    </w:rPr>
  </w:style>
  <w:style w:type="paragraph" w:styleId="ListParagraph">
    <w:name w:val="List Paragraph"/>
    <w:basedOn w:val="Normal"/>
    <w:link w:val="ListParagraphChar"/>
    <w:uiPriority w:val="34"/>
    <w:qFormat/>
    <w:rsid w:val="004451E9"/>
    <w:pPr>
      <w:ind w:left="720"/>
      <w:contextualSpacing/>
    </w:pPr>
  </w:style>
  <w:style w:type="character" w:customStyle="1" w:styleId="ListParagraphChar">
    <w:name w:val="List Paragraph Char"/>
    <w:basedOn w:val="DefaultParagraphFont"/>
    <w:link w:val="ListParagraph"/>
    <w:uiPriority w:val="34"/>
    <w:rsid w:val="004451E9"/>
    <w:rPr>
      <w:lang w:val="en-US"/>
    </w:rPr>
  </w:style>
  <w:style w:type="paragraph" w:customStyle="1" w:styleId="Default">
    <w:name w:val="Default"/>
    <w:rsid w:val="004451E9"/>
    <w:pPr>
      <w:autoSpaceDE w:val="0"/>
      <w:autoSpaceDN w:val="0"/>
      <w:adjustRightInd w:val="0"/>
      <w:spacing w:after="0" w:line="240" w:lineRule="auto"/>
    </w:pPr>
    <w:rPr>
      <w:rFonts w:ascii="Arial" w:hAnsi="Arial" w:cs="Arial"/>
      <w:color w:val="000000"/>
      <w:sz w:val="24"/>
      <w:szCs w:val="24"/>
      <w:lang w:val="en-US"/>
    </w:rPr>
  </w:style>
  <w:style w:type="table" w:styleId="TableGrid">
    <w:name w:val="Table Grid"/>
    <w:basedOn w:val="TableNormal"/>
    <w:uiPriority w:val="39"/>
    <w:rsid w:val="004451E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451E9"/>
    <w:rPr>
      <w:i/>
      <w:iCs/>
    </w:rPr>
  </w:style>
  <w:style w:type="character" w:customStyle="1" w:styleId="CommentSubjectChar">
    <w:name w:val="Comment Subject Char"/>
    <w:basedOn w:val="CommentTextChar"/>
    <w:link w:val="CommentSubject"/>
    <w:uiPriority w:val="99"/>
    <w:semiHidden/>
    <w:rsid w:val="004451E9"/>
    <w:rPr>
      <w:b/>
      <w:bCs/>
      <w:sz w:val="20"/>
      <w:szCs w:val="20"/>
      <w:lang w:val="en-US"/>
    </w:rPr>
  </w:style>
  <w:style w:type="paragraph" w:styleId="CommentSubject">
    <w:name w:val="annotation subject"/>
    <w:basedOn w:val="CommentText"/>
    <w:next w:val="CommentText"/>
    <w:link w:val="CommentSubjectChar"/>
    <w:uiPriority w:val="99"/>
    <w:semiHidden/>
    <w:unhideWhenUsed/>
    <w:rsid w:val="004451E9"/>
    <w:rPr>
      <w:b/>
      <w:bCs/>
    </w:rPr>
  </w:style>
  <w:style w:type="character" w:customStyle="1" w:styleId="CommentSubjectChar1">
    <w:name w:val="Comment Subject Char1"/>
    <w:basedOn w:val="CommentTextChar"/>
    <w:uiPriority w:val="99"/>
    <w:semiHidden/>
    <w:rsid w:val="004451E9"/>
    <w:rPr>
      <w:b/>
      <w:bCs/>
      <w:sz w:val="20"/>
      <w:szCs w:val="20"/>
      <w:lang w:val="en-US"/>
    </w:rPr>
  </w:style>
  <w:style w:type="character" w:styleId="Hyperlink">
    <w:name w:val="Hyperlink"/>
    <w:basedOn w:val="DefaultParagraphFont"/>
    <w:uiPriority w:val="99"/>
    <w:unhideWhenUsed/>
    <w:rsid w:val="004451E9"/>
    <w:rPr>
      <w:color w:val="0000FF"/>
      <w:u w:val="single"/>
    </w:rPr>
  </w:style>
  <w:style w:type="paragraph" w:customStyle="1" w:styleId="EndNoteBibliographyTitle">
    <w:name w:val="EndNote Bibliography Title"/>
    <w:basedOn w:val="Normal"/>
    <w:link w:val="EndNoteBibliographyTitleChar"/>
    <w:rsid w:val="004451E9"/>
    <w:pPr>
      <w:spacing w:after="0"/>
      <w:jc w:val="center"/>
    </w:pPr>
    <w:rPr>
      <w:rFonts w:ascii="Calibri" w:hAnsi="Calibri" w:cs="Calibri"/>
      <w:noProof/>
    </w:rPr>
  </w:style>
  <w:style w:type="character" w:customStyle="1" w:styleId="EndNoteBibliographyTitleChar">
    <w:name w:val="EndNote Bibliography Title Char"/>
    <w:basedOn w:val="ListParagraphChar"/>
    <w:link w:val="EndNoteBibliographyTitle"/>
    <w:rsid w:val="004451E9"/>
    <w:rPr>
      <w:rFonts w:ascii="Calibri" w:hAnsi="Calibri" w:cs="Calibri"/>
      <w:noProof/>
      <w:lang w:val="en-US"/>
    </w:rPr>
  </w:style>
  <w:style w:type="paragraph" w:customStyle="1" w:styleId="EndNoteBibliography">
    <w:name w:val="EndNote Bibliography"/>
    <w:basedOn w:val="Normal"/>
    <w:link w:val="EndNoteBibliographyChar"/>
    <w:rsid w:val="004451E9"/>
    <w:pPr>
      <w:spacing w:line="240" w:lineRule="auto"/>
    </w:pPr>
    <w:rPr>
      <w:rFonts w:ascii="Calibri" w:hAnsi="Calibri" w:cs="Calibri"/>
      <w:noProof/>
    </w:rPr>
  </w:style>
  <w:style w:type="character" w:customStyle="1" w:styleId="EndNoteBibliographyChar">
    <w:name w:val="EndNote Bibliography Char"/>
    <w:basedOn w:val="ListParagraphChar"/>
    <w:link w:val="EndNoteBibliography"/>
    <w:rsid w:val="004451E9"/>
    <w:rPr>
      <w:rFonts w:ascii="Calibri" w:hAnsi="Calibri" w:cs="Calibri"/>
      <w:noProof/>
      <w:lang w:val="en-US"/>
    </w:rPr>
  </w:style>
  <w:style w:type="paragraph" w:styleId="Header">
    <w:name w:val="header"/>
    <w:basedOn w:val="Normal"/>
    <w:link w:val="HeaderChar"/>
    <w:uiPriority w:val="99"/>
    <w:unhideWhenUsed/>
    <w:rsid w:val="004451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51E9"/>
    <w:rPr>
      <w:lang w:val="en-US"/>
    </w:rPr>
  </w:style>
  <w:style w:type="paragraph" w:styleId="Footer">
    <w:name w:val="footer"/>
    <w:basedOn w:val="Normal"/>
    <w:link w:val="FooterChar"/>
    <w:uiPriority w:val="99"/>
    <w:unhideWhenUsed/>
    <w:rsid w:val="004451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51E9"/>
    <w:rPr>
      <w:lang w:val="en-US"/>
    </w:rPr>
  </w:style>
  <w:style w:type="paragraph" w:customStyle="1" w:styleId="Style1">
    <w:name w:val="Style1"/>
    <w:basedOn w:val="Heading2"/>
    <w:qFormat/>
    <w:rsid w:val="004451E9"/>
    <w:rPr>
      <w:rFonts w:cs="Times New Roman"/>
      <w:caps w:val="0"/>
      <w:szCs w:val="24"/>
    </w:rPr>
  </w:style>
  <w:style w:type="paragraph" w:customStyle="1" w:styleId="BodyText1">
    <w:name w:val="Body Text1"/>
    <w:basedOn w:val="Normal"/>
    <w:rsid w:val="004451E9"/>
    <w:pPr>
      <w:spacing w:after="120" w:line="300" w:lineRule="auto"/>
    </w:pPr>
    <w:rPr>
      <w:rFonts w:ascii="Times New Roman" w:hAnsi="Times New Roman" w:cs="Times New Roman"/>
      <w:color w:val="000000" w:themeColor="text1"/>
      <w:sz w:val="24"/>
      <w:szCs w:val="24"/>
    </w:rPr>
  </w:style>
  <w:style w:type="character" w:styleId="IntenseEmphasis">
    <w:name w:val="Intense Emphasis"/>
    <w:basedOn w:val="DefaultParagraphFont"/>
    <w:uiPriority w:val="21"/>
    <w:qFormat/>
    <w:rsid w:val="004451E9"/>
    <w:rPr>
      <w:b/>
      <w:bCs/>
      <w:i/>
      <w:iCs/>
      <w:color w:val="4472C4" w:themeColor="accent1"/>
    </w:rPr>
  </w:style>
  <w:style w:type="paragraph" w:customStyle="1" w:styleId="C-TableText">
    <w:name w:val="C-Table Text"/>
    <w:rsid w:val="004451E9"/>
    <w:pPr>
      <w:spacing w:before="60" w:after="60" w:line="240" w:lineRule="auto"/>
    </w:pPr>
    <w:rPr>
      <w:rFonts w:ascii="Times New Roman" w:eastAsia="Times New Roman" w:hAnsi="Times New Roman" w:cs="Times New Roman"/>
      <w:szCs w:val="20"/>
      <w:lang w:val="en-US"/>
    </w:rPr>
  </w:style>
  <w:style w:type="paragraph" w:customStyle="1" w:styleId="C-TableHeader">
    <w:name w:val="C-Table Header"/>
    <w:next w:val="C-TableText"/>
    <w:rsid w:val="004451E9"/>
    <w:pPr>
      <w:keepNext/>
      <w:spacing w:before="60" w:after="60" w:line="240" w:lineRule="auto"/>
    </w:pPr>
    <w:rPr>
      <w:rFonts w:ascii="Times New Roman" w:eastAsia="Times New Roman" w:hAnsi="Times New Roman" w:cs="Times New Roman"/>
      <w:b/>
      <w:szCs w:val="20"/>
      <w:lang w:val="en-US"/>
    </w:rPr>
  </w:style>
  <w:style w:type="paragraph" w:customStyle="1" w:styleId="C-Bullet">
    <w:name w:val="C-Bullet"/>
    <w:rsid w:val="004451E9"/>
    <w:pPr>
      <w:numPr>
        <w:numId w:val="1"/>
      </w:numPr>
      <w:spacing w:before="120" w:after="120" w:line="280" w:lineRule="atLeast"/>
    </w:pPr>
    <w:rPr>
      <w:rFonts w:ascii="Times New Roman" w:eastAsia="Times New Roman" w:hAnsi="Times New Roman" w:cs="Times New Roman"/>
      <w:sz w:val="24"/>
      <w:szCs w:val="20"/>
      <w:lang w:val="en-US"/>
    </w:rPr>
  </w:style>
  <w:style w:type="paragraph" w:customStyle="1" w:styleId="C-BulletIndented">
    <w:name w:val="C-Bullet Indented"/>
    <w:rsid w:val="004451E9"/>
    <w:pPr>
      <w:numPr>
        <w:ilvl w:val="1"/>
        <w:numId w:val="1"/>
      </w:numPr>
      <w:spacing w:before="120" w:after="120" w:line="280" w:lineRule="atLeast"/>
    </w:pPr>
    <w:rPr>
      <w:rFonts w:ascii="Times New Roman" w:eastAsia="Times New Roman" w:hAnsi="Times New Roman" w:cs="Arial"/>
      <w:sz w:val="24"/>
      <w:szCs w:val="20"/>
      <w:lang w:val="en-US"/>
    </w:rPr>
  </w:style>
  <w:style w:type="paragraph" w:styleId="NormalWeb">
    <w:name w:val="Normal (Web)"/>
    <w:basedOn w:val="Normal"/>
    <w:uiPriority w:val="99"/>
    <w:unhideWhenUsed/>
    <w:rsid w:val="004451E9"/>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Revision">
    <w:name w:val="Revision"/>
    <w:hidden/>
    <w:uiPriority w:val="99"/>
    <w:semiHidden/>
    <w:rsid w:val="004451E9"/>
    <w:pPr>
      <w:spacing w:after="0" w:line="240" w:lineRule="auto"/>
    </w:pPr>
    <w:rPr>
      <w:lang w:val="en-US"/>
    </w:rPr>
  </w:style>
  <w:style w:type="character" w:customStyle="1" w:styleId="C-TableCallout">
    <w:name w:val="C-Table Callout"/>
    <w:rsid w:val="004451E9"/>
    <w:rPr>
      <w:rFonts w:ascii="Times New Roman" w:hAnsi="Times New Roman"/>
      <w:dstrike w:val="0"/>
      <w:color w:val="auto"/>
      <w:spacing w:val="0"/>
      <w:w w:val="100"/>
      <w:position w:val="-1"/>
      <w:sz w:val="22"/>
      <w:szCs w:val="22"/>
      <w:u w:val="none"/>
      <w:effect w:val="none"/>
      <w:vertAlign w:val="superscript"/>
      <w:em w:val="none"/>
    </w:rPr>
  </w:style>
  <w:style w:type="character" w:styleId="SubtleEmphasis">
    <w:name w:val="Subtle Emphasis"/>
    <w:basedOn w:val="DefaultParagraphFont"/>
    <w:uiPriority w:val="19"/>
    <w:qFormat/>
    <w:rsid w:val="004451E9"/>
    <w:rPr>
      <w:i/>
      <w:iCs/>
      <w:color w:val="404040" w:themeColor="text1" w:themeTint="BF"/>
    </w:rPr>
  </w:style>
  <w:style w:type="character" w:customStyle="1" w:styleId="spelle">
    <w:name w:val="spelle"/>
    <w:basedOn w:val="DefaultParagraphFont"/>
    <w:rsid w:val="004451E9"/>
  </w:style>
  <w:style w:type="character" w:customStyle="1" w:styleId="author-sup-separator">
    <w:name w:val="author-sup-separator"/>
    <w:basedOn w:val="DefaultParagraphFont"/>
    <w:rsid w:val="004451E9"/>
  </w:style>
  <w:style w:type="character" w:customStyle="1" w:styleId="comma">
    <w:name w:val="comma"/>
    <w:basedOn w:val="DefaultParagraphFont"/>
    <w:rsid w:val="004451E9"/>
  </w:style>
  <w:style w:type="character" w:styleId="UnresolvedMention">
    <w:name w:val="Unresolved Mention"/>
    <w:basedOn w:val="DefaultParagraphFont"/>
    <w:uiPriority w:val="99"/>
    <w:semiHidden/>
    <w:unhideWhenUsed/>
    <w:rsid w:val="00E341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78023">
      <w:bodyDiv w:val="1"/>
      <w:marLeft w:val="0"/>
      <w:marRight w:val="0"/>
      <w:marTop w:val="0"/>
      <w:marBottom w:val="0"/>
      <w:divBdr>
        <w:top w:val="none" w:sz="0" w:space="0" w:color="auto"/>
        <w:left w:val="none" w:sz="0" w:space="0" w:color="auto"/>
        <w:bottom w:val="none" w:sz="0" w:space="0" w:color="auto"/>
        <w:right w:val="none" w:sz="0" w:space="0" w:color="auto"/>
      </w:divBdr>
    </w:div>
    <w:div w:id="550121574">
      <w:bodyDiv w:val="1"/>
      <w:marLeft w:val="0"/>
      <w:marRight w:val="0"/>
      <w:marTop w:val="0"/>
      <w:marBottom w:val="0"/>
      <w:divBdr>
        <w:top w:val="none" w:sz="0" w:space="0" w:color="auto"/>
        <w:left w:val="none" w:sz="0" w:space="0" w:color="auto"/>
        <w:bottom w:val="none" w:sz="0" w:space="0" w:color="auto"/>
        <w:right w:val="none" w:sz="0" w:space="0" w:color="auto"/>
      </w:divBdr>
      <w:divsChild>
        <w:div w:id="1236671949">
          <w:marLeft w:val="432"/>
          <w:marRight w:val="0"/>
          <w:marTop w:val="0"/>
          <w:marBottom w:val="120"/>
          <w:divBdr>
            <w:top w:val="none" w:sz="0" w:space="0" w:color="auto"/>
            <w:left w:val="none" w:sz="0" w:space="0" w:color="auto"/>
            <w:bottom w:val="none" w:sz="0" w:space="0" w:color="auto"/>
            <w:right w:val="none" w:sz="0" w:space="0" w:color="auto"/>
          </w:divBdr>
        </w:div>
        <w:div w:id="583148192">
          <w:marLeft w:val="850"/>
          <w:marRight w:val="0"/>
          <w:marTop w:val="0"/>
          <w:marBottom w:val="120"/>
          <w:divBdr>
            <w:top w:val="none" w:sz="0" w:space="0" w:color="auto"/>
            <w:left w:val="none" w:sz="0" w:space="0" w:color="auto"/>
            <w:bottom w:val="none" w:sz="0" w:space="0" w:color="auto"/>
            <w:right w:val="none" w:sz="0" w:space="0" w:color="auto"/>
          </w:divBdr>
        </w:div>
        <w:div w:id="1300451153">
          <w:marLeft w:val="850"/>
          <w:marRight w:val="0"/>
          <w:marTop w:val="0"/>
          <w:marBottom w:val="120"/>
          <w:divBdr>
            <w:top w:val="none" w:sz="0" w:space="0" w:color="auto"/>
            <w:left w:val="none" w:sz="0" w:space="0" w:color="auto"/>
            <w:bottom w:val="none" w:sz="0" w:space="0" w:color="auto"/>
            <w:right w:val="none" w:sz="0" w:space="0" w:color="auto"/>
          </w:divBdr>
        </w:div>
        <w:div w:id="1928347364">
          <w:marLeft w:val="1282"/>
          <w:marRight w:val="0"/>
          <w:marTop w:val="0"/>
          <w:marBottom w:val="120"/>
          <w:divBdr>
            <w:top w:val="none" w:sz="0" w:space="0" w:color="auto"/>
            <w:left w:val="none" w:sz="0" w:space="0" w:color="auto"/>
            <w:bottom w:val="none" w:sz="0" w:space="0" w:color="auto"/>
            <w:right w:val="none" w:sz="0" w:space="0" w:color="auto"/>
          </w:divBdr>
        </w:div>
        <w:div w:id="871265213">
          <w:marLeft w:val="1282"/>
          <w:marRight w:val="0"/>
          <w:marTop w:val="0"/>
          <w:marBottom w:val="120"/>
          <w:divBdr>
            <w:top w:val="none" w:sz="0" w:space="0" w:color="auto"/>
            <w:left w:val="none" w:sz="0" w:space="0" w:color="auto"/>
            <w:bottom w:val="none" w:sz="0" w:space="0" w:color="auto"/>
            <w:right w:val="none" w:sz="0" w:space="0" w:color="auto"/>
          </w:divBdr>
        </w:div>
        <w:div w:id="99691523">
          <w:marLeft w:val="1282"/>
          <w:marRight w:val="0"/>
          <w:marTop w:val="0"/>
          <w:marBottom w:val="120"/>
          <w:divBdr>
            <w:top w:val="none" w:sz="0" w:space="0" w:color="auto"/>
            <w:left w:val="none" w:sz="0" w:space="0" w:color="auto"/>
            <w:bottom w:val="none" w:sz="0" w:space="0" w:color="auto"/>
            <w:right w:val="none" w:sz="0" w:space="0" w:color="auto"/>
          </w:divBdr>
        </w:div>
        <w:div w:id="147092007">
          <w:marLeft w:val="850"/>
          <w:marRight w:val="0"/>
          <w:marTop w:val="0"/>
          <w:marBottom w:val="120"/>
          <w:divBdr>
            <w:top w:val="none" w:sz="0" w:space="0" w:color="auto"/>
            <w:left w:val="none" w:sz="0" w:space="0" w:color="auto"/>
            <w:bottom w:val="none" w:sz="0" w:space="0" w:color="auto"/>
            <w:right w:val="none" w:sz="0" w:space="0" w:color="auto"/>
          </w:divBdr>
        </w:div>
        <w:div w:id="44916257">
          <w:marLeft w:val="850"/>
          <w:marRight w:val="0"/>
          <w:marTop w:val="0"/>
          <w:marBottom w:val="120"/>
          <w:divBdr>
            <w:top w:val="none" w:sz="0" w:space="0" w:color="auto"/>
            <w:left w:val="none" w:sz="0" w:space="0" w:color="auto"/>
            <w:bottom w:val="none" w:sz="0" w:space="0" w:color="auto"/>
            <w:right w:val="none" w:sz="0" w:space="0" w:color="auto"/>
          </w:divBdr>
        </w:div>
        <w:div w:id="468740751">
          <w:marLeft w:val="850"/>
          <w:marRight w:val="0"/>
          <w:marTop w:val="0"/>
          <w:marBottom w:val="120"/>
          <w:divBdr>
            <w:top w:val="none" w:sz="0" w:space="0" w:color="auto"/>
            <w:left w:val="none" w:sz="0" w:space="0" w:color="auto"/>
            <w:bottom w:val="none" w:sz="0" w:space="0" w:color="auto"/>
            <w:right w:val="none" w:sz="0" w:space="0" w:color="auto"/>
          </w:divBdr>
        </w:div>
        <w:div w:id="635451167">
          <w:marLeft w:val="850"/>
          <w:marRight w:val="0"/>
          <w:marTop w:val="0"/>
          <w:marBottom w:val="120"/>
          <w:divBdr>
            <w:top w:val="none" w:sz="0" w:space="0" w:color="auto"/>
            <w:left w:val="none" w:sz="0" w:space="0" w:color="auto"/>
            <w:bottom w:val="none" w:sz="0" w:space="0" w:color="auto"/>
            <w:right w:val="none" w:sz="0" w:space="0" w:color="auto"/>
          </w:divBdr>
        </w:div>
        <w:div w:id="363485177">
          <w:marLeft w:val="850"/>
          <w:marRight w:val="0"/>
          <w:marTop w:val="0"/>
          <w:marBottom w:val="120"/>
          <w:divBdr>
            <w:top w:val="none" w:sz="0" w:space="0" w:color="auto"/>
            <w:left w:val="none" w:sz="0" w:space="0" w:color="auto"/>
            <w:bottom w:val="none" w:sz="0" w:space="0" w:color="auto"/>
            <w:right w:val="none" w:sz="0" w:space="0" w:color="auto"/>
          </w:divBdr>
        </w:div>
      </w:divsChild>
    </w:div>
    <w:div w:id="760180506">
      <w:bodyDiv w:val="1"/>
      <w:marLeft w:val="0"/>
      <w:marRight w:val="0"/>
      <w:marTop w:val="0"/>
      <w:marBottom w:val="0"/>
      <w:divBdr>
        <w:top w:val="none" w:sz="0" w:space="0" w:color="auto"/>
        <w:left w:val="none" w:sz="0" w:space="0" w:color="auto"/>
        <w:bottom w:val="none" w:sz="0" w:space="0" w:color="auto"/>
        <w:right w:val="none" w:sz="0" w:space="0" w:color="auto"/>
      </w:divBdr>
    </w:div>
    <w:div w:id="935746686">
      <w:bodyDiv w:val="1"/>
      <w:marLeft w:val="0"/>
      <w:marRight w:val="0"/>
      <w:marTop w:val="0"/>
      <w:marBottom w:val="0"/>
      <w:divBdr>
        <w:top w:val="none" w:sz="0" w:space="0" w:color="auto"/>
        <w:left w:val="none" w:sz="0" w:space="0" w:color="auto"/>
        <w:bottom w:val="none" w:sz="0" w:space="0" w:color="auto"/>
        <w:right w:val="none" w:sz="0" w:space="0" w:color="auto"/>
      </w:divBdr>
    </w:div>
    <w:div w:id="1104233356">
      <w:bodyDiv w:val="1"/>
      <w:marLeft w:val="0"/>
      <w:marRight w:val="0"/>
      <w:marTop w:val="0"/>
      <w:marBottom w:val="0"/>
      <w:divBdr>
        <w:top w:val="none" w:sz="0" w:space="0" w:color="auto"/>
        <w:left w:val="none" w:sz="0" w:space="0" w:color="auto"/>
        <w:bottom w:val="none" w:sz="0" w:space="0" w:color="auto"/>
        <w:right w:val="none" w:sz="0" w:space="0" w:color="auto"/>
      </w:divBdr>
    </w:div>
    <w:div w:id="1201672457">
      <w:bodyDiv w:val="1"/>
      <w:marLeft w:val="0"/>
      <w:marRight w:val="0"/>
      <w:marTop w:val="0"/>
      <w:marBottom w:val="0"/>
      <w:divBdr>
        <w:top w:val="none" w:sz="0" w:space="0" w:color="auto"/>
        <w:left w:val="none" w:sz="0" w:space="0" w:color="auto"/>
        <w:bottom w:val="none" w:sz="0" w:space="0" w:color="auto"/>
        <w:right w:val="none" w:sz="0" w:space="0" w:color="auto"/>
      </w:divBdr>
    </w:div>
    <w:div w:id="1343318179">
      <w:bodyDiv w:val="1"/>
      <w:marLeft w:val="0"/>
      <w:marRight w:val="0"/>
      <w:marTop w:val="0"/>
      <w:marBottom w:val="0"/>
      <w:divBdr>
        <w:top w:val="none" w:sz="0" w:space="0" w:color="auto"/>
        <w:left w:val="none" w:sz="0" w:space="0" w:color="auto"/>
        <w:bottom w:val="none" w:sz="0" w:space="0" w:color="auto"/>
        <w:right w:val="none" w:sz="0" w:space="0" w:color="auto"/>
      </w:divBdr>
    </w:div>
    <w:div w:id="1553037749">
      <w:bodyDiv w:val="1"/>
      <w:marLeft w:val="0"/>
      <w:marRight w:val="0"/>
      <w:marTop w:val="0"/>
      <w:marBottom w:val="0"/>
      <w:divBdr>
        <w:top w:val="none" w:sz="0" w:space="0" w:color="auto"/>
        <w:left w:val="none" w:sz="0" w:space="0" w:color="auto"/>
        <w:bottom w:val="none" w:sz="0" w:space="0" w:color="auto"/>
        <w:right w:val="none" w:sz="0" w:space="0" w:color="auto"/>
      </w:divBdr>
    </w:div>
    <w:div w:id="1581062830">
      <w:bodyDiv w:val="1"/>
      <w:marLeft w:val="0"/>
      <w:marRight w:val="0"/>
      <w:marTop w:val="0"/>
      <w:marBottom w:val="0"/>
      <w:divBdr>
        <w:top w:val="none" w:sz="0" w:space="0" w:color="auto"/>
        <w:left w:val="none" w:sz="0" w:space="0" w:color="auto"/>
        <w:bottom w:val="none" w:sz="0" w:space="0" w:color="auto"/>
        <w:right w:val="none" w:sz="0" w:space="0" w:color="auto"/>
      </w:divBdr>
    </w:div>
    <w:div w:id="1591308303">
      <w:bodyDiv w:val="1"/>
      <w:marLeft w:val="0"/>
      <w:marRight w:val="0"/>
      <w:marTop w:val="0"/>
      <w:marBottom w:val="0"/>
      <w:divBdr>
        <w:top w:val="none" w:sz="0" w:space="0" w:color="auto"/>
        <w:left w:val="none" w:sz="0" w:space="0" w:color="auto"/>
        <w:bottom w:val="none" w:sz="0" w:space="0" w:color="auto"/>
        <w:right w:val="none" w:sz="0" w:space="0" w:color="auto"/>
      </w:divBdr>
    </w:div>
    <w:div w:id="1603151236">
      <w:bodyDiv w:val="1"/>
      <w:marLeft w:val="0"/>
      <w:marRight w:val="0"/>
      <w:marTop w:val="0"/>
      <w:marBottom w:val="0"/>
      <w:divBdr>
        <w:top w:val="none" w:sz="0" w:space="0" w:color="auto"/>
        <w:left w:val="none" w:sz="0" w:space="0" w:color="auto"/>
        <w:bottom w:val="none" w:sz="0" w:space="0" w:color="auto"/>
        <w:right w:val="none" w:sz="0" w:space="0" w:color="auto"/>
      </w:divBdr>
    </w:div>
    <w:div w:id="1817530121">
      <w:bodyDiv w:val="1"/>
      <w:marLeft w:val="0"/>
      <w:marRight w:val="0"/>
      <w:marTop w:val="0"/>
      <w:marBottom w:val="0"/>
      <w:divBdr>
        <w:top w:val="none" w:sz="0" w:space="0" w:color="auto"/>
        <w:left w:val="none" w:sz="0" w:space="0" w:color="auto"/>
        <w:bottom w:val="none" w:sz="0" w:space="0" w:color="auto"/>
        <w:right w:val="none" w:sz="0" w:space="0" w:color="auto"/>
      </w:divBdr>
    </w:div>
    <w:div w:id="1845513873">
      <w:bodyDiv w:val="1"/>
      <w:marLeft w:val="0"/>
      <w:marRight w:val="0"/>
      <w:marTop w:val="0"/>
      <w:marBottom w:val="0"/>
      <w:divBdr>
        <w:top w:val="none" w:sz="0" w:space="0" w:color="auto"/>
        <w:left w:val="none" w:sz="0" w:space="0" w:color="auto"/>
        <w:bottom w:val="none" w:sz="0" w:space="0" w:color="auto"/>
        <w:right w:val="none" w:sz="0" w:space="0" w:color="auto"/>
      </w:divBdr>
    </w:div>
    <w:div w:id="188713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889E2-B377-4890-9ED8-D3436C3B5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582</Words>
  <Characters>3320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Darkes</dc:creator>
  <cp:keywords/>
  <dc:description/>
  <cp:lastModifiedBy>Kelly Cameron</cp:lastModifiedBy>
  <cp:revision>9</cp:revision>
  <cp:lastPrinted>2022-10-25T19:06:00Z</cp:lastPrinted>
  <dcterms:created xsi:type="dcterms:W3CDTF">2023-02-09T21:01:00Z</dcterms:created>
  <dcterms:modified xsi:type="dcterms:W3CDTF">2023-04-05T14:46:00Z</dcterms:modified>
</cp:coreProperties>
</file>