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301BF" w14:textId="77777777" w:rsidR="001E22A2" w:rsidRPr="00D63DB1" w:rsidRDefault="001E22A2" w:rsidP="001E22A2">
      <w:pPr>
        <w:pStyle w:val="Titel"/>
        <w:jc w:val="left"/>
        <w:rPr>
          <w:rFonts w:ascii="Calibri Light" w:hAnsi="Calibri Light" w:cs="Calibri Light"/>
          <w:b w:val="0"/>
          <w:sz w:val="16"/>
          <w:szCs w:val="16"/>
          <w:lang w:val="en-US"/>
        </w:rPr>
      </w:pPr>
      <w:bookmarkStart w:id="0" w:name="conclusion"/>
      <w:r w:rsidRPr="00D63DB1">
        <w:rPr>
          <w:rFonts w:ascii="Calibri Light" w:hAnsi="Calibri Light" w:cs="Calibri Light"/>
          <w:b w:val="0"/>
          <w:sz w:val="16"/>
          <w:szCs w:val="16"/>
          <w:lang w:val="en-US"/>
        </w:rPr>
        <w:t xml:space="preserve">Quantified diffusion-weighted MR imaging response assessment in rhabdomyosarcoma: an international retrospective study on behalf of the </w:t>
      </w:r>
      <w:proofErr w:type="spellStart"/>
      <w:r w:rsidRPr="00D63DB1">
        <w:rPr>
          <w:rFonts w:ascii="Calibri Light" w:hAnsi="Calibri Light" w:cs="Calibri Light"/>
          <w:b w:val="0"/>
          <w:sz w:val="16"/>
          <w:szCs w:val="16"/>
          <w:lang w:val="en-US"/>
        </w:rPr>
        <w:t>EpSSG</w:t>
      </w:r>
      <w:proofErr w:type="spellEnd"/>
      <w:r w:rsidRPr="00D63DB1">
        <w:rPr>
          <w:rFonts w:ascii="Calibri Light" w:hAnsi="Calibri Light" w:cs="Calibri Light"/>
          <w:b w:val="0"/>
          <w:sz w:val="16"/>
          <w:szCs w:val="16"/>
          <w:lang w:val="en-US"/>
        </w:rPr>
        <w:t xml:space="preserve"> Imaging Committee </w:t>
      </w:r>
    </w:p>
    <w:p w14:paraId="1E4A54BE" w14:textId="77777777" w:rsidR="009F7F06" w:rsidRPr="00D63DB1" w:rsidRDefault="009F7F06">
      <w:pPr>
        <w:rPr>
          <w:rFonts w:ascii="Calibri Light" w:hAnsi="Calibri Light" w:cs="Calibri Light"/>
          <w:sz w:val="16"/>
          <w:szCs w:val="16"/>
          <w:lang w:val="en-US"/>
        </w:rPr>
      </w:pPr>
    </w:p>
    <w:p w14:paraId="20ACB06D" w14:textId="77777777" w:rsidR="009F7F06" w:rsidRPr="00D63DB1" w:rsidRDefault="009F7F06">
      <w:pPr>
        <w:rPr>
          <w:rFonts w:ascii="Calibri Light" w:hAnsi="Calibri Light" w:cs="Calibri Light"/>
          <w:sz w:val="16"/>
          <w:szCs w:val="16"/>
          <w:lang w:val="en-US"/>
        </w:rPr>
      </w:pPr>
    </w:p>
    <w:p w14:paraId="20807C76" w14:textId="77777777" w:rsidR="00C81146" w:rsidRPr="00D63DB1" w:rsidRDefault="009F7F06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>Supplemental file</w:t>
      </w:r>
    </w:p>
    <w:p w14:paraId="3DDB75BA" w14:textId="77777777" w:rsidR="00C81146" w:rsidRPr="00D63DB1" w:rsidRDefault="00C81146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</w:p>
    <w:p w14:paraId="3997D09B" w14:textId="107B81BC" w:rsidR="00295BE9" w:rsidRPr="00D63DB1" w:rsidRDefault="00C81146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>Suppl</w:t>
      </w:r>
      <w:r w:rsidR="001B756F" w:rsidRPr="00D63DB1">
        <w:rPr>
          <w:rFonts w:ascii="Calibri Light" w:hAnsi="Calibri Light" w:cs="Calibri Light"/>
          <w:sz w:val="16"/>
          <w:szCs w:val="16"/>
          <w:lang w:val="en-US"/>
        </w:rPr>
        <w:t>ementary Material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 </w:t>
      </w:r>
      <w:r w:rsidR="000F04CD" w:rsidRPr="00D63DB1">
        <w:rPr>
          <w:rFonts w:ascii="Calibri Light" w:hAnsi="Calibri Light" w:cs="Calibri Light"/>
          <w:sz w:val="16"/>
          <w:szCs w:val="16"/>
          <w:lang w:val="en-US"/>
        </w:rPr>
        <w:t>1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. </w:t>
      </w:r>
      <w:r w:rsidR="00D8094A" w:rsidRPr="00D63DB1">
        <w:rPr>
          <w:rFonts w:ascii="Calibri Light" w:hAnsi="Calibri Light" w:cs="Calibri Light"/>
          <w:sz w:val="16"/>
          <w:szCs w:val="16"/>
          <w:lang w:val="en-US"/>
        </w:rPr>
        <w:t>DW-MRI acquisition characteristics for the excluded and included cohort</w:t>
      </w:r>
    </w:p>
    <w:p w14:paraId="33F972A8" w14:textId="42D5D09F" w:rsidR="00295BE9" w:rsidRPr="00D63DB1" w:rsidRDefault="000F04CD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>Suppl</w:t>
      </w:r>
      <w:r w:rsidR="001B756F" w:rsidRPr="00D63DB1">
        <w:rPr>
          <w:rFonts w:ascii="Calibri Light" w:hAnsi="Calibri Light" w:cs="Calibri Light"/>
          <w:sz w:val="16"/>
          <w:szCs w:val="16"/>
          <w:lang w:val="en-US"/>
        </w:rPr>
        <w:t>ementary Material</w:t>
      </w:r>
      <w:r w:rsidR="00747C74" w:rsidRPr="00D63DB1">
        <w:rPr>
          <w:rFonts w:ascii="Calibri Light" w:hAnsi="Calibri Light" w:cs="Calibri Light"/>
          <w:sz w:val="16"/>
          <w:szCs w:val="16"/>
          <w:lang w:val="en-US"/>
        </w:rPr>
        <w:t xml:space="preserve"> 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>2</w:t>
      </w:r>
      <w:r w:rsidR="00295BE9" w:rsidRPr="00D63DB1">
        <w:rPr>
          <w:rFonts w:ascii="Calibri Light" w:hAnsi="Calibri Light" w:cs="Calibri Light"/>
          <w:sz w:val="16"/>
          <w:szCs w:val="16"/>
          <w:lang w:val="en-US"/>
        </w:rPr>
        <w:t>. Evaluation of homogeneous, intra-individual, scan parameters between diagnosis and response</w:t>
      </w:r>
    </w:p>
    <w:p w14:paraId="310066D3" w14:textId="7B1A3C74" w:rsidR="00747C74" w:rsidRPr="00D63DB1" w:rsidRDefault="00747C74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>Supplementary Material 3. Comparison for including versus excluding necrotic areas for patients with homogeneous scanner properties at diagnosis and response (</w:t>
      </w:r>
      <w:r w:rsidRPr="00D63DB1">
        <w:rPr>
          <w:rFonts w:ascii="Calibri Light" w:hAnsi="Calibri Light" w:cs="Calibri Light"/>
          <w:i/>
          <w:sz w:val="16"/>
          <w:szCs w:val="16"/>
          <w:lang w:val="en-US"/>
        </w:rPr>
        <w:t>n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>=38)</w:t>
      </w:r>
    </w:p>
    <w:p w14:paraId="00A74B10" w14:textId="170FE362" w:rsidR="002A6AD0" w:rsidRPr="00D63DB1" w:rsidRDefault="006312E8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Supplementary Material 4. </w:t>
      </w:r>
    </w:p>
    <w:p w14:paraId="68E7211E" w14:textId="26DB0241" w:rsidR="002A6AD0" w:rsidRPr="00D63DB1" w:rsidRDefault="002A6AD0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Supplementary Material 5. </w:t>
      </w:r>
      <w:r w:rsidR="006312E8" w:rsidRPr="00D63DB1">
        <w:rPr>
          <w:rFonts w:ascii="Calibri Light" w:hAnsi="Calibri Light" w:cs="Calibri Light"/>
          <w:sz w:val="16"/>
          <w:szCs w:val="16"/>
          <w:lang w:val="en-US"/>
        </w:rPr>
        <w:t>Baseline characteristics of the pediatric/adolescent versus young adult cohort in the excluded and included cohort</w:t>
      </w:r>
    </w:p>
    <w:p w14:paraId="3C0030E4" w14:textId="41640BB4" w:rsidR="00747C74" w:rsidRPr="00D63DB1" w:rsidRDefault="00747C74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Supplementary </w:t>
      </w:r>
      <w:r w:rsidR="002A6AD0" w:rsidRPr="00D63DB1">
        <w:rPr>
          <w:rFonts w:ascii="Calibri Light" w:hAnsi="Calibri Light" w:cs="Calibri Light"/>
          <w:sz w:val="16"/>
          <w:szCs w:val="16"/>
          <w:lang w:val="en-US"/>
        </w:rPr>
        <w:t>Material 7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. </w:t>
      </w:r>
      <w:proofErr w:type="spellStart"/>
      <w:r w:rsidRPr="00D63DB1">
        <w:rPr>
          <w:rFonts w:ascii="Calibri Light" w:hAnsi="Calibri Light" w:cs="Calibri Light"/>
          <w:sz w:val="16"/>
          <w:szCs w:val="16"/>
          <w:lang w:val="en-US"/>
        </w:rPr>
        <w:t>Univariable</w:t>
      </w:r>
      <w:proofErr w:type="spellEnd"/>
      <w:r w:rsidRPr="00D63DB1">
        <w:rPr>
          <w:rFonts w:ascii="Calibri Light" w:hAnsi="Calibri Light" w:cs="Calibri Light"/>
          <w:sz w:val="16"/>
          <w:szCs w:val="16"/>
          <w:lang w:val="en-US"/>
        </w:rPr>
        <w:t xml:space="preserve"> Cox proportional hazard analysis for event-free survival for patients with homogeneous scanner properties at diagnosis and response (</w:t>
      </w:r>
      <w:r w:rsidRPr="00D63DB1">
        <w:rPr>
          <w:rFonts w:ascii="Calibri Light" w:hAnsi="Calibri Light" w:cs="Calibri Light"/>
          <w:i/>
          <w:sz w:val="16"/>
          <w:szCs w:val="16"/>
          <w:lang w:val="en-US"/>
        </w:rPr>
        <w:t>n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>=38)</w:t>
      </w:r>
    </w:p>
    <w:p w14:paraId="05053FE3" w14:textId="105849A4" w:rsidR="007F31A2" w:rsidRPr="00D63DB1" w:rsidRDefault="00295BE9" w:rsidP="00295BE9">
      <w:pPr>
        <w:jc w:val="left"/>
        <w:rPr>
          <w:rFonts w:ascii="Calibri Light" w:hAnsi="Calibri Light" w:cs="Calibri Light"/>
          <w:sz w:val="16"/>
          <w:szCs w:val="16"/>
          <w:lang w:val="en-US"/>
        </w:rPr>
      </w:pPr>
      <w:r w:rsidRPr="00D63DB1">
        <w:rPr>
          <w:rFonts w:ascii="Calibri Light" w:hAnsi="Calibri Light" w:cs="Calibri Light"/>
          <w:sz w:val="16"/>
          <w:szCs w:val="16"/>
          <w:lang w:val="en-US"/>
        </w:rPr>
        <w:t>Suppl</w:t>
      </w:r>
      <w:r w:rsidR="001B756F" w:rsidRPr="00D63DB1">
        <w:rPr>
          <w:rFonts w:ascii="Calibri Light" w:hAnsi="Calibri Light" w:cs="Calibri Light"/>
          <w:sz w:val="16"/>
          <w:szCs w:val="16"/>
          <w:lang w:val="en-US"/>
        </w:rPr>
        <w:t>ementary Material</w:t>
      </w:r>
      <w:r w:rsidR="000F04CD" w:rsidRPr="00D63DB1">
        <w:rPr>
          <w:rFonts w:ascii="Calibri Light" w:hAnsi="Calibri Light" w:cs="Calibri Light"/>
          <w:sz w:val="16"/>
          <w:szCs w:val="16"/>
          <w:lang w:val="en-US"/>
        </w:rPr>
        <w:t xml:space="preserve"> </w:t>
      </w:r>
      <w:r w:rsidR="002A6AD0" w:rsidRPr="00D63DB1">
        <w:rPr>
          <w:rFonts w:ascii="Calibri Light" w:hAnsi="Calibri Light" w:cs="Calibri Light"/>
          <w:sz w:val="16"/>
          <w:szCs w:val="16"/>
          <w:lang w:val="en-US"/>
        </w:rPr>
        <w:t>8</w:t>
      </w:r>
      <w:r w:rsidRPr="00D63DB1">
        <w:rPr>
          <w:rFonts w:ascii="Calibri Light" w:hAnsi="Calibri Light" w:cs="Calibri Light"/>
          <w:sz w:val="16"/>
          <w:szCs w:val="16"/>
          <w:lang w:val="en-US"/>
        </w:rPr>
        <w:t>. Tumor related events in the full and paired cohort</w:t>
      </w:r>
      <w:r w:rsidR="007F31A2" w:rsidRPr="00D63DB1">
        <w:rPr>
          <w:rFonts w:ascii="Calibri Light" w:hAnsi="Calibri Light" w:cs="Calibri Light"/>
          <w:sz w:val="16"/>
          <w:szCs w:val="16"/>
          <w:lang w:val="en-US"/>
        </w:rPr>
        <w:br w:type="page"/>
      </w:r>
    </w:p>
    <w:tbl>
      <w:tblPr>
        <w:tblW w:w="9143" w:type="dxa"/>
        <w:tblLayout w:type="fixed"/>
        <w:tblLook w:val="0420" w:firstRow="1" w:lastRow="0" w:firstColumn="0" w:lastColumn="0" w:noHBand="0" w:noVBand="1"/>
      </w:tblPr>
      <w:tblGrid>
        <w:gridCol w:w="3745"/>
        <w:gridCol w:w="2123"/>
        <w:gridCol w:w="2123"/>
        <w:gridCol w:w="1152"/>
      </w:tblGrid>
      <w:tr w:rsidR="00D8094A" w:rsidRPr="00D63DB1" w14:paraId="1608935C" w14:textId="77777777" w:rsidTr="00D63DB1">
        <w:trPr>
          <w:gridAfter w:val="1"/>
          <w:wAfter w:w="1157" w:type="dxa"/>
          <w:cantSplit/>
          <w:trHeight w:hRule="exact" w:val="340"/>
          <w:tblHeader/>
        </w:trPr>
        <w:tc>
          <w:tcPr>
            <w:tcW w:w="7986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BB13" w14:textId="2CF626B2" w:rsidR="00D8094A" w:rsidRPr="00D63DB1" w:rsidRDefault="00D8094A" w:rsidP="001B756F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lastRenderedPageBreak/>
              <w:t xml:space="preserve">Suppl. </w:t>
            </w:r>
            <w:r w:rsidR="001B756F"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Material</w:t>
            </w: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 xml:space="preserve"> 1. DW-MRI acquisition characteristics for the excluded and included cohort</w:t>
            </w:r>
          </w:p>
        </w:tc>
      </w:tr>
      <w:tr w:rsidR="00D8094A" w:rsidRPr="00D63DB1" w14:paraId="1F1EE365" w14:textId="77777777" w:rsidTr="00D63DB1">
        <w:trPr>
          <w:gridAfter w:val="1"/>
          <w:wAfter w:w="1152" w:type="dxa"/>
          <w:cantSplit/>
          <w:trHeight w:hRule="exact" w:val="340"/>
          <w:tblHeader/>
        </w:trPr>
        <w:tc>
          <w:tcPr>
            <w:tcW w:w="3745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CCF49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bookmarkStart w:id="1" w:name="_Toc117940443"/>
            <w:bookmarkStart w:id="2" w:name="Xc443deaa14fe80264e70cec1c0d6b75932554f1"/>
            <w:bookmarkStart w:id="3" w:name="data-section"/>
            <w:bookmarkEnd w:id="0"/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123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8E78E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Excluded</w:t>
            </w: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br/>
              <w:t>(N=104)</w:t>
            </w:r>
          </w:p>
        </w:tc>
        <w:tc>
          <w:tcPr>
            <w:tcW w:w="2123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09BB" w14:textId="3CD4073E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Included</w:t>
            </w:r>
          </w:p>
        </w:tc>
      </w:tr>
      <w:tr w:rsidR="00D8094A" w:rsidRPr="00D63DB1" w14:paraId="23E0EE02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5A6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Manufacturer</w:t>
            </w:r>
          </w:p>
        </w:tc>
        <w:tc>
          <w:tcPr>
            <w:tcW w:w="212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0567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4195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4C2497BE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78C76" w14:textId="503C4C1F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GE</w:t>
            </w:r>
            <w:r w:rsidR="007A4699"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, Healthcare Technologies, Waukesha, WI, USA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43427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 (6.7%)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993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16 (9.8%)</w:t>
            </w:r>
          </w:p>
        </w:tc>
      </w:tr>
      <w:tr w:rsidR="00D8094A" w:rsidRPr="00D63DB1" w14:paraId="7BFE2543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325C" w14:textId="22E87A06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Philips</w:t>
            </w:r>
            <w:r w:rsidR="007A4699"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, Best, The Netherlands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C133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44 (42.3%)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89D6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73 (44.5%)</w:t>
            </w:r>
          </w:p>
        </w:tc>
      </w:tr>
      <w:tr w:rsidR="00D8094A" w:rsidRPr="00D63DB1" w14:paraId="71373E42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864FD" w14:textId="2B1822B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Siemens</w:t>
            </w:r>
            <w:r w:rsidR="007A4699"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, Erlangen, Germany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1C3E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34 (32.7%)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36AA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75 (45.7%)</w:t>
            </w:r>
          </w:p>
        </w:tc>
      </w:tr>
      <w:tr w:rsidR="00D8094A" w:rsidRPr="00D63DB1" w14:paraId="205415B1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4BDE" w14:textId="2B22581F" w:rsidR="00D8094A" w:rsidRPr="00D63DB1" w:rsidRDefault="00D8094A" w:rsidP="00ED2F0D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7CC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19 (18.3%)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BE019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0 (0%)</w:t>
            </w:r>
          </w:p>
        </w:tc>
      </w:tr>
      <w:tr w:rsidR="00D8094A" w:rsidRPr="00D63DB1" w14:paraId="6491EC73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0E531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Slice thickness (mm)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563FC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BCE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5D2455ED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8F73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6B26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4.26 (1.05)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86D0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4.32 (0.939)</w:t>
            </w:r>
          </w:p>
        </w:tc>
      </w:tr>
      <w:tr w:rsidR="00D8094A" w:rsidRPr="00D63DB1" w14:paraId="4ECF757B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13F4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AE37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4.00 [2.00, 7.00]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638C5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4.25 [2.00, 7.00]</w:t>
            </w:r>
          </w:p>
        </w:tc>
      </w:tr>
      <w:tr w:rsidR="00D8094A" w:rsidRPr="00D63DB1" w14:paraId="75B66E1C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AC7BA" w14:textId="4D59DC74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EE74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19 (18.3%)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C7B6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0 (0%)</w:t>
            </w:r>
          </w:p>
        </w:tc>
      </w:tr>
      <w:tr w:rsidR="00D8094A" w:rsidRPr="00D63DB1" w14:paraId="1EE899F2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1231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Number of B values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E2E7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E908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1D12318D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6A125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0E62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2.79 (1.27)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B2F1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2.99 (1.63)</w:t>
            </w:r>
          </w:p>
        </w:tc>
      </w:tr>
      <w:tr w:rsidR="00D8094A" w:rsidRPr="00D63DB1" w14:paraId="13AC8132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C2A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FE8CC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2.00 [2.00, 10.0]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A950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2.00 [2.00, 10.0]</w:t>
            </w:r>
          </w:p>
        </w:tc>
      </w:tr>
      <w:tr w:rsidR="00D8094A" w:rsidRPr="00D63DB1" w14:paraId="69BFC537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2604" w14:textId="020AEF0B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52E8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22 (21.2%)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2D87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 (1.2%)</w:t>
            </w:r>
          </w:p>
        </w:tc>
      </w:tr>
      <w:tr w:rsidR="00D8094A" w:rsidRPr="00D63DB1" w14:paraId="3C7D02CC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DB9D3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Pixel spacing (mm)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ED49B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0904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09B2700F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11B63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45F2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1.26 (0.456)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46D15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1.37 (0.441)</w:t>
            </w:r>
          </w:p>
        </w:tc>
      </w:tr>
      <w:tr w:rsidR="00D8094A" w:rsidRPr="00D63DB1" w14:paraId="5737854B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B12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65733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1.19 [0.332, 2.73]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092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1.37 [0.449, 2.73]</w:t>
            </w:r>
          </w:p>
        </w:tc>
      </w:tr>
      <w:tr w:rsidR="00D8094A" w:rsidRPr="00D63DB1" w14:paraId="23385CBB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17EA4" w14:textId="4F78FDDF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1EB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19 (18.3%)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C053C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0 (0%)</w:t>
            </w:r>
          </w:p>
        </w:tc>
      </w:tr>
      <w:tr w:rsidR="00D8094A" w:rsidRPr="00D63DB1" w14:paraId="057F8264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A2436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Highest B value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C00E2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D311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5524007F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9EE9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4D3C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954 (101)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6AE9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965 (82.7)</w:t>
            </w:r>
          </w:p>
        </w:tc>
      </w:tr>
      <w:tr w:rsidR="00D8094A" w:rsidRPr="00D63DB1" w14:paraId="71E8D7B3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E32C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F036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1000 [800, 1400]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32A6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1000 [800, 1200]</w:t>
            </w:r>
          </w:p>
        </w:tc>
      </w:tr>
      <w:tr w:rsidR="00D8094A" w:rsidRPr="00D63DB1" w14:paraId="15880B01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F008" w14:textId="72B8EF5B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01C14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22 (21.2%)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1F571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 (1.2%)</w:t>
            </w:r>
          </w:p>
        </w:tc>
      </w:tr>
      <w:tr w:rsidR="00D8094A" w:rsidRPr="00D63DB1" w14:paraId="5AB80399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D29F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Echo time (</w:t>
            </w:r>
            <w:proofErr w:type="spellStart"/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ms</w:t>
            </w:r>
            <w:proofErr w:type="spellEnd"/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EC82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33C2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D8094A" w:rsidRPr="00D63DB1" w14:paraId="00339234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EE6D0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986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78.1 (15.5)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3F6D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77.9 (12.6)</w:t>
            </w:r>
          </w:p>
        </w:tc>
      </w:tr>
      <w:tr w:rsidR="00D8094A" w:rsidRPr="00D63DB1" w14:paraId="68EDEFA9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7482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9218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75.6 [30.0, 134]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7760A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78.0 [52.0, 109]</w:t>
            </w:r>
          </w:p>
        </w:tc>
      </w:tr>
      <w:tr w:rsidR="00D8094A" w:rsidRPr="00D63DB1" w14:paraId="1AA9C1D4" w14:textId="77777777" w:rsidTr="00D63DB1">
        <w:trPr>
          <w:gridAfter w:val="1"/>
          <w:wAfter w:w="1152" w:type="dxa"/>
          <w:cantSplit/>
          <w:trHeight w:hRule="exact" w:val="340"/>
        </w:trPr>
        <w:tc>
          <w:tcPr>
            <w:tcW w:w="3745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20C2" w14:textId="112DAE6F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 Not available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5758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19 (18.3%)</w:t>
            </w:r>
          </w:p>
        </w:tc>
        <w:tc>
          <w:tcPr>
            <w:tcW w:w="2123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48C88" w14:textId="77777777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0 (0%)</w:t>
            </w:r>
          </w:p>
        </w:tc>
      </w:tr>
      <w:tr w:rsidR="00A477EF" w:rsidRPr="00D63DB1" w14:paraId="58ED9123" w14:textId="77777777" w:rsidTr="00D63DB1">
        <w:trPr>
          <w:cantSplit/>
          <w:trHeight w:hRule="exact" w:val="689"/>
        </w:trPr>
        <w:tc>
          <w:tcPr>
            <w:tcW w:w="9143" w:type="dxa"/>
            <w:gridSpan w:val="4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DA9F2" w14:textId="3A5C06FB" w:rsidR="007C7B8B" w:rsidRPr="00D63DB1" w:rsidRDefault="007C7B8B" w:rsidP="007C7B8B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</w:tbl>
    <w:p w14:paraId="041676F5" w14:textId="77777777" w:rsidR="00A477EF" w:rsidRPr="00D63DB1" w:rsidRDefault="00A477EF" w:rsidP="00A477EF">
      <w:pPr>
        <w:pStyle w:val="Kop3"/>
        <w:numPr>
          <w:ilvl w:val="0"/>
          <w:numId w:val="0"/>
        </w:numPr>
        <w:jc w:val="left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22D340B4" w14:textId="77777777" w:rsidR="00A477EF" w:rsidRPr="00D63DB1" w:rsidRDefault="00A477EF" w:rsidP="00A477EF">
      <w:pPr>
        <w:pStyle w:val="Kop3"/>
        <w:numPr>
          <w:ilvl w:val="0"/>
          <w:numId w:val="0"/>
        </w:numPr>
        <w:jc w:val="left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1FB55C03" w14:textId="36F7EC28" w:rsidR="00A477EF" w:rsidRPr="00D63DB1" w:rsidRDefault="00A477EF" w:rsidP="00A477EF">
      <w:pPr>
        <w:pStyle w:val="Kop3"/>
        <w:numPr>
          <w:ilvl w:val="0"/>
          <w:numId w:val="0"/>
        </w:numPr>
        <w:jc w:val="left"/>
        <w:rPr>
          <w:rFonts w:ascii="Calibri Light" w:hAnsi="Calibri Light" w:cs="Calibri Light"/>
          <w:b w:val="0"/>
          <w:sz w:val="16"/>
          <w:szCs w:val="16"/>
          <w:lang w:val="en-US"/>
        </w:rPr>
      </w:pPr>
    </w:p>
    <w:p w14:paraId="602B8888" w14:textId="500C42BC" w:rsidR="007C7B8B" w:rsidRPr="00D63DB1" w:rsidRDefault="007C7B8B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440"/>
        <w:gridCol w:w="1207"/>
        <w:gridCol w:w="4025"/>
      </w:tblGrid>
      <w:tr w:rsidR="00D8094A" w:rsidRPr="00D63DB1" w14:paraId="29E0CEA1" w14:textId="77777777" w:rsidTr="00D8094A">
        <w:trPr>
          <w:cantSplit/>
          <w:trHeight w:hRule="exact" w:val="615"/>
          <w:tblHeader/>
        </w:trPr>
        <w:tc>
          <w:tcPr>
            <w:tcW w:w="767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B3018" w14:textId="338A1A63" w:rsidR="00D8094A" w:rsidRPr="00D63DB1" w:rsidRDefault="00D8094A" w:rsidP="001B756F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 xml:space="preserve">Suppl. </w:t>
            </w:r>
            <w:r w:rsidR="001B756F"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 xml:space="preserve">Material </w:t>
            </w: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2. Evaluation of homogeneous, intra-individual, scan parameters between diagnosis and response</w:t>
            </w:r>
          </w:p>
        </w:tc>
      </w:tr>
      <w:tr w:rsidR="007C7B8B" w:rsidRPr="00D63DB1" w14:paraId="2C416C54" w14:textId="77777777" w:rsidTr="000F04CD">
        <w:trPr>
          <w:cantSplit/>
          <w:trHeight w:hRule="exact" w:val="615"/>
          <w:tblHeader/>
        </w:trPr>
        <w:tc>
          <w:tcPr>
            <w:tcW w:w="2440" w:type="dxa"/>
            <w:tcBorders>
              <w:top w:val="single" w:sz="12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60D66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07" w:type="dxa"/>
            <w:tcBorders>
              <w:top w:val="single" w:sz="12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C57E" w14:textId="07D952B8" w:rsidR="007C7B8B" w:rsidRPr="00D63DB1" w:rsidRDefault="000F04CD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All patients</w:t>
            </w:r>
          </w:p>
          <w:p w14:paraId="40F13888" w14:textId="614DBF18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(</w:t>
            </w:r>
            <w:r w:rsidRPr="00D63DB1">
              <w:rPr>
                <w:rFonts w:ascii="Calibri Light" w:eastAsia="Arial" w:hAnsi="Calibri Light" w:cstheme="majorHAnsi"/>
                <w:i/>
                <w:color w:val="000000"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=134)</w:t>
            </w:r>
          </w:p>
        </w:tc>
        <w:tc>
          <w:tcPr>
            <w:tcW w:w="4025" w:type="dxa"/>
            <w:tcBorders>
              <w:top w:val="single" w:sz="12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975F" w14:textId="36873ECA" w:rsidR="007C7B8B" w:rsidRPr="00D63DB1" w:rsidRDefault="000F04CD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Included for ADC analyses</w:t>
            </w:r>
          </w:p>
          <w:p w14:paraId="4145C272" w14:textId="3185390C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(</w:t>
            </w:r>
            <w:r w:rsidRPr="00D63DB1">
              <w:rPr>
                <w:rFonts w:ascii="Calibri Light" w:eastAsia="Arial" w:hAnsi="Calibri Light" w:cstheme="majorHAnsi"/>
                <w:i/>
                <w:color w:val="000000"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=82)</w:t>
            </w:r>
          </w:p>
        </w:tc>
      </w:tr>
      <w:tr w:rsidR="007C7B8B" w:rsidRPr="00D63DB1" w14:paraId="7C12D0EA" w14:textId="77777777" w:rsidTr="000F04CD">
        <w:trPr>
          <w:cantSplit/>
          <w:trHeight w:hRule="exact" w:val="340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59A7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Manufacturer</w:t>
            </w:r>
          </w:p>
        </w:tc>
        <w:tc>
          <w:tcPr>
            <w:tcW w:w="12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2EFA3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3375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2DD7D51F" w14:textId="77777777" w:rsidTr="000F04CD">
        <w:trPr>
          <w:cantSplit/>
          <w:trHeight w:hRule="exact" w:val="340"/>
        </w:trPr>
        <w:tc>
          <w:tcPr>
            <w:tcW w:w="24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90CC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Equal</w:t>
            </w:r>
          </w:p>
        </w:tc>
        <w:tc>
          <w:tcPr>
            <w:tcW w:w="120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0E29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96 (71.6%)</w:t>
            </w:r>
          </w:p>
        </w:tc>
        <w:tc>
          <w:tcPr>
            <w:tcW w:w="402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2684B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68 (82.9%)</w:t>
            </w:r>
          </w:p>
        </w:tc>
      </w:tr>
      <w:tr w:rsidR="007C7B8B" w:rsidRPr="00D63DB1" w14:paraId="74836594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7D1D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AEFB0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38 (28.4%)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A1C11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14 (17.1%)</w:t>
            </w:r>
          </w:p>
        </w:tc>
      </w:tr>
      <w:tr w:rsidR="007C7B8B" w:rsidRPr="00D63DB1" w14:paraId="65B487E9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E1D0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Slice thickness (mm)*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FDCEE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4D6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4BABADF7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D148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Equal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969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71 (53.0%)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EE9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56 (68.3%)</w:t>
            </w:r>
          </w:p>
        </w:tc>
      </w:tr>
      <w:tr w:rsidR="007C7B8B" w:rsidRPr="00D63DB1" w14:paraId="3407841A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DA7A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CA73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63 (47.0%)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5F44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26 (31.7%)</w:t>
            </w:r>
          </w:p>
        </w:tc>
      </w:tr>
      <w:tr w:rsidR="007C7B8B" w:rsidRPr="00D63DB1" w14:paraId="6027C9AF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AF77" w14:textId="72B1C8E9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Number of B values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2FC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91DC4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12D4D631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1247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Equal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375C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88 (65.7%)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59293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66 (80.5%)</w:t>
            </w:r>
          </w:p>
        </w:tc>
      </w:tr>
      <w:tr w:rsidR="007C7B8B" w:rsidRPr="00D63DB1" w14:paraId="3B01E7B4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9BF8A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CB46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46 (34.3%)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43AD6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16 (19.5%)</w:t>
            </w:r>
          </w:p>
        </w:tc>
      </w:tr>
      <w:tr w:rsidR="007C7B8B" w:rsidRPr="00D63DB1" w14:paraId="7FA5A098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2B490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Pixel spacing (mm)*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5DFC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1C4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7EA4ADF1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D345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Equal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BAED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70 (52.2%)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77D3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53 (64.6%)</w:t>
            </w:r>
          </w:p>
        </w:tc>
      </w:tr>
      <w:tr w:rsidR="007C7B8B" w:rsidRPr="00D63DB1" w14:paraId="5D444942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0405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E4E5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64 (47.8%)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FE0E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29 (35.4%)</w:t>
            </w:r>
          </w:p>
        </w:tc>
      </w:tr>
      <w:tr w:rsidR="007C7B8B" w:rsidRPr="00D63DB1" w14:paraId="290589C7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5194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Highest B value*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641E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CC6F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6FBCE823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36DC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Equal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69CD8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92 (68.7%)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BDD7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71 (86.6%)</w:t>
            </w:r>
          </w:p>
        </w:tc>
      </w:tr>
      <w:tr w:rsidR="007C7B8B" w:rsidRPr="00D63DB1" w14:paraId="1B7347E7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7DE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C6A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42 (31.3%)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23760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11 (13.4%)</w:t>
            </w:r>
          </w:p>
        </w:tc>
      </w:tr>
      <w:tr w:rsidR="007C7B8B" w:rsidRPr="00D63DB1" w14:paraId="76E523CD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1D38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Echo time (</w:t>
            </w:r>
            <w:proofErr w:type="spellStart"/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ms</w:t>
            </w:r>
            <w:proofErr w:type="spellEnd"/>
            <w:r w:rsidRPr="00D63DB1">
              <w:rPr>
                <w:rFonts w:ascii="Calibri Light" w:eastAsia="Arial" w:hAnsi="Calibri Light" w:cstheme="majorHAnsi"/>
                <w:color w:val="000000"/>
                <w:sz w:val="16"/>
                <w:szCs w:val="16"/>
                <w:lang w:val="en-US"/>
              </w:rPr>
              <w:t>)*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FBEF1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F5F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5B10EEA0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6137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Equal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D4AA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81 (60.4%)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4DF8D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58 (70.7%)</w:t>
            </w:r>
          </w:p>
        </w:tc>
      </w:tr>
      <w:tr w:rsidR="007C7B8B" w:rsidRPr="00D63DB1" w14:paraId="43FEDBC0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5820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Different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4A1F7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53 (39.6%)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2824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24 (29.3%)</w:t>
            </w:r>
          </w:p>
        </w:tc>
      </w:tr>
      <w:tr w:rsidR="007C7B8B" w:rsidRPr="00D63DB1" w14:paraId="276B5063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12A18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All combined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8B04A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CAFF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</w:p>
        </w:tc>
      </w:tr>
      <w:tr w:rsidR="007C7B8B" w:rsidRPr="00D63DB1" w14:paraId="5DB41FB0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79ED6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 xml:space="preserve">Full scan equal 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57E9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44 (32.8%)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77D6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38 (46.3%)</w:t>
            </w:r>
          </w:p>
        </w:tc>
      </w:tr>
      <w:tr w:rsidR="007C7B8B" w:rsidRPr="00D63DB1" w14:paraId="4F405B65" w14:textId="77777777" w:rsidTr="000F04CD">
        <w:trPr>
          <w:cantSplit/>
          <w:trHeight w:hRule="exact" w:val="340"/>
        </w:trPr>
        <w:tc>
          <w:tcPr>
            <w:tcW w:w="2440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07FB2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Different</w:t>
            </w:r>
          </w:p>
        </w:tc>
        <w:tc>
          <w:tcPr>
            <w:tcW w:w="1207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FCAEB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90 (67.2%)</w:t>
            </w:r>
          </w:p>
        </w:tc>
        <w:tc>
          <w:tcPr>
            <w:tcW w:w="4025" w:type="dxa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91DC" w14:textId="77777777" w:rsidR="007C7B8B" w:rsidRPr="00D63DB1" w:rsidRDefault="007C7B8B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44 (53.7%)</w:t>
            </w:r>
          </w:p>
        </w:tc>
      </w:tr>
      <w:tr w:rsidR="007C7B8B" w:rsidRPr="00D63DB1" w14:paraId="52EFA600" w14:textId="77777777" w:rsidTr="000F04CD">
        <w:trPr>
          <w:cantSplit/>
          <w:trHeight w:hRule="exact" w:val="1070"/>
        </w:trPr>
        <w:tc>
          <w:tcPr>
            <w:tcW w:w="7672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E597" w14:textId="119D56DC" w:rsidR="007C7B8B" w:rsidRPr="00D63DB1" w:rsidRDefault="007C7B8B" w:rsidP="00D8094A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Calibri Light" w:hAnsi="Calibri Light" w:cstheme="majorHAnsi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theme="majorHAnsi"/>
                <w:sz w:val="16"/>
                <w:szCs w:val="16"/>
                <w:lang w:val="en-US"/>
              </w:rPr>
              <w:t>* A 10% range of difference between scans was considered homogeneous</w:t>
            </w:r>
          </w:p>
        </w:tc>
      </w:tr>
    </w:tbl>
    <w:p w14:paraId="01690649" w14:textId="2BF6199D" w:rsidR="00A477EF" w:rsidRPr="00D63DB1" w:rsidRDefault="00A477EF" w:rsidP="00A477EF">
      <w:pPr>
        <w:rPr>
          <w:rFonts w:ascii="Calibri Light" w:hAnsi="Calibri Light"/>
          <w:sz w:val="16"/>
          <w:szCs w:val="16"/>
          <w:lang w:val="en-US"/>
        </w:rPr>
      </w:pPr>
    </w:p>
    <w:p w14:paraId="1B4168B0" w14:textId="06163E0B" w:rsidR="008363FE" w:rsidRPr="00D63DB1" w:rsidRDefault="008363FE" w:rsidP="00A477EF">
      <w:pPr>
        <w:rPr>
          <w:rFonts w:ascii="Calibri Light" w:hAnsi="Calibri Light"/>
          <w:sz w:val="16"/>
          <w:szCs w:val="16"/>
          <w:lang w:val="en-US"/>
        </w:rPr>
      </w:pPr>
    </w:p>
    <w:p w14:paraId="1E56CFBD" w14:textId="52D3443C" w:rsidR="00D8094A" w:rsidRPr="00D63DB1" w:rsidRDefault="00D8094A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tbl>
      <w:tblPr>
        <w:tblStyle w:val="Lijsttabel6kleurrijk"/>
        <w:tblW w:w="0" w:type="auto"/>
        <w:tblLook w:val="04A0" w:firstRow="1" w:lastRow="0" w:firstColumn="1" w:lastColumn="0" w:noHBand="0" w:noVBand="1"/>
      </w:tblPr>
      <w:tblGrid>
        <w:gridCol w:w="2125"/>
        <w:gridCol w:w="1763"/>
        <w:gridCol w:w="1144"/>
        <w:gridCol w:w="1391"/>
      </w:tblGrid>
      <w:tr w:rsidR="00747C74" w:rsidRPr="00D63DB1" w14:paraId="1E5565E1" w14:textId="77777777" w:rsidTr="00D63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3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15955E75" w14:textId="2892D8A0" w:rsidR="00747C74" w:rsidRPr="00D63DB1" w:rsidRDefault="00747C7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Suppl. Material 3. Comparison for including versus excluding necrotic areas for patients with similar scanner properties at diagnosis and response (</w:t>
            </w:r>
            <w:r w:rsidRPr="00D63DB1">
              <w:rPr>
                <w:rFonts w:ascii="Calibri Light" w:hAnsi="Calibri Light" w:cs="Calibri Light"/>
                <w:b w:val="0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=38)</w:t>
            </w:r>
          </w:p>
        </w:tc>
      </w:tr>
      <w:tr w:rsidR="00747C74" w:rsidRPr="00D63DB1" w14:paraId="2EBB9583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D322521" w14:textId="77777777" w:rsidR="00747C74" w:rsidRPr="00D63DB1" w:rsidRDefault="00747C74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176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17C74C44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Excluding</w:t>
            </w:r>
          </w:p>
        </w:tc>
        <w:tc>
          <w:tcPr>
            <w:tcW w:w="114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3C5880C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Including</w:t>
            </w:r>
          </w:p>
        </w:tc>
        <w:tc>
          <w:tcPr>
            <w:tcW w:w="139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C0108CD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P value</w:t>
            </w:r>
          </w:p>
        </w:tc>
      </w:tr>
      <w:tr w:rsidR="00747C74" w:rsidRPr="00D63DB1" w14:paraId="6A1FD041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6D6391C9" w14:textId="77777777" w:rsidR="00747C74" w:rsidRPr="00D63DB1" w:rsidRDefault="00747C74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 diagnosis</w:t>
            </w:r>
          </w:p>
        </w:tc>
        <w:tc>
          <w:tcPr>
            <w:tcW w:w="1763" w:type="dxa"/>
            <w:shd w:val="clear" w:color="auto" w:fill="auto"/>
          </w:tcPr>
          <w:p w14:paraId="1FDCCC00" w14:textId="77777777" w:rsidR="00747C74" w:rsidRPr="00D63DB1" w:rsidRDefault="00747C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1.1</w:t>
            </w:r>
          </w:p>
        </w:tc>
        <w:tc>
          <w:tcPr>
            <w:tcW w:w="1144" w:type="dxa"/>
            <w:shd w:val="clear" w:color="auto" w:fill="auto"/>
          </w:tcPr>
          <w:p w14:paraId="748AD8C4" w14:textId="77777777" w:rsidR="00747C74" w:rsidRPr="00D63DB1" w:rsidRDefault="00747C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1.1</w:t>
            </w:r>
          </w:p>
        </w:tc>
        <w:tc>
          <w:tcPr>
            <w:tcW w:w="1391" w:type="dxa"/>
            <w:shd w:val="clear" w:color="auto" w:fill="auto"/>
          </w:tcPr>
          <w:p w14:paraId="0DAABCF6" w14:textId="77777777" w:rsidR="00747C74" w:rsidRPr="00D63DB1" w:rsidRDefault="00747C74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0.13</w:t>
            </w:r>
          </w:p>
        </w:tc>
      </w:tr>
      <w:tr w:rsidR="00747C74" w:rsidRPr="00D63DB1" w14:paraId="72BE20B0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618531DE" w14:textId="77777777" w:rsidR="00747C74" w:rsidRPr="00D63DB1" w:rsidRDefault="00747C74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 response</w:t>
            </w:r>
          </w:p>
        </w:tc>
        <w:tc>
          <w:tcPr>
            <w:tcW w:w="1763" w:type="dxa"/>
            <w:shd w:val="clear" w:color="auto" w:fill="auto"/>
          </w:tcPr>
          <w:p w14:paraId="4DD6ECD6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1.496           </w:t>
            </w:r>
          </w:p>
        </w:tc>
        <w:tc>
          <w:tcPr>
            <w:tcW w:w="1144" w:type="dxa"/>
            <w:shd w:val="clear" w:color="auto" w:fill="auto"/>
          </w:tcPr>
          <w:p w14:paraId="4948A9C1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1.501</w:t>
            </w:r>
          </w:p>
        </w:tc>
        <w:tc>
          <w:tcPr>
            <w:tcW w:w="1391" w:type="dxa"/>
            <w:shd w:val="clear" w:color="auto" w:fill="auto"/>
          </w:tcPr>
          <w:p w14:paraId="03A52D0E" w14:textId="77777777" w:rsidR="00747C74" w:rsidRPr="00D63DB1" w:rsidRDefault="00747C74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0.32      </w:t>
            </w:r>
          </w:p>
        </w:tc>
      </w:tr>
      <w:tr w:rsidR="00747C74" w:rsidRPr="00D63DB1" w14:paraId="77A246E5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02F8FF65" w14:textId="77777777" w:rsidR="00747C74" w:rsidRPr="00D63DB1" w:rsidRDefault="00747C74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Mean ADC </w:t>
            </w:r>
            <w:proofErr w:type="spellStart"/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percental</w:t>
            </w:r>
            <w:proofErr w:type="spellEnd"/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change</w:t>
            </w:r>
          </w:p>
        </w:tc>
        <w:tc>
          <w:tcPr>
            <w:tcW w:w="1763" w:type="dxa"/>
            <w:shd w:val="clear" w:color="auto" w:fill="auto"/>
          </w:tcPr>
          <w:p w14:paraId="256A781F" w14:textId="77777777" w:rsidR="00747C74" w:rsidRPr="00D63DB1" w:rsidRDefault="00747C74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41.98 %</w:t>
            </w:r>
          </w:p>
        </w:tc>
        <w:tc>
          <w:tcPr>
            <w:tcW w:w="1144" w:type="dxa"/>
            <w:shd w:val="clear" w:color="auto" w:fill="auto"/>
          </w:tcPr>
          <w:p w14:paraId="008EFA1C" w14:textId="77777777" w:rsidR="00747C74" w:rsidRPr="00D63DB1" w:rsidRDefault="00747C74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42.09 %</w:t>
            </w:r>
          </w:p>
        </w:tc>
        <w:tc>
          <w:tcPr>
            <w:tcW w:w="1391" w:type="dxa"/>
            <w:shd w:val="clear" w:color="auto" w:fill="auto"/>
          </w:tcPr>
          <w:p w14:paraId="081DBB2C" w14:textId="77777777" w:rsidR="00747C74" w:rsidRPr="00D63DB1" w:rsidRDefault="00747C74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0.75</w:t>
            </w:r>
          </w:p>
        </w:tc>
      </w:tr>
      <w:tr w:rsidR="00747C74" w:rsidRPr="00D63DB1" w14:paraId="78C9778E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86C893" w14:textId="77777777" w:rsidR="00747C74" w:rsidRPr="00D63DB1" w:rsidRDefault="00747C74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ADC: Apparent Diffusion Coefficient</w:t>
            </w:r>
          </w:p>
        </w:tc>
      </w:tr>
    </w:tbl>
    <w:p w14:paraId="0DEDA351" w14:textId="16D41943" w:rsidR="00537880" w:rsidRPr="00D63DB1" w:rsidRDefault="00537880" w:rsidP="00A477EF">
      <w:pPr>
        <w:rPr>
          <w:rFonts w:ascii="Calibri Light" w:hAnsi="Calibri Light"/>
          <w:sz w:val="16"/>
          <w:szCs w:val="16"/>
          <w:lang w:val="en-US"/>
        </w:rPr>
      </w:pPr>
    </w:p>
    <w:p w14:paraId="61D9CADF" w14:textId="700DA9BB" w:rsidR="00747C74" w:rsidRPr="00D63DB1" w:rsidRDefault="00747C74" w:rsidP="00A477EF">
      <w:pPr>
        <w:rPr>
          <w:rFonts w:ascii="Calibri Light" w:hAnsi="Calibri Light"/>
          <w:sz w:val="16"/>
          <w:szCs w:val="16"/>
          <w:lang w:val="en-US"/>
        </w:rPr>
      </w:pPr>
    </w:p>
    <w:p w14:paraId="09EE00DC" w14:textId="77777777" w:rsidR="002A6AD0" w:rsidRPr="00D63DB1" w:rsidRDefault="002A6AD0">
      <w:pPr>
        <w:rPr>
          <w:rFonts w:ascii="Calibri Light" w:hAnsi="Calibri Light"/>
          <w:sz w:val="16"/>
          <w:szCs w:val="16"/>
          <w:lang w:val="en-US"/>
        </w:rPr>
      </w:pPr>
    </w:p>
    <w:p w14:paraId="44D9D563" w14:textId="6085E1D9" w:rsidR="006312E8" w:rsidRPr="00D63DB1" w:rsidRDefault="006312E8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  <w:bookmarkStart w:id="4" w:name="_GoBack"/>
      <w:bookmarkEnd w:id="4"/>
    </w:p>
    <w:p w14:paraId="25A3B74E" w14:textId="77777777" w:rsidR="006312E8" w:rsidRPr="00D63DB1" w:rsidRDefault="006312E8" w:rsidP="006312E8">
      <w:pPr>
        <w:rPr>
          <w:rFonts w:ascii="Calibri Light" w:hAnsi="Calibri Light"/>
          <w:sz w:val="16"/>
          <w:szCs w:val="16"/>
          <w:lang w:val="en-US"/>
        </w:rPr>
      </w:pPr>
    </w:p>
    <w:p w14:paraId="14BBED33" w14:textId="0DA797F4" w:rsidR="006312E8" w:rsidRPr="00D63DB1" w:rsidRDefault="006312E8" w:rsidP="006312E8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t>Suppl. Material 4. Baseline characteristics of pediatric/adolescent versus young adult cohort</w:t>
      </w:r>
    </w:p>
    <w:tbl>
      <w:tblPr>
        <w:tblW w:w="0" w:type="auto"/>
        <w:tblLayout w:type="fixed"/>
        <w:tblLook w:val="0420" w:firstRow="1" w:lastRow="0" w:firstColumn="0" w:lastColumn="0" w:noHBand="0" w:noVBand="1"/>
      </w:tblPr>
      <w:tblGrid>
        <w:gridCol w:w="2015"/>
        <w:gridCol w:w="1700"/>
        <w:gridCol w:w="2001"/>
        <w:gridCol w:w="897"/>
      </w:tblGrid>
      <w:tr w:rsidR="006312E8" w:rsidRPr="00D63DB1" w14:paraId="14FC299B" w14:textId="77777777" w:rsidTr="00D63DB1">
        <w:trPr>
          <w:tblHeader/>
        </w:trPr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78A6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7931" w14:textId="2F298982" w:rsidR="006312E8" w:rsidRPr="00D63DB1" w:rsidRDefault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Pediatric/Adolescent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=129)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73C98" w14:textId="21E71BF0" w:rsidR="006312E8" w:rsidRPr="00D63DB1" w:rsidRDefault="006312E8" w:rsidP="00D63DB1">
            <w:pPr>
              <w:jc w:val="left"/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Young adult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=5)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6D5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P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-value</w:t>
            </w:r>
          </w:p>
        </w:tc>
      </w:tr>
      <w:tr w:rsidR="006312E8" w:rsidRPr="00D63DB1" w14:paraId="1433DF55" w14:textId="77777777" w:rsidTr="006312E8">
        <w:tc>
          <w:tcPr>
            <w:tcW w:w="201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4E83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Country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55B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BE6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FB8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12208C9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745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France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A9A0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16 (12.4%)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AEE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6A70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0.254</w:t>
            </w:r>
          </w:p>
        </w:tc>
      </w:tr>
      <w:tr w:rsidR="006312E8" w:rsidRPr="00D63DB1" w14:paraId="22D26292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FA0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Italy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FE3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32 (24.8%)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860B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 (80.0%)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42DE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C63B26F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387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Norway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9E6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12 (9.3%)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8A0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5CF0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66C5348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07F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Spain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7F0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(7.8%)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5D3E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88B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CEED761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CE9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The Netherlands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641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45 (34.9%)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0CF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9340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076E4319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531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United Kingdom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4A12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 (3.1%)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E15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7DA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02790BD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0C31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Belgium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A0FB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(7.8%)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CE8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F1F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8C978D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8D82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2DB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8772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23C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B8D7E59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7B8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Female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70D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46 (35.7%)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7961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E47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</w:t>
            </w:r>
          </w:p>
        </w:tc>
      </w:tr>
      <w:tr w:rsidR="006312E8" w:rsidRPr="00D63DB1" w14:paraId="42B10D90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035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Male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B0E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83 (64.3%)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1E2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38E2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28253BD6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2B4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Age(years)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2EDB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D57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8B28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D708904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537F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0D38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7.17 (5.14)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935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20.7 (1.12)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AAD5" w14:textId="343C8D21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P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&lt;0.001</w:t>
            </w:r>
          </w:p>
        </w:tc>
      </w:tr>
      <w:tr w:rsidR="006312E8" w:rsidRPr="00D63DB1" w14:paraId="4B7C899A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53DE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FD3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5.60 [0.300, 17.8]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3248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20.8 [19.3, 21.8]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6C4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B76EFB0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C09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Site of primary tumor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382E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6D9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66D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3EE90B3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62BD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Extremities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DEA7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12 (9.3%)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E87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CB6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0.102</w:t>
            </w:r>
          </w:p>
        </w:tc>
      </w:tr>
      <w:tr w:rsidR="006312E8" w:rsidRPr="00D63DB1" w14:paraId="0D0FFEB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122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GUBP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EFD9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23 (17.8%)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3762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7958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F2C4B76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C500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GUnoBP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725A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(1.6%)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CADA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5AD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7DAD27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7BC8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HNnoPM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8EFB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(13.2%)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0594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DDBE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5F274D38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D28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HNPM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C1E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44 (34.1%)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4C4B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556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287B0668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A352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Orbit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3B3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(13.2%)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68B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A90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29980D35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17D7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Other site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785E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14 (10.9%)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93E9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420B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12E0B5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F865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Site of primary tumor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9A8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647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F62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35A0AA7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6B66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Favourable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F33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37 (28.7%)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FAF1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C057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</w:t>
            </w:r>
          </w:p>
        </w:tc>
      </w:tr>
      <w:tr w:rsidR="006312E8" w:rsidRPr="00D63DB1" w14:paraId="15C6837C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AED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Unfavourable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3A6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92 (71.3%)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9BE1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 (80.0%)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E3A1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033D8D71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E65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Histology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77D9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99F3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DAB9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2E788BC5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7CEA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Alveolar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31F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26 (20.2%)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C86C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A728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0.1</w:t>
            </w:r>
          </w:p>
        </w:tc>
      </w:tr>
      <w:tr w:rsidR="006312E8" w:rsidRPr="00D63DB1" w14:paraId="24685824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DF8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Embryonal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A2B8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94 (72.9%)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428E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186A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4715754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A270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Other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8427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 (7.0%)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A799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7B3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01AB3002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FF87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Fusion status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C145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469E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E994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18E9CBD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D6FD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Missing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ED3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32 (24.8%)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0F4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9F3E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0.161</w:t>
            </w:r>
          </w:p>
        </w:tc>
      </w:tr>
      <w:tr w:rsidR="006312E8" w:rsidRPr="00D63DB1" w14:paraId="57201ED3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E4D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Negative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BC2D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77 (59.7%)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495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27B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5ECD04AA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B570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Positive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5666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20 (15.5%)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566B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2FC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95DB26B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8D50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Tumor size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931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438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9DD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4284E881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9BF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&lt;=5 cm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7596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67 (51.9%)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DC77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149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</w:t>
            </w:r>
          </w:p>
        </w:tc>
      </w:tr>
      <w:tr w:rsidR="006312E8" w:rsidRPr="00D63DB1" w14:paraId="12CDE51C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87C3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&gt;5 cm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35F7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62 (48.1%)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3401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F5C1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2A33574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207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3F0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12F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474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41B642EF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61A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4A0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(0.8%)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202D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6A7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0.466</w:t>
            </w:r>
          </w:p>
        </w:tc>
      </w:tr>
      <w:tr w:rsidR="006312E8" w:rsidRPr="00D63DB1" w14:paraId="5A64D9B5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2988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346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61 (47.3%)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561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821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C5446AA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E78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T2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A3D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67 (51.9%)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CB7C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 (80.0%)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581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DEABF69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7DF9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N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8A89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D72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469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626EC21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DED9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0C0E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91 (70.5%)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378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197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0.994</w:t>
            </w:r>
          </w:p>
        </w:tc>
      </w:tr>
      <w:tr w:rsidR="006312E8" w:rsidRPr="00D63DB1" w14:paraId="496EE332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D6CE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B01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38 (29.5%)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37A8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E9D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5BF7570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E11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CEBD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1814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8F7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A4A8EAE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9516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F4A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104 (80.6%)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D21D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8B5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0.576</w:t>
            </w:r>
          </w:p>
        </w:tc>
      </w:tr>
      <w:tr w:rsidR="006312E8" w:rsidRPr="00D63DB1" w14:paraId="3BB50EA7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9AE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724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25 (19.4%)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6944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4935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23950935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FF04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Risk group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15A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4BE0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A9B4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F4996B1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EF22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Standard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6E1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46 (35.7%)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C737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5FAF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0.636</w:t>
            </w:r>
          </w:p>
        </w:tc>
      </w:tr>
      <w:tr w:rsidR="006312E8" w:rsidRPr="00D63DB1" w14:paraId="7901DC65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F0A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High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DCF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49 (38.0%)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B75F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8C81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3C6FEA2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1030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Very high - localized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F0D6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 (7.0%)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0D4D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157E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7B22F1F8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3570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Very high - metastatic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A10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25 (19.4%)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67C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0EA8E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3C29CD1E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9B3A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Event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EDB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A713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13C7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5EAA9180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DC9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No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DE9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85 (65.9%)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4BD6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369B1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0.476</w:t>
            </w:r>
          </w:p>
        </w:tc>
      </w:tr>
      <w:tr w:rsidR="006312E8" w:rsidRPr="00D63DB1" w14:paraId="0760C6E6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CD26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Yes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EA1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44 (34.1%)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1A6C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74CF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A6D709E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B2240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Status at last follow-up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DA9A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FCB5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81B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0A4C6BEF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26E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off therapy (1st CR)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F4D0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82 (63.6%)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C89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EABA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0.543</w:t>
            </w:r>
          </w:p>
        </w:tc>
      </w:tr>
      <w:tr w:rsidR="006312E8" w:rsidRPr="00D63DB1" w14:paraId="1BBB3CFB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54C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off therapy (2nd CR)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ABB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(7.8%)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61E8B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E8CC4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EF2A51B" w14:textId="77777777" w:rsidTr="00D63DB1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F33B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with disease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0A93C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(1.6%)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390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1119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60EDC735" w14:textId="77777777" w:rsidTr="006312E8"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4B90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Dead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030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33 (25.6%)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4066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(60.0%)</w:t>
            </w:r>
          </w:p>
        </w:tc>
        <w:tc>
          <w:tcPr>
            <w:tcW w:w="8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5CE7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6312E8" w:rsidRPr="00D63DB1" w14:paraId="1C84B468" w14:textId="77777777" w:rsidTr="006312E8">
        <w:tc>
          <w:tcPr>
            <w:tcW w:w="201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02C6D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Lost to follow-up in CR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01DA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(1.6%)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4E122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C67F" w14:textId="77777777" w:rsidR="006312E8" w:rsidRPr="00D63DB1" w:rsidRDefault="006312E8" w:rsidP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</w:tbl>
    <w:p w14:paraId="2A09AB16" w14:textId="77777777" w:rsidR="006312E8" w:rsidRPr="00D63DB1" w:rsidRDefault="006312E8" w:rsidP="006312E8">
      <w:pPr>
        <w:rPr>
          <w:rFonts w:ascii="Calibri Light" w:hAnsi="Calibri Light"/>
          <w:sz w:val="16"/>
          <w:szCs w:val="16"/>
          <w:lang w:val="en-US"/>
        </w:rPr>
      </w:pPr>
    </w:p>
    <w:p w14:paraId="0B3639B9" w14:textId="77777777" w:rsidR="002A6AD0" w:rsidRPr="00D63DB1" w:rsidRDefault="002A6AD0">
      <w:pPr>
        <w:rPr>
          <w:rFonts w:ascii="Calibri Light" w:hAnsi="Calibri Light"/>
          <w:sz w:val="16"/>
          <w:szCs w:val="16"/>
          <w:lang w:val="en-US"/>
        </w:rPr>
      </w:pPr>
    </w:p>
    <w:p w14:paraId="13519F02" w14:textId="53F7E645" w:rsidR="002A6AD0" w:rsidRPr="00D63DB1" w:rsidRDefault="002A6AD0" w:rsidP="002A6AD0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tbl>
      <w:tblPr>
        <w:tblW w:w="10133" w:type="dxa"/>
        <w:jc w:val="center"/>
        <w:tblLayout w:type="fixed"/>
        <w:tblLook w:val="0420" w:firstRow="1" w:lastRow="0" w:firstColumn="0" w:lastColumn="0" w:noHBand="0" w:noVBand="1"/>
      </w:tblPr>
      <w:tblGrid>
        <w:gridCol w:w="2015"/>
        <w:gridCol w:w="1700"/>
        <w:gridCol w:w="2001"/>
        <w:gridCol w:w="2416"/>
        <w:gridCol w:w="2001"/>
      </w:tblGrid>
      <w:tr w:rsidR="006312E8" w:rsidRPr="00D63DB1" w14:paraId="0C3892DE" w14:textId="77777777" w:rsidTr="00D63DB1">
        <w:trPr>
          <w:tblHeader/>
          <w:jc w:val="center"/>
        </w:trPr>
        <w:tc>
          <w:tcPr>
            <w:tcW w:w="10133" w:type="dxa"/>
            <w:gridSpan w:val="5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E52B" w14:textId="17FE17F2" w:rsidR="006312E8" w:rsidRPr="00D63DB1" w:rsidRDefault="006312E8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Suppl. Material 5. Baseline characteristics of the pediatric/adolescent versus young adult cohort in the excluded and included cohort</w:t>
            </w:r>
          </w:p>
        </w:tc>
      </w:tr>
      <w:tr w:rsidR="002A6AD0" w:rsidRPr="00D63DB1" w14:paraId="066D7985" w14:textId="77777777" w:rsidTr="00D63DB1">
        <w:trPr>
          <w:tblHeader/>
          <w:jc w:val="center"/>
        </w:trPr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DD42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3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165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Excluded</w:t>
            </w:r>
          </w:p>
        </w:tc>
        <w:tc>
          <w:tcPr>
            <w:tcW w:w="4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5AFFD" w14:textId="6DF4B2B7" w:rsidR="002A6AD0" w:rsidRPr="00D63DB1" w:rsidRDefault="006312E8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Included</w:t>
            </w:r>
          </w:p>
        </w:tc>
      </w:tr>
      <w:tr w:rsidR="002A6AD0" w:rsidRPr="00D63DB1" w14:paraId="4A58C8AA" w14:textId="77777777" w:rsidTr="00D63DB1">
        <w:trPr>
          <w:tblHeader/>
          <w:jc w:val="center"/>
        </w:trPr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996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956E4" w14:textId="2D58FD19" w:rsidR="002A6AD0" w:rsidRPr="00D63DB1" w:rsidRDefault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Pediatric/Adolescent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="006312E8"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=48)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4B6F" w14:textId="678DDE49" w:rsidR="002A6AD0" w:rsidRPr="00D63DB1" w:rsidRDefault="002A6AD0" w:rsidP="00D63DB1">
            <w:pPr>
              <w:jc w:val="left"/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 xml:space="preserve">Young </w:t>
            </w:r>
            <w:r w:rsidR="006312E8" w:rsidRPr="00D63DB1">
              <w:rPr>
                <w:rFonts w:ascii="Calibri Light" w:hAnsi="Calibri Light"/>
                <w:sz w:val="16"/>
                <w:szCs w:val="16"/>
                <w:lang w:val="en-US"/>
              </w:rPr>
              <w:t>adult</w:t>
            </w:r>
            <w:r w:rsidR="006312E8"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="006312E8"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=4)</w:t>
            </w:r>
          </w:p>
        </w:tc>
        <w:tc>
          <w:tcPr>
            <w:tcW w:w="2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BCAA" w14:textId="2F959DB4" w:rsidR="002A6AD0" w:rsidRPr="00D63DB1" w:rsidRDefault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Pediatric/Adolescent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="006312E8"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=81)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8959" w14:textId="088355A8" w:rsidR="002A6AD0" w:rsidRPr="00D63DB1" w:rsidRDefault="002A6AD0" w:rsidP="00D63DB1">
            <w:pPr>
              <w:jc w:val="left"/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Y</w:t>
            </w:r>
            <w:r w:rsidR="006312E8" w:rsidRPr="00D63DB1">
              <w:rPr>
                <w:rFonts w:ascii="Calibri Light" w:hAnsi="Calibri Light"/>
                <w:sz w:val="16"/>
                <w:szCs w:val="16"/>
                <w:lang w:val="en-US"/>
              </w:rPr>
              <w:t>oung adult</w:t>
            </w:r>
            <w:r w:rsidR="006312E8" w:rsidRPr="00D63DB1">
              <w:rPr>
                <w:rFonts w:ascii="Calibri Light" w:hAnsi="Calibri Light"/>
                <w:sz w:val="16"/>
                <w:szCs w:val="16"/>
                <w:lang w:val="en-US"/>
              </w:rPr>
              <w:br/>
              <w:t>(</w:t>
            </w:r>
            <w:r w:rsidR="006312E8" w:rsidRPr="00D63DB1">
              <w:rPr>
                <w:rFonts w:ascii="Calibri Light" w:hAnsi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=1)</w:t>
            </w:r>
          </w:p>
        </w:tc>
      </w:tr>
      <w:tr w:rsidR="002A6AD0" w:rsidRPr="00D63DB1" w14:paraId="0F6CDDCC" w14:textId="77777777" w:rsidTr="00D63DB1">
        <w:trPr>
          <w:jc w:val="center"/>
        </w:trPr>
        <w:tc>
          <w:tcPr>
            <w:tcW w:w="201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6F77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Country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D55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4D0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5727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005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1187C30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5A1B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France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E13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(6.3%)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3B8C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183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13 (16.0%)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2984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2273F0F0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3C4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Italy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2691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11 (22.9%)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6E73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(75.0%)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0B12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21 (25.9%)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8D0E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53692ABB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DCA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Norway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519F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(12.5%)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0E96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6C66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(7.4%)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5F08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6F326C68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930E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Spain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207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 (16.7%)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CD4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6DD6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97BE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25759872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5D3C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The Netherlands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7F3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(35.4%)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E450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C042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28 (34.6%)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80C8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5838FFDE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61B7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United Kingdom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6E9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46B1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C980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(3.7%)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6CD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1193D797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CD55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Belgium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167C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85E0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CB0E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 (9.9%)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415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6162702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70A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99F3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29A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073E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B8AB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4334D896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37A5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Female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8B31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24 (50.0%)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891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F3A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22 (27.2%)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1361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423422D5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5D03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Male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23D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24 (50.0%)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53EE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BEBC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59 (72.8%)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124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6CF8492C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9149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Age(years)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4B6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AB5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21AF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BCE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379B783D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C0EB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Mean (SD)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DC53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7.01 (4.89)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3D26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20.4 (1.07)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AA3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7.26 (5.32)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CB51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21.8 (NA)</w:t>
            </w:r>
          </w:p>
        </w:tc>
      </w:tr>
      <w:tr w:rsidR="002A6AD0" w:rsidRPr="00D63DB1" w14:paraId="4AA19EF0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89E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Median [Min, Max]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8847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5.05 [0.600, 16.9]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FBA7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20.3 [19.3, 21.7]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B8F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5.80 [0.300, 17.8]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525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21.8 [21.8, 21.8]</w:t>
            </w:r>
          </w:p>
        </w:tc>
      </w:tr>
      <w:tr w:rsidR="002A6AD0" w:rsidRPr="00D63DB1" w14:paraId="08E9CA33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B3F4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Site of primary tumor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0AF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6C5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23D0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C970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3B614D56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EA8E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Extremities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278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(12.5%)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0059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3376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(7.4%)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C06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37EB19F8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BF0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GUBP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C25E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(12.5%)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3D5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7A2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(21.0%)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F85C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198D8673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0131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HNnoPM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DC8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 (14.6%)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E329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7A0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(12.3%)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455D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626F8239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BAD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HNPM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053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15 (31.3%)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064B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(75.0%)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D5F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29 (35.8%)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268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53DD94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B09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Orbit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AF35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 (16.7%)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148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151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 (11.1%)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43CD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3B600F01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008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Other site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705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 (12.5%)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8FC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B746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8 (9.9%)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E423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AF9D5E1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C621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GUnoBP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D010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E15C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6D2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54BC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016EF9B9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F13D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Site of primary tumor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301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6CE6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1C6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3BDA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48D3F99C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EEA1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Favourable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B9C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15 (31.3%)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518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1AEE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22 (27.2%)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01F0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1D0A25DE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9F0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</w:t>
            </w:r>
            <w:proofErr w:type="spellStart"/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Unfavourable</w:t>
            </w:r>
            <w:proofErr w:type="spellEnd"/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A2B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33 (68.8%)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11C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(75.0%)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A148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59 (72.8%)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3387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4636D87C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7A0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Histology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651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324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6170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233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5FC6AEAD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EF4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Alveolar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755A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12 (25.0%)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BFD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(75.0%)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2CB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14 (17.3%)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5C5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58105E65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15D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Embryonal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922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31 (64.6%)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2DE5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7EF3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63 (77.8%)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1F63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3EC40957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398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Other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6055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 (10.4%)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0E1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E568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 (4.9%)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7E0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3CDE67A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716C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Fusion status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0D9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3DA3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6317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CBD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2BCFFABA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C69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Missing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600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13 (27.1%)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E8F1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34D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19 (23.5%)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CAE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2C672118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803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Negative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ECDB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26 (54.2%)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0E1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96B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51 (63.0%)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8C91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2D5F86C0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4FD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Positive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A95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 (18.8%)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5BF6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C9BC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11 (13.6%)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0CE1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38A74E69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3C4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Tumor size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696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266B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A58B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11B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0463AEE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E85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&lt;=5 cm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81A8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29 (60.4%)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9D1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5D9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38 (46.9%)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225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6BB5223E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90C4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&gt;5 cm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933D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19 (39.6%)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6D1E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EB4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43 (53.1%)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5A9F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31EC64D6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9E5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F06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CBF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0F5C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BEA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07E6832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40D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E69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820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351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375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636634E0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B0D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8A0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30 (62.5%)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418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7ECD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31 (38.3%)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510E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327A836B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74FB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T2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E1C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(35.4%)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33F4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 (75.0%)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F11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50 (61.7%)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FF2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63ED64FA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0757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N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342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E70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F09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FF24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65A9B1E1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7C1F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8A68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34 (70.8%)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855D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0FA2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57 (70.4%)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ACF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63AE8DD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9E92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F33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14 (29.2%)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E5A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6611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24 (29.6%)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7308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13C4C47B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3DA7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M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159B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310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381F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E176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0DEDC550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2520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M0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1BA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38 (79.2%)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B82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971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66 (81.5%)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F49C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5B9FF6C8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7511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M1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01E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(20.8%)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EDA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3D3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15 (18.5%)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B26E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6D825564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3D7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Risk group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1936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1F2A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7992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8A3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4B7AA0DE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2CF7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Standard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147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19 (39.6%)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7011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15307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27 (33.3%)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099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15931F8D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506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High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142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17 (35.4%)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C1E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(25.0%)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FC8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32 (39.5%)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BA7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2151AE2F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E14E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Very high - localized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5A47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(4.2%)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017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F29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7 (8.6%)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F8C2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58DB587B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030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Very high - metastatic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45DF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10 (20.8%)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47D7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A17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15 (18.5%)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60F0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46621B0E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57D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Event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1E2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CC82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7D3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BD39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5DEBF4A9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CCF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No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FFC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34 (70.8%)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E96E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F3B0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51 (63.0%)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A76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BE5133D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5DF1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Yes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C848C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14 (29.2%)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A6C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B274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30 (37.0%)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EE7F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112D7775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13A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Status at last follow-up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D24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CB8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B6B4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602F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</w:p>
        </w:tc>
      </w:tr>
      <w:tr w:rsidR="002A6AD0" w:rsidRPr="00D63DB1" w14:paraId="41614305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8B4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off therapy (1st CR)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849C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32 (66.7%)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45F51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8D7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50 (61.7%)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46B9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72FFCB9B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5009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off therapy (2nd CR)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732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 (10.4%)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FA37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EA13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5 (6.2%)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917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16516A45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2E9A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Alive with disease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83C0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(2.1%)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5AC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77236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(1.2%)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6D5E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  <w:tr w:rsidR="002A6AD0" w:rsidRPr="00D63DB1" w14:paraId="414F197F" w14:textId="77777777" w:rsidTr="00D63DB1">
        <w:trPr>
          <w:jc w:val="center"/>
        </w:trPr>
        <w:tc>
          <w:tcPr>
            <w:tcW w:w="20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6989B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Dead</w:t>
            </w:r>
          </w:p>
        </w:tc>
        <w:tc>
          <w:tcPr>
            <w:tcW w:w="17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94D5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9 (18.8%)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91D68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 (50.0%)</w:t>
            </w:r>
          </w:p>
        </w:tc>
        <w:tc>
          <w:tcPr>
            <w:tcW w:w="24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A02F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24 (29.6%)</w:t>
            </w:r>
          </w:p>
        </w:tc>
        <w:tc>
          <w:tcPr>
            <w:tcW w:w="20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6BA9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(100%)</w:t>
            </w:r>
          </w:p>
        </w:tc>
      </w:tr>
      <w:tr w:rsidR="002A6AD0" w:rsidRPr="00D63DB1" w14:paraId="0B00D573" w14:textId="77777777" w:rsidTr="00D63DB1">
        <w:trPr>
          <w:jc w:val="center"/>
        </w:trPr>
        <w:tc>
          <w:tcPr>
            <w:tcW w:w="201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F495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  Lost to follow-up in CR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AAA2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(2.1%)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CCAA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24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E57FF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1 (1.2%)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9AFD" w14:textId="77777777" w:rsidR="002A6AD0" w:rsidRPr="00D63DB1" w:rsidRDefault="002A6AD0" w:rsidP="002A6AD0">
            <w:pPr>
              <w:rPr>
                <w:rFonts w:ascii="Calibri Light" w:hAnsi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/>
                <w:sz w:val="16"/>
                <w:szCs w:val="16"/>
                <w:lang w:val="en-US"/>
              </w:rPr>
              <w:t>0 (0%)</w:t>
            </w:r>
          </w:p>
        </w:tc>
      </w:tr>
    </w:tbl>
    <w:p w14:paraId="3A0941DE" w14:textId="77777777" w:rsidR="002A6AD0" w:rsidRPr="00D63DB1" w:rsidRDefault="002A6AD0" w:rsidP="002A6AD0">
      <w:pPr>
        <w:rPr>
          <w:rFonts w:ascii="Calibri Light" w:hAnsi="Calibri Light"/>
          <w:sz w:val="16"/>
          <w:szCs w:val="16"/>
          <w:lang w:val="en-US"/>
        </w:rPr>
      </w:pPr>
    </w:p>
    <w:p w14:paraId="57357088" w14:textId="3474902F" w:rsidR="006312E8" w:rsidRPr="00D63DB1" w:rsidRDefault="00747C74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tbl>
      <w:tblPr>
        <w:tblStyle w:val="Lijsttabel6kleurrijk"/>
        <w:tblW w:w="0" w:type="auto"/>
        <w:tblLook w:val="04A0" w:firstRow="1" w:lastRow="0" w:firstColumn="1" w:lastColumn="0" w:noHBand="0" w:noVBand="1"/>
      </w:tblPr>
      <w:tblGrid>
        <w:gridCol w:w="2125"/>
        <w:gridCol w:w="2075"/>
        <w:gridCol w:w="1767"/>
        <w:gridCol w:w="1385"/>
        <w:gridCol w:w="6"/>
      </w:tblGrid>
      <w:tr w:rsidR="006312E8" w:rsidRPr="00D63DB1" w14:paraId="6DB26107" w14:textId="77777777" w:rsidTr="00D63DB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2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30920ABA" w14:textId="5CE4C413" w:rsidR="006312E8" w:rsidRPr="00D63DB1" w:rsidRDefault="006312E8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Suppl. Material 6. Comparison for pediatric/adolescent versus included cohort</w:t>
            </w:r>
          </w:p>
        </w:tc>
      </w:tr>
      <w:tr w:rsidR="006312E8" w:rsidRPr="00D63DB1" w14:paraId="58820549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6F41331D" w14:textId="77777777" w:rsidR="006312E8" w:rsidRPr="00D63DB1" w:rsidRDefault="006312E8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207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352DD31" w14:textId="776CF8DD" w:rsidR="006312E8" w:rsidRPr="00D63DB1" w:rsidRDefault="00AF63C3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Pediatric/adolescent (</w:t>
            </w:r>
            <w:r w:rsidRPr="00D63DB1">
              <w:rPr>
                <w:rFonts w:ascii="Calibri Light" w:hAnsi="Calibri Light" w:cs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=81)</w:t>
            </w:r>
          </w:p>
        </w:tc>
        <w:tc>
          <w:tcPr>
            <w:tcW w:w="1767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CFC6BCF" w14:textId="65CF9B7B" w:rsidR="006312E8" w:rsidRPr="00D63DB1" w:rsidRDefault="006312E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Included cohort (</w:t>
            </w:r>
            <w:r w:rsidRPr="00D63DB1">
              <w:rPr>
                <w:rFonts w:ascii="Calibri Light" w:hAnsi="Calibri Light" w:cs="Calibri Light"/>
                <w:i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=82)</w:t>
            </w:r>
          </w:p>
        </w:tc>
        <w:tc>
          <w:tcPr>
            <w:tcW w:w="1391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AC090DB" w14:textId="1ECD9EEE" w:rsidR="006312E8" w:rsidRPr="00D63DB1" w:rsidRDefault="006312E8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i/>
                <w:sz w:val="16"/>
                <w:szCs w:val="16"/>
                <w:lang w:val="en-US"/>
              </w:rPr>
              <w:t>P</w:t>
            </w: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-value</w:t>
            </w:r>
          </w:p>
        </w:tc>
      </w:tr>
      <w:tr w:rsidR="006312E8" w:rsidRPr="00D63DB1" w14:paraId="5C5F1A15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0F11B8A9" w14:textId="77777777" w:rsidR="006312E8" w:rsidRPr="00D63DB1" w:rsidRDefault="006312E8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 diagnosis</w:t>
            </w:r>
          </w:p>
        </w:tc>
        <w:tc>
          <w:tcPr>
            <w:tcW w:w="2075" w:type="dxa"/>
            <w:shd w:val="clear" w:color="auto" w:fill="auto"/>
          </w:tcPr>
          <w:p w14:paraId="35E5D787" w14:textId="11EC4F03" w:rsidR="006312E8" w:rsidRPr="00D63DB1" w:rsidRDefault="006312E8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1.1</w:t>
            </w:r>
            <w:r w:rsidR="00AF63C3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23</w:t>
            </w:r>
          </w:p>
        </w:tc>
        <w:tc>
          <w:tcPr>
            <w:tcW w:w="1767" w:type="dxa"/>
            <w:shd w:val="clear" w:color="auto" w:fill="auto"/>
          </w:tcPr>
          <w:p w14:paraId="4D8A2F5B" w14:textId="635C5D81" w:rsidR="006312E8" w:rsidRPr="00D63DB1" w:rsidRDefault="006312E8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1.1</w:t>
            </w:r>
            <w:r w:rsidR="00AF63C3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29</w:t>
            </w:r>
          </w:p>
        </w:tc>
        <w:tc>
          <w:tcPr>
            <w:tcW w:w="1391" w:type="dxa"/>
            <w:gridSpan w:val="2"/>
            <w:shd w:val="clear" w:color="auto" w:fill="auto"/>
          </w:tcPr>
          <w:p w14:paraId="4947A3AE" w14:textId="4CACCBEF" w:rsidR="006312E8" w:rsidRPr="00D63DB1" w:rsidRDefault="00AF63C3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0.90</w:t>
            </w:r>
          </w:p>
        </w:tc>
      </w:tr>
      <w:tr w:rsidR="006312E8" w:rsidRPr="00D63DB1" w14:paraId="70A1FE5A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47788998" w14:textId="77777777" w:rsidR="006312E8" w:rsidRPr="00D63DB1" w:rsidRDefault="006312E8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 response</w:t>
            </w:r>
          </w:p>
        </w:tc>
        <w:tc>
          <w:tcPr>
            <w:tcW w:w="2075" w:type="dxa"/>
            <w:shd w:val="clear" w:color="auto" w:fill="auto"/>
          </w:tcPr>
          <w:p w14:paraId="7643709F" w14:textId="21B16AD3" w:rsidR="006312E8" w:rsidRPr="00D63DB1" w:rsidRDefault="00AF63C3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1.556</w:t>
            </w:r>
            <w:r w:rsidR="006312E8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1767" w:type="dxa"/>
            <w:shd w:val="clear" w:color="auto" w:fill="auto"/>
          </w:tcPr>
          <w:p w14:paraId="14446CE4" w14:textId="2ED690B0" w:rsidR="006312E8" w:rsidRPr="00D63DB1" w:rsidRDefault="00AF63C3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1.553</w:t>
            </w:r>
          </w:p>
        </w:tc>
        <w:tc>
          <w:tcPr>
            <w:tcW w:w="1391" w:type="dxa"/>
            <w:gridSpan w:val="2"/>
            <w:shd w:val="clear" w:color="auto" w:fill="auto"/>
          </w:tcPr>
          <w:p w14:paraId="20121450" w14:textId="0A52F47C" w:rsidR="006312E8" w:rsidRPr="00D63DB1" w:rsidRDefault="00AF63C3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0.96</w:t>
            </w:r>
            <w:r w:rsidR="006312E8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      </w:t>
            </w:r>
          </w:p>
        </w:tc>
      </w:tr>
      <w:tr w:rsidR="00AF63C3" w:rsidRPr="00D63DB1" w14:paraId="3B0243E9" w14:textId="77777777" w:rsidTr="00AF63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2E7C0E6B" w14:textId="07BB7F26" w:rsidR="00AF63C3" w:rsidRPr="00D63DB1" w:rsidRDefault="00AF63C3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 absolute change</w:t>
            </w:r>
          </w:p>
        </w:tc>
        <w:tc>
          <w:tcPr>
            <w:tcW w:w="2075" w:type="dxa"/>
            <w:shd w:val="clear" w:color="auto" w:fill="auto"/>
          </w:tcPr>
          <w:p w14:paraId="6841F782" w14:textId="0A3432E6" w:rsidR="00AF63C3" w:rsidRPr="00D63DB1" w:rsidRDefault="00AF63C3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0.433</w:t>
            </w:r>
          </w:p>
        </w:tc>
        <w:tc>
          <w:tcPr>
            <w:tcW w:w="1767" w:type="dxa"/>
            <w:shd w:val="clear" w:color="auto" w:fill="auto"/>
          </w:tcPr>
          <w:p w14:paraId="45C131DC" w14:textId="645DA0F1" w:rsidR="00AF63C3" w:rsidRPr="00D63DB1" w:rsidRDefault="00AF63C3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0.424</w:t>
            </w:r>
          </w:p>
        </w:tc>
        <w:tc>
          <w:tcPr>
            <w:tcW w:w="1391" w:type="dxa"/>
            <w:gridSpan w:val="2"/>
            <w:shd w:val="clear" w:color="auto" w:fill="auto"/>
          </w:tcPr>
          <w:p w14:paraId="1FA29386" w14:textId="73E34C42" w:rsidR="00AF63C3" w:rsidRPr="00D63DB1" w:rsidRDefault="00AF63C3" w:rsidP="009E503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0.89</w:t>
            </w:r>
          </w:p>
        </w:tc>
      </w:tr>
      <w:tr w:rsidR="006312E8" w:rsidRPr="00D63DB1" w14:paraId="624D3DB5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5" w:type="dxa"/>
            <w:shd w:val="clear" w:color="auto" w:fill="auto"/>
          </w:tcPr>
          <w:p w14:paraId="11A7B2DE" w14:textId="77777777" w:rsidR="006312E8" w:rsidRPr="00D63DB1" w:rsidRDefault="006312E8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Mean ADC </w:t>
            </w:r>
            <w:proofErr w:type="spellStart"/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percental</w:t>
            </w:r>
            <w:proofErr w:type="spellEnd"/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change</w:t>
            </w:r>
          </w:p>
        </w:tc>
        <w:tc>
          <w:tcPr>
            <w:tcW w:w="2075" w:type="dxa"/>
            <w:shd w:val="clear" w:color="auto" w:fill="auto"/>
          </w:tcPr>
          <w:p w14:paraId="69859EFA" w14:textId="1A042199" w:rsidR="006312E8" w:rsidRPr="00D63DB1" w:rsidRDefault="008708FF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44.</w:t>
            </w:r>
            <w:r w:rsidR="006312E8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98 %</w:t>
            </w:r>
          </w:p>
        </w:tc>
        <w:tc>
          <w:tcPr>
            <w:tcW w:w="1767" w:type="dxa"/>
            <w:shd w:val="clear" w:color="auto" w:fill="auto"/>
          </w:tcPr>
          <w:p w14:paraId="4630BCBA" w14:textId="74CF05E7" w:rsidR="006312E8" w:rsidRPr="00D63DB1" w:rsidRDefault="008708FF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44.23</w:t>
            </w:r>
            <w:r w:rsidR="006312E8"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 %</w:t>
            </w:r>
          </w:p>
        </w:tc>
        <w:tc>
          <w:tcPr>
            <w:tcW w:w="1391" w:type="dxa"/>
            <w:gridSpan w:val="2"/>
            <w:shd w:val="clear" w:color="auto" w:fill="auto"/>
          </w:tcPr>
          <w:p w14:paraId="56C51897" w14:textId="0BA19136" w:rsidR="006312E8" w:rsidRPr="00D63DB1" w:rsidRDefault="008708FF" w:rsidP="009E503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0.91</w:t>
            </w:r>
          </w:p>
        </w:tc>
      </w:tr>
      <w:tr w:rsidR="006312E8" w:rsidRPr="00D63DB1" w14:paraId="221B9290" w14:textId="77777777" w:rsidTr="00D63DB1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2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453553" w14:textId="77777777" w:rsidR="006312E8" w:rsidRPr="00D63DB1" w:rsidRDefault="006312E8" w:rsidP="009E5034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ADC: Apparent Diffusion Coefficient</w:t>
            </w:r>
          </w:p>
        </w:tc>
      </w:tr>
    </w:tbl>
    <w:p w14:paraId="7947FD18" w14:textId="7E0D50C6" w:rsidR="00747C74" w:rsidRPr="00D63DB1" w:rsidRDefault="00747C74">
      <w:pPr>
        <w:rPr>
          <w:rFonts w:ascii="Calibri Light" w:hAnsi="Calibri Light"/>
          <w:sz w:val="16"/>
          <w:szCs w:val="16"/>
          <w:lang w:val="en-US"/>
        </w:rPr>
      </w:pPr>
    </w:p>
    <w:p w14:paraId="5FE0B65C" w14:textId="349FD51D" w:rsidR="006312E8" w:rsidRPr="00D63DB1" w:rsidRDefault="006312E8">
      <w:pPr>
        <w:rPr>
          <w:rFonts w:ascii="Calibri Light" w:hAnsi="Calibri Light"/>
          <w:sz w:val="16"/>
          <w:szCs w:val="16"/>
          <w:lang w:val="en-US"/>
        </w:rPr>
      </w:pPr>
    </w:p>
    <w:p w14:paraId="72BF9432" w14:textId="449D0B24" w:rsidR="00AF63C3" w:rsidRPr="00D63DB1" w:rsidRDefault="00AF63C3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tbl>
      <w:tblPr>
        <w:tblStyle w:val="Lijsttabel6kleurrijk"/>
        <w:tblW w:w="0" w:type="auto"/>
        <w:tblLook w:val="04A0" w:firstRow="1" w:lastRow="0" w:firstColumn="1" w:lastColumn="0" w:noHBand="0" w:noVBand="1"/>
      </w:tblPr>
      <w:tblGrid>
        <w:gridCol w:w="1537"/>
        <w:gridCol w:w="1763"/>
        <w:gridCol w:w="1144"/>
        <w:gridCol w:w="2644"/>
      </w:tblGrid>
      <w:tr w:rsidR="00537880" w:rsidRPr="00D63DB1" w14:paraId="19C08222" w14:textId="77777777" w:rsidTr="00D63D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8D90C7A" w14:textId="4FB72067" w:rsidR="00537880" w:rsidRPr="00D63DB1" w:rsidRDefault="006312E8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Suppl. Material 7</w:t>
            </w:r>
            <w:r w:rsidR="00747C74"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.</w:t>
            </w:r>
            <w:r w:rsidR="00537880"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7880"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Univariable</w:t>
            </w:r>
            <w:proofErr w:type="spellEnd"/>
            <w:r w:rsidR="00537880"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Cox proportional hazard analysis for event-free survival for patients with similar scanner properties at diagnosis and response (</w:t>
            </w:r>
            <w:r w:rsidR="00537880" w:rsidRPr="00D63DB1">
              <w:rPr>
                <w:rFonts w:ascii="Calibri Light" w:hAnsi="Calibri Light" w:cs="Calibri Light"/>
                <w:b w:val="0"/>
                <w:i/>
                <w:sz w:val="16"/>
                <w:szCs w:val="16"/>
                <w:lang w:val="en-US"/>
              </w:rPr>
              <w:t>n</w:t>
            </w:r>
            <w:r w:rsidR="00537880"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=38)</w:t>
            </w:r>
          </w:p>
        </w:tc>
      </w:tr>
      <w:tr w:rsidR="00537880" w:rsidRPr="00D63DB1" w14:paraId="374396E0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94D15B7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176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6D46CC45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  <w:tc>
          <w:tcPr>
            <w:tcW w:w="114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0175526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Hazard ratio</w:t>
            </w:r>
          </w:p>
        </w:tc>
        <w:tc>
          <w:tcPr>
            <w:tcW w:w="264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A2A63CE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(95% CI )</w:t>
            </w:r>
          </w:p>
        </w:tc>
      </w:tr>
      <w:tr w:rsidR="00537880" w:rsidRPr="00D63DB1" w14:paraId="74662221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auto"/>
          </w:tcPr>
          <w:p w14:paraId="36FFDC54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ADC 5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vertAlign w:val="superscript"/>
                <w:lang w:val="en-US"/>
              </w:rPr>
              <w:t>th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percentile</w:t>
            </w:r>
          </w:p>
        </w:tc>
        <w:tc>
          <w:tcPr>
            <w:tcW w:w="1763" w:type="dxa"/>
            <w:shd w:val="clear" w:color="auto" w:fill="auto"/>
          </w:tcPr>
          <w:p w14:paraId="10B44AE6" w14:textId="77777777" w:rsidR="00537880" w:rsidRPr="00D63DB1" w:rsidRDefault="00537880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absolute change            </w:t>
            </w:r>
          </w:p>
        </w:tc>
        <w:tc>
          <w:tcPr>
            <w:tcW w:w="1144" w:type="dxa"/>
            <w:shd w:val="clear" w:color="auto" w:fill="auto"/>
          </w:tcPr>
          <w:p w14:paraId="6FAA1EDC" w14:textId="0B7C217D" w:rsidR="00537880" w:rsidRPr="00D63DB1" w:rsidRDefault="00537880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0.83</w:t>
            </w:r>
          </w:p>
        </w:tc>
        <w:tc>
          <w:tcPr>
            <w:tcW w:w="2644" w:type="dxa"/>
            <w:shd w:val="clear" w:color="auto" w:fill="auto"/>
          </w:tcPr>
          <w:p w14:paraId="6C6EDECC" w14:textId="7FF3711E" w:rsidR="00537880" w:rsidRPr="00D63DB1" w:rsidRDefault="0053788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(0.24 – 2.9)      </w:t>
            </w:r>
          </w:p>
        </w:tc>
      </w:tr>
      <w:tr w:rsidR="00537880" w:rsidRPr="00D63DB1" w14:paraId="1B68A256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auto"/>
          </w:tcPr>
          <w:p w14:paraId="0D384D18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</w:t>
            </w:r>
          </w:p>
        </w:tc>
        <w:tc>
          <w:tcPr>
            <w:tcW w:w="1763" w:type="dxa"/>
            <w:shd w:val="clear" w:color="auto" w:fill="auto"/>
          </w:tcPr>
          <w:p w14:paraId="43F243FF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absolute change</w:t>
            </w:r>
          </w:p>
        </w:tc>
        <w:tc>
          <w:tcPr>
            <w:tcW w:w="1144" w:type="dxa"/>
            <w:shd w:val="clear" w:color="auto" w:fill="auto"/>
          </w:tcPr>
          <w:p w14:paraId="402762E8" w14:textId="088FA613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0.79</w:t>
            </w:r>
          </w:p>
        </w:tc>
        <w:tc>
          <w:tcPr>
            <w:tcW w:w="2644" w:type="dxa"/>
            <w:shd w:val="clear" w:color="auto" w:fill="auto"/>
          </w:tcPr>
          <w:p w14:paraId="420A2CE2" w14:textId="060F87FB" w:rsidR="00537880" w:rsidRPr="00D63DB1" w:rsidRDefault="0053788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 xml:space="preserve">(0.19 – 3.2)      </w:t>
            </w:r>
          </w:p>
        </w:tc>
      </w:tr>
      <w:tr w:rsidR="00537880" w:rsidRPr="00D63DB1" w14:paraId="2A5E1C1B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shd w:val="clear" w:color="auto" w:fill="auto"/>
          </w:tcPr>
          <w:p w14:paraId="1828749E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ADC 5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vertAlign w:val="superscript"/>
                <w:lang w:val="en-US"/>
              </w:rPr>
              <w:t>th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percentile</w:t>
            </w:r>
          </w:p>
        </w:tc>
        <w:tc>
          <w:tcPr>
            <w:tcW w:w="1763" w:type="dxa"/>
            <w:shd w:val="clear" w:color="auto" w:fill="auto"/>
          </w:tcPr>
          <w:p w14:paraId="630E8DCA" w14:textId="77777777" w:rsidR="00537880" w:rsidRPr="00D63DB1" w:rsidRDefault="00537880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diagnosis</w:t>
            </w:r>
          </w:p>
        </w:tc>
        <w:tc>
          <w:tcPr>
            <w:tcW w:w="1144" w:type="dxa"/>
            <w:shd w:val="clear" w:color="auto" w:fill="auto"/>
          </w:tcPr>
          <w:p w14:paraId="406267A8" w14:textId="669A07A3" w:rsidR="00537880" w:rsidRPr="00D63DB1" w:rsidRDefault="0053788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0.4</w:t>
            </w:r>
          </w:p>
        </w:tc>
        <w:tc>
          <w:tcPr>
            <w:tcW w:w="2644" w:type="dxa"/>
            <w:shd w:val="clear" w:color="auto" w:fill="auto"/>
          </w:tcPr>
          <w:p w14:paraId="1A2F79BE" w14:textId="3F804A22" w:rsidR="00537880" w:rsidRPr="00D63DB1" w:rsidRDefault="0053788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(0.05 – 3.0)</w:t>
            </w:r>
          </w:p>
        </w:tc>
      </w:tr>
      <w:tr w:rsidR="00537880" w:rsidRPr="00D63DB1" w14:paraId="0D9E9123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tcBorders>
              <w:bottom w:val="nil"/>
            </w:tcBorders>
            <w:shd w:val="clear" w:color="auto" w:fill="auto"/>
          </w:tcPr>
          <w:p w14:paraId="7769067B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</w:t>
            </w:r>
          </w:p>
        </w:tc>
        <w:tc>
          <w:tcPr>
            <w:tcW w:w="1763" w:type="dxa"/>
            <w:tcBorders>
              <w:bottom w:val="nil"/>
            </w:tcBorders>
            <w:shd w:val="clear" w:color="auto" w:fill="auto"/>
          </w:tcPr>
          <w:p w14:paraId="132A9240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diagnosis</w:t>
            </w: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</w:tcPr>
          <w:p w14:paraId="63395493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0.43</w:t>
            </w:r>
          </w:p>
        </w:tc>
        <w:tc>
          <w:tcPr>
            <w:tcW w:w="2644" w:type="dxa"/>
            <w:tcBorders>
              <w:bottom w:val="nil"/>
            </w:tcBorders>
            <w:shd w:val="clear" w:color="auto" w:fill="auto"/>
          </w:tcPr>
          <w:p w14:paraId="296E7581" w14:textId="3C08A66C" w:rsidR="00537880" w:rsidRPr="00D63DB1" w:rsidRDefault="0053788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(0.05 – 3.9)</w:t>
            </w:r>
          </w:p>
        </w:tc>
      </w:tr>
      <w:tr w:rsidR="00537880" w:rsidRPr="00D63DB1" w14:paraId="3FAA2CD1" w14:textId="77777777" w:rsidTr="00D63D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tcBorders>
              <w:bottom w:val="nil"/>
            </w:tcBorders>
            <w:shd w:val="clear" w:color="auto" w:fill="auto"/>
          </w:tcPr>
          <w:p w14:paraId="173292D5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ADC 5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vertAlign w:val="superscript"/>
                <w:lang w:val="en-US"/>
              </w:rPr>
              <w:t>th</w:t>
            </w: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 percentile</w:t>
            </w:r>
          </w:p>
        </w:tc>
        <w:tc>
          <w:tcPr>
            <w:tcW w:w="1763" w:type="dxa"/>
            <w:tcBorders>
              <w:bottom w:val="nil"/>
            </w:tcBorders>
            <w:shd w:val="clear" w:color="auto" w:fill="auto"/>
          </w:tcPr>
          <w:p w14:paraId="0A37A1D1" w14:textId="77777777" w:rsidR="00537880" w:rsidRPr="00D63DB1" w:rsidRDefault="00537880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response</w:t>
            </w: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</w:tcPr>
          <w:p w14:paraId="13477764" w14:textId="09CC4708" w:rsidR="00537880" w:rsidRPr="00D63DB1" w:rsidRDefault="00537880" w:rsidP="002A6A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0.62</w:t>
            </w:r>
          </w:p>
        </w:tc>
        <w:tc>
          <w:tcPr>
            <w:tcW w:w="2644" w:type="dxa"/>
            <w:tcBorders>
              <w:bottom w:val="nil"/>
            </w:tcBorders>
            <w:shd w:val="clear" w:color="auto" w:fill="auto"/>
          </w:tcPr>
          <w:p w14:paraId="37BBEE1A" w14:textId="77A738F5" w:rsidR="00537880" w:rsidRPr="00D63DB1" w:rsidRDefault="0053788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(0.19 – 2.0)</w:t>
            </w:r>
          </w:p>
        </w:tc>
      </w:tr>
      <w:tr w:rsidR="00537880" w:rsidRPr="00D63DB1" w14:paraId="188E3D1B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8631CD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>Mean ADC</w:t>
            </w:r>
          </w:p>
        </w:tc>
        <w:tc>
          <w:tcPr>
            <w:tcW w:w="17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D318A8B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response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9CE71C" w14:textId="3E7E3798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0.5</w:t>
            </w:r>
          </w:p>
        </w:tc>
        <w:tc>
          <w:tcPr>
            <w:tcW w:w="26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5B1DAC" w14:textId="28096F5D" w:rsidR="00537880" w:rsidRPr="00D63DB1" w:rsidRDefault="0053788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sz w:val="16"/>
                <w:szCs w:val="16"/>
                <w:lang w:val="en-US"/>
              </w:rPr>
              <w:t>(0.1 – 2.4)</w:t>
            </w:r>
          </w:p>
        </w:tc>
      </w:tr>
      <w:tr w:rsidR="00537880" w:rsidRPr="00D63DB1" w14:paraId="3E7F792D" w14:textId="77777777" w:rsidTr="00D63DB1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CB04AF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  <w:r w:rsidRPr="00D63DB1"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  <w:t xml:space="preserve">ADC: Apparent Diffusion Coefficient; CI: Confidence Interval. </w:t>
            </w:r>
          </w:p>
        </w:tc>
      </w:tr>
      <w:tr w:rsidR="00537880" w:rsidRPr="00D63DB1" w14:paraId="190481EB" w14:textId="77777777" w:rsidTr="00D63D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7" w:type="dxa"/>
            <w:tcBorders>
              <w:bottom w:val="nil"/>
            </w:tcBorders>
            <w:shd w:val="clear" w:color="auto" w:fill="auto"/>
          </w:tcPr>
          <w:p w14:paraId="3B5897C1" w14:textId="77777777" w:rsidR="00537880" w:rsidRPr="00D63DB1" w:rsidRDefault="00537880" w:rsidP="002A6AD0">
            <w:pPr>
              <w:jc w:val="left"/>
              <w:rPr>
                <w:rFonts w:ascii="Calibri Light" w:hAnsi="Calibri Light" w:cs="Calibri Light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1763" w:type="dxa"/>
            <w:tcBorders>
              <w:bottom w:val="nil"/>
            </w:tcBorders>
            <w:shd w:val="clear" w:color="auto" w:fill="auto"/>
          </w:tcPr>
          <w:p w14:paraId="50C289E0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</w:tcPr>
          <w:p w14:paraId="52302A25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  <w:tc>
          <w:tcPr>
            <w:tcW w:w="2644" w:type="dxa"/>
            <w:tcBorders>
              <w:bottom w:val="nil"/>
            </w:tcBorders>
            <w:shd w:val="clear" w:color="auto" w:fill="auto"/>
          </w:tcPr>
          <w:p w14:paraId="1CCDAA21" w14:textId="77777777" w:rsidR="00537880" w:rsidRPr="00D63DB1" w:rsidRDefault="00537880" w:rsidP="002A6A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</w:tr>
    </w:tbl>
    <w:p w14:paraId="47B9EC69" w14:textId="77777777" w:rsidR="00537880" w:rsidRPr="00D63DB1" w:rsidRDefault="00537880">
      <w:pPr>
        <w:rPr>
          <w:rFonts w:ascii="Calibri Light" w:hAnsi="Calibri Light"/>
          <w:sz w:val="16"/>
          <w:szCs w:val="16"/>
          <w:lang w:val="en-US"/>
        </w:rPr>
      </w:pPr>
    </w:p>
    <w:p w14:paraId="2C13B501" w14:textId="77777777" w:rsidR="00537880" w:rsidRPr="00D63DB1" w:rsidRDefault="00537880">
      <w:pPr>
        <w:rPr>
          <w:rFonts w:ascii="Calibri Light" w:hAnsi="Calibri Light"/>
          <w:sz w:val="16"/>
          <w:szCs w:val="16"/>
          <w:lang w:val="en-US"/>
        </w:rPr>
      </w:pPr>
    </w:p>
    <w:p w14:paraId="3EE6F4CA" w14:textId="616E53D3" w:rsidR="00537880" w:rsidRPr="00D63DB1" w:rsidRDefault="00537880">
      <w:pPr>
        <w:rPr>
          <w:rFonts w:ascii="Calibri Light" w:hAnsi="Calibri Light"/>
          <w:sz w:val="16"/>
          <w:szCs w:val="16"/>
          <w:lang w:val="en-US"/>
        </w:rPr>
      </w:pPr>
      <w:r w:rsidRPr="00D63DB1">
        <w:rPr>
          <w:rFonts w:ascii="Calibri Light" w:hAnsi="Calibri Light"/>
          <w:sz w:val="16"/>
          <w:szCs w:val="16"/>
          <w:lang w:val="en-US"/>
        </w:rPr>
        <w:br w:type="page"/>
      </w:r>
    </w:p>
    <w:p w14:paraId="28CAFED2" w14:textId="3BC27E5D" w:rsidR="008363FE" w:rsidRPr="00D63DB1" w:rsidRDefault="008363FE" w:rsidP="00A477EF">
      <w:pPr>
        <w:rPr>
          <w:rFonts w:ascii="Calibri Light" w:hAnsi="Calibri Light"/>
          <w:sz w:val="16"/>
          <w:szCs w:val="16"/>
          <w:lang w:val="en-US"/>
        </w:rPr>
      </w:pPr>
    </w:p>
    <w:tbl>
      <w:tblPr>
        <w:tblW w:w="9180" w:type="dxa"/>
        <w:tblLayout w:type="fixed"/>
        <w:tblLook w:val="0420" w:firstRow="1" w:lastRow="0" w:firstColumn="0" w:lastColumn="0" w:noHBand="0" w:noVBand="1"/>
      </w:tblPr>
      <w:tblGrid>
        <w:gridCol w:w="4081"/>
        <w:gridCol w:w="1820"/>
        <w:gridCol w:w="3279"/>
      </w:tblGrid>
      <w:tr w:rsidR="00185947" w:rsidRPr="00D63DB1" w14:paraId="61919908" w14:textId="77777777" w:rsidTr="00D63DB1">
        <w:trPr>
          <w:cantSplit/>
          <w:trHeight w:hRule="exact" w:val="334"/>
          <w:tblHeader/>
        </w:trPr>
        <w:tc>
          <w:tcPr>
            <w:tcW w:w="9180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B1717" w14:textId="6065FD70" w:rsidR="00185947" w:rsidRPr="00D63DB1" w:rsidRDefault="0018594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 xml:space="preserve">Suppl. </w:t>
            </w:r>
            <w:r w:rsidR="001B756F"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 xml:space="preserve">Material </w:t>
            </w:r>
            <w:r w:rsidR="00AF63C3"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8</w:t>
            </w: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. Events in all patients and patients included for ADC analyses</w:t>
            </w:r>
          </w:p>
        </w:tc>
      </w:tr>
      <w:tr w:rsidR="008363FE" w:rsidRPr="00D63DB1" w14:paraId="5C7A9E44" w14:textId="77777777" w:rsidTr="00D63DB1">
        <w:trPr>
          <w:cantSplit/>
          <w:trHeight w:hRule="exact" w:val="613"/>
          <w:tblHeader/>
        </w:trPr>
        <w:tc>
          <w:tcPr>
            <w:tcW w:w="4081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54DE8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820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9A4F" w14:textId="77777777" w:rsidR="008363FE" w:rsidRPr="00D63DB1" w:rsidRDefault="000F04CD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All patients</w:t>
            </w:r>
          </w:p>
          <w:p w14:paraId="49CA81D7" w14:textId="6661E3F7" w:rsidR="00AF63C3" w:rsidRPr="00D63DB1" w:rsidRDefault="00AF63C3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(</w:t>
            </w:r>
            <w:r w:rsidRPr="00D63DB1">
              <w:rPr>
                <w:rFonts w:ascii="Calibri Light" w:eastAsia="Arial" w:hAnsi="Calibri Light" w:cs="Calibri Light"/>
                <w:i/>
                <w:color w:val="000000"/>
                <w:sz w:val="16"/>
                <w:szCs w:val="16"/>
                <w:lang w:val="en-US"/>
              </w:rPr>
              <w:t>n</w:t>
            </w: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=134)</w:t>
            </w:r>
          </w:p>
        </w:tc>
        <w:tc>
          <w:tcPr>
            <w:tcW w:w="3278" w:type="dxa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6EE3" w14:textId="77777777" w:rsidR="00AF63C3" w:rsidRPr="00D63DB1" w:rsidRDefault="000F04CD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Included patients for ADC analyses</w:t>
            </w:r>
            <w:r w:rsidR="00AF63C3"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14:paraId="78E3F6A9" w14:textId="5B301B9E" w:rsidR="008363FE" w:rsidRPr="00D63DB1" w:rsidRDefault="00AF63C3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i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(</w:t>
            </w:r>
            <w:r w:rsidRPr="00D63DB1">
              <w:rPr>
                <w:rFonts w:ascii="Calibri Light" w:eastAsia="Arial" w:hAnsi="Calibri Light" w:cs="Calibri Light"/>
                <w:i/>
                <w:color w:val="000000"/>
                <w:sz w:val="16"/>
                <w:szCs w:val="16"/>
                <w:lang w:val="en-US"/>
              </w:rPr>
              <w:t>n=82)</w:t>
            </w:r>
          </w:p>
        </w:tc>
      </w:tr>
      <w:tr w:rsidR="008363FE" w:rsidRPr="00D63DB1" w14:paraId="2AC71E9D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66DB1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Event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1B15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AD12B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</w:p>
        </w:tc>
      </w:tr>
      <w:tr w:rsidR="008363FE" w:rsidRPr="00D63DB1" w14:paraId="1FAEA2BC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2528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 Local relapse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44B3E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18 (13.4%)</w:t>
            </w: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6FF3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13 (15.9%)</w:t>
            </w:r>
          </w:p>
        </w:tc>
      </w:tr>
      <w:tr w:rsidR="008363FE" w:rsidRPr="00D63DB1" w14:paraId="0965C6CB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B7AE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 Progressive disease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43639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11 (8.2%)</w:t>
            </w: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10266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5 (6.1%)</w:t>
            </w:r>
          </w:p>
        </w:tc>
      </w:tr>
      <w:tr w:rsidR="008363FE" w:rsidRPr="00D63DB1" w14:paraId="2C259ACD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1504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 Metastatic relapse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07EE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16 (11.9%)</w:t>
            </w: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0842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11 (13.4%)</w:t>
            </w:r>
          </w:p>
        </w:tc>
      </w:tr>
      <w:tr w:rsidR="008363FE" w:rsidRPr="00D63DB1" w14:paraId="3D0C1A16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0879C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 Local and metastatic relapse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3D0B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2 (1.5%)</w:t>
            </w: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B2E0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2 (2.4%)</w:t>
            </w:r>
          </w:p>
        </w:tc>
      </w:tr>
      <w:tr w:rsidR="00D8094A" w:rsidRPr="00D63DB1" w14:paraId="15DA6079" w14:textId="77777777" w:rsidTr="00D63DB1">
        <w:trPr>
          <w:cantSplit/>
          <w:trHeight w:hRule="exact" w:val="334"/>
        </w:trPr>
        <w:tc>
          <w:tcPr>
            <w:tcW w:w="40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5CE6" w14:textId="3CB03FD8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 xml:space="preserve">  Toxic death</w:t>
            </w:r>
          </w:p>
        </w:tc>
        <w:tc>
          <w:tcPr>
            <w:tcW w:w="18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E21C" w14:textId="047AA3CC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 xml:space="preserve">0 (0%) </w:t>
            </w:r>
          </w:p>
        </w:tc>
        <w:tc>
          <w:tcPr>
            <w:tcW w:w="32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1E11" w14:textId="2337860D" w:rsidR="00D8094A" w:rsidRPr="00D63DB1" w:rsidRDefault="00D8094A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0 (0%)</w:t>
            </w:r>
          </w:p>
        </w:tc>
      </w:tr>
      <w:tr w:rsidR="008363FE" w:rsidRPr="00D63DB1" w14:paraId="6CF17095" w14:textId="77777777" w:rsidTr="00D63DB1">
        <w:trPr>
          <w:cantSplit/>
          <w:trHeight w:hRule="exact" w:val="334"/>
        </w:trPr>
        <w:tc>
          <w:tcPr>
            <w:tcW w:w="4081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18840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  No event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4B2F4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87 (64.9%)</w:t>
            </w:r>
          </w:p>
        </w:tc>
        <w:tc>
          <w:tcPr>
            <w:tcW w:w="3278" w:type="dxa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FADA" w14:textId="77777777" w:rsidR="008363FE" w:rsidRPr="00D63DB1" w:rsidRDefault="008363FE" w:rsidP="002A6AD0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hAnsi="Calibri Light" w:cs="Calibri Light"/>
                <w:sz w:val="16"/>
                <w:szCs w:val="16"/>
                <w:lang w:val="en-US"/>
              </w:rPr>
            </w:pPr>
            <w:r w:rsidRPr="00D63DB1"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  <w:t>51 (62.2%)</w:t>
            </w:r>
          </w:p>
        </w:tc>
      </w:tr>
      <w:tr w:rsidR="008363FE" w:rsidRPr="00D63DB1" w14:paraId="0D1594BC" w14:textId="77777777" w:rsidTr="00D63DB1">
        <w:trPr>
          <w:cantSplit/>
          <w:trHeight w:hRule="exact" w:val="334"/>
        </w:trPr>
        <w:tc>
          <w:tcPr>
            <w:tcW w:w="9180" w:type="dxa"/>
            <w:gridSpan w:val="3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8F9D8" w14:textId="7465D9CF" w:rsidR="008363FE" w:rsidRPr="00D63DB1" w:rsidRDefault="008363FE" w:rsidP="00185947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Calibri Light" w:eastAsia="Arial" w:hAnsi="Calibri Light" w:cs="Calibri Light"/>
                <w:color w:val="000000"/>
                <w:sz w:val="16"/>
                <w:szCs w:val="16"/>
                <w:lang w:val="en-US"/>
              </w:rPr>
            </w:pPr>
          </w:p>
        </w:tc>
      </w:tr>
      <w:bookmarkEnd w:id="1"/>
      <w:bookmarkEnd w:id="2"/>
      <w:bookmarkEnd w:id="3"/>
    </w:tbl>
    <w:p w14:paraId="2F7688BB" w14:textId="77777777" w:rsidR="008363FE" w:rsidRPr="00D63DB1" w:rsidRDefault="008363FE" w:rsidP="00B744D7">
      <w:pPr>
        <w:rPr>
          <w:rFonts w:ascii="Calibri Light" w:hAnsi="Calibri Light"/>
          <w:sz w:val="16"/>
          <w:szCs w:val="16"/>
        </w:rPr>
      </w:pPr>
    </w:p>
    <w:sectPr w:rsidR="008363FE" w:rsidRPr="00D63DB1" w:rsidSect="007A598F">
      <w:headerReference w:type="default" r:id="rId8"/>
      <w:footerReference w:type="default" r:id="rId9"/>
      <w:pgSz w:w="11900" w:h="16820"/>
      <w:pgMar w:top="1418" w:right="1418" w:bottom="1418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81483" w14:textId="77777777" w:rsidR="002A6AD0" w:rsidRDefault="002A6AD0">
      <w:pPr>
        <w:spacing w:before="0"/>
      </w:pPr>
      <w:r>
        <w:separator/>
      </w:r>
    </w:p>
  </w:endnote>
  <w:endnote w:type="continuationSeparator" w:id="0">
    <w:p w14:paraId="15DAEDAD" w14:textId="77777777" w:rsidR="002A6AD0" w:rsidRDefault="002A6AD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MU Concrete">
    <w:altName w:val="Mongolian Baiti"/>
    <w:charset w:val="00"/>
    <w:family w:val="auto"/>
    <w:pitch w:val="variable"/>
    <w:sig w:usb0="E10002FF" w:usb1="5201E9EB" w:usb2="00020004" w:usb3="00000000" w:csb0="000001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MU Bright">
    <w:altName w:val="Mongolian Baiti"/>
    <w:charset w:val="00"/>
    <w:family w:val="auto"/>
    <w:pitch w:val="variable"/>
    <w:sig w:usb0="E10002FF" w:usb1="5201E9EB" w:usb2="00020004" w:usb3="00000000" w:csb0="000001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93E58" w14:textId="17E5EB2B" w:rsidR="002A6AD0" w:rsidRPr="00D6350C" w:rsidRDefault="002A6AD0" w:rsidP="007A598F">
    <w:pPr>
      <w:pStyle w:val="Voettekst"/>
      <w:pBdr>
        <w:top w:val="single" w:sz="4" w:space="1" w:color="auto"/>
      </w:pBdr>
      <w:spacing w:before="0"/>
      <w:rPr>
        <w:sz w:val="18"/>
        <w:szCs w:val="18"/>
        <w:lang w:val="en-US"/>
      </w:rPr>
    </w:pPr>
    <w:r w:rsidRPr="00D6350C">
      <w:rPr>
        <w:sz w:val="18"/>
        <w:szCs w:val="18"/>
        <w:lang w:val="en-US"/>
      </w:rPr>
      <w:ptab w:relativeTo="margin" w:alignment="center" w:leader="none"/>
    </w:r>
    <w:r w:rsidRPr="00D6350C">
      <w:rPr>
        <w:sz w:val="18"/>
        <w:szCs w:val="18"/>
        <w:lang w:val="en-US"/>
      </w:rPr>
      <w:ptab w:relativeTo="margin" w:alignment="right" w:leader="none"/>
    </w:r>
    <w:r w:rsidRPr="00D6350C">
      <w:rPr>
        <w:sz w:val="18"/>
        <w:szCs w:val="18"/>
        <w:lang w:val="en-US"/>
      </w:rPr>
      <w:fldChar w:fldCharType="begin"/>
    </w:r>
    <w:r w:rsidRPr="00D6350C">
      <w:rPr>
        <w:sz w:val="18"/>
        <w:szCs w:val="18"/>
        <w:lang w:val="en-US"/>
      </w:rPr>
      <w:instrText xml:space="preserve"> PAGE   \* MERGEFORMAT </w:instrText>
    </w:r>
    <w:r w:rsidRPr="00D6350C">
      <w:rPr>
        <w:sz w:val="18"/>
        <w:szCs w:val="18"/>
        <w:lang w:val="en-US"/>
      </w:rPr>
      <w:fldChar w:fldCharType="separate"/>
    </w:r>
    <w:r w:rsidR="00D63DB1">
      <w:rPr>
        <w:noProof/>
        <w:sz w:val="18"/>
        <w:szCs w:val="18"/>
        <w:lang w:val="en-US"/>
      </w:rPr>
      <w:t>1</w:t>
    </w:r>
    <w:r w:rsidRPr="00D6350C">
      <w:rPr>
        <w:sz w:val="18"/>
        <w:szCs w:val="18"/>
        <w:lang w:val="en-US"/>
      </w:rPr>
      <w:fldChar w:fldCharType="end"/>
    </w:r>
    <w:r w:rsidRPr="00D6350C">
      <w:rPr>
        <w:sz w:val="18"/>
        <w:szCs w:val="18"/>
        <w:lang w:val="en-US"/>
      </w:rPr>
      <w:t xml:space="preserve"> / </w:t>
    </w:r>
    <w:r w:rsidRPr="00D6350C">
      <w:rPr>
        <w:sz w:val="18"/>
        <w:szCs w:val="18"/>
        <w:lang w:val="en-US"/>
      </w:rPr>
      <w:fldChar w:fldCharType="begin"/>
    </w:r>
    <w:r w:rsidRPr="00D6350C">
      <w:rPr>
        <w:sz w:val="18"/>
        <w:szCs w:val="18"/>
        <w:lang w:val="en-US"/>
      </w:rPr>
      <w:instrText xml:space="preserve"> NUMPAGES   \* MERGEFORMAT </w:instrText>
    </w:r>
    <w:r w:rsidRPr="00D6350C">
      <w:rPr>
        <w:sz w:val="18"/>
        <w:szCs w:val="18"/>
        <w:lang w:val="en-US"/>
      </w:rPr>
      <w:fldChar w:fldCharType="separate"/>
    </w:r>
    <w:r w:rsidR="00D63DB1">
      <w:rPr>
        <w:noProof/>
        <w:sz w:val="18"/>
        <w:szCs w:val="18"/>
        <w:lang w:val="en-US"/>
      </w:rPr>
      <w:t>11</w:t>
    </w:r>
    <w:r w:rsidRPr="00D6350C">
      <w:rPr>
        <w:sz w:val="18"/>
        <w:szCs w:val="18"/>
        <w:lang w:val="en-US"/>
      </w:rPr>
      <w:fldChar w:fldCharType="end"/>
    </w:r>
  </w:p>
  <w:p w14:paraId="41693E59" w14:textId="43B8A05B" w:rsidR="002A6AD0" w:rsidRPr="00BE273C" w:rsidRDefault="002A6AD0" w:rsidP="007A598F">
    <w:pPr>
      <w:pStyle w:val="Voettekst"/>
      <w:pBdr>
        <w:top w:val="single" w:sz="4" w:space="1" w:color="auto"/>
      </w:pBdr>
      <w:spacing w:before="0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 \@ "d MMMM yyyy"  \* MERGEFORMAT </w:instrText>
    </w:r>
    <w:r>
      <w:rPr>
        <w:sz w:val="18"/>
        <w:szCs w:val="18"/>
      </w:rPr>
      <w:fldChar w:fldCharType="separate"/>
    </w:r>
    <w:r w:rsidR="00D63DB1">
      <w:rPr>
        <w:noProof/>
        <w:sz w:val="18"/>
        <w:szCs w:val="18"/>
      </w:rPr>
      <w:t>16 August 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50CD" w14:textId="77777777" w:rsidR="002A6AD0" w:rsidRDefault="002A6AD0">
      <w:r>
        <w:separator/>
      </w:r>
    </w:p>
  </w:footnote>
  <w:footnote w:type="continuationSeparator" w:id="0">
    <w:p w14:paraId="5F8D34A1" w14:textId="77777777" w:rsidR="002A6AD0" w:rsidRDefault="002A6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93E56" w14:textId="66995321" w:rsidR="002A6AD0" w:rsidRDefault="002A6AD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0914989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44D1B36"/>
    <w:multiLevelType w:val="hybridMultilevel"/>
    <w:tmpl w:val="2A88F06C"/>
    <w:lvl w:ilvl="0" w:tplc="DB6417D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3E0C"/>
    <w:multiLevelType w:val="hybridMultilevel"/>
    <w:tmpl w:val="9D1E24CE"/>
    <w:lvl w:ilvl="0" w:tplc="EB1C1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8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70370"/>
    <w:multiLevelType w:val="hybridMultilevel"/>
    <w:tmpl w:val="1A0C9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77798"/>
    <w:multiLevelType w:val="hybridMultilevel"/>
    <w:tmpl w:val="AB2C3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A0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47470E9"/>
    <w:multiLevelType w:val="multilevel"/>
    <w:tmpl w:val="0409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D4E013E"/>
    <w:multiLevelType w:val="hybridMultilevel"/>
    <w:tmpl w:val="9DAAE86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19504B7"/>
    <w:multiLevelType w:val="hybridMultilevel"/>
    <w:tmpl w:val="AB848EC2"/>
    <w:lvl w:ilvl="0" w:tplc="DB6417DE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  <w:sz w:val="16"/>
      </w:rPr>
    </w:lvl>
    <w:lvl w:ilvl="1" w:tplc="DB6417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4C0125F"/>
    <w:multiLevelType w:val="hybridMultilevel"/>
    <w:tmpl w:val="154A2B9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7367EAD"/>
    <w:multiLevelType w:val="hybridMultilevel"/>
    <w:tmpl w:val="33D25A46"/>
    <w:lvl w:ilvl="0" w:tplc="DB641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34337"/>
    <w:multiLevelType w:val="hybridMultilevel"/>
    <w:tmpl w:val="BF3256E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60C703A1"/>
    <w:multiLevelType w:val="hybridMultilevel"/>
    <w:tmpl w:val="D50CE9D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7B135AB0"/>
    <w:multiLevelType w:val="hybridMultilevel"/>
    <w:tmpl w:val="A3047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5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4">
    <w:abstractNumId w:val="3"/>
  </w:num>
  <w:num w:numId="5">
    <w:abstractNumId w:val="4"/>
  </w:num>
  <w:num w:numId="6">
    <w:abstractNumId w:val="13"/>
  </w:num>
  <w:num w:numId="7">
    <w:abstractNumId w:val="9"/>
  </w:num>
  <w:num w:numId="8">
    <w:abstractNumId w:val="11"/>
  </w:num>
  <w:num w:numId="9">
    <w:abstractNumId w:val="12"/>
  </w:num>
  <w:num w:numId="10">
    <w:abstractNumId w:val="7"/>
  </w:num>
  <w:num w:numId="11">
    <w:abstractNumId w:val="1"/>
  </w:num>
  <w:num w:numId="12">
    <w:abstractNumId w:val="8"/>
  </w:num>
  <w:num w:numId="13">
    <w:abstractNumId w:val="10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MU Concrete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spp9005d50x09e2f9nxeavmtw0r0ra0wsdf&quot;&gt;RMS&lt;record-ids&gt;&lt;item&gt;1&lt;/item&gt;&lt;item&gt;2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1&lt;/item&gt;&lt;item&gt;22&lt;/item&gt;&lt;item&gt;23&lt;/item&gt;&lt;item&gt;24&lt;/item&gt;&lt;item&gt;25&lt;/item&gt;&lt;item&gt;26&lt;/item&gt;&lt;/record-ids&gt;&lt;/item&gt;&lt;item db-id=&quot;xdees05ef0vatledrsqxtvefst5290pwx09s&quot;&gt;ESCP&lt;record-ids&gt;&lt;item&gt;147&lt;/item&gt;&lt;/record-ids&gt;&lt;/item&gt;&lt;/Libraries&gt;"/>
  </w:docVars>
  <w:rsids>
    <w:rsidRoot w:val="006E2BB7"/>
    <w:rsid w:val="00033420"/>
    <w:rsid w:val="0004468F"/>
    <w:rsid w:val="000771D8"/>
    <w:rsid w:val="00083464"/>
    <w:rsid w:val="0009322F"/>
    <w:rsid w:val="00097B38"/>
    <w:rsid w:val="000F04CD"/>
    <w:rsid w:val="000F606D"/>
    <w:rsid w:val="00123AB1"/>
    <w:rsid w:val="001743C8"/>
    <w:rsid w:val="001824BF"/>
    <w:rsid w:val="00185947"/>
    <w:rsid w:val="001B756F"/>
    <w:rsid w:val="001C689E"/>
    <w:rsid w:val="001D56DC"/>
    <w:rsid w:val="001E22A2"/>
    <w:rsid w:val="001F43ED"/>
    <w:rsid w:val="002129B9"/>
    <w:rsid w:val="00220C2D"/>
    <w:rsid w:val="00231DC2"/>
    <w:rsid w:val="00241E59"/>
    <w:rsid w:val="002710C3"/>
    <w:rsid w:val="00280961"/>
    <w:rsid w:val="00290F40"/>
    <w:rsid w:val="00295BE9"/>
    <w:rsid w:val="00296EFA"/>
    <w:rsid w:val="002A6AD0"/>
    <w:rsid w:val="002A73EE"/>
    <w:rsid w:val="002B1429"/>
    <w:rsid w:val="00300490"/>
    <w:rsid w:val="0032259E"/>
    <w:rsid w:val="00337431"/>
    <w:rsid w:val="003966E3"/>
    <w:rsid w:val="003C6C80"/>
    <w:rsid w:val="00446013"/>
    <w:rsid w:val="0046339B"/>
    <w:rsid w:val="004854EB"/>
    <w:rsid w:val="004A41CF"/>
    <w:rsid w:val="004A6B4E"/>
    <w:rsid w:val="004B1D65"/>
    <w:rsid w:val="004E1FF3"/>
    <w:rsid w:val="004E4E7E"/>
    <w:rsid w:val="00517528"/>
    <w:rsid w:val="00537880"/>
    <w:rsid w:val="00563AF5"/>
    <w:rsid w:val="00583AD8"/>
    <w:rsid w:val="005D08EB"/>
    <w:rsid w:val="005E3A53"/>
    <w:rsid w:val="006312E8"/>
    <w:rsid w:val="00633C52"/>
    <w:rsid w:val="00643BA9"/>
    <w:rsid w:val="00677969"/>
    <w:rsid w:val="006813BF"/>
    <w:rsid w:val="006A5264"/>
    <w:rsid w:val="006D0E3E"/>
    <w:rsid w:val="006E2BB7"/>
    <w:rsid w:val="007336A9"/>
    <w:rsid w:val="00736679"/>
    <w:rsid w:val="00747C74"/>
    <w:rsid w:val="0077590E"/>
    <w:rsid w:val="007A4699"/>
    <w:rsid w:val="007A57C6"/>
    <w:rsid w:val="007A598F"/>
    <w:rsid w:val="007A63A2"/>
    <w:rsid w:val="007B182F"/>
    <w:rsid w:val="007C7B8B"/>
    <w:rsid w:val="007E12FB"/>
    <w:rsid w:val="007F1E86"/>
    <w:rsid w:val="007F31A2"/>
    <w:rsid w:val="008363FE"/>
    <w:rsid w:val="008708FF"/>
    <w:rsid w:val="0088384D"/>
    <w:rsid w:val="008B6AAA"/>
    <w:rsid w:val="008D52C9"/>
    <w:rsid w:val="008D65D7"/>
    <w:rsid w:val="008F1C22"/>
    <w:rsid w:val="008F2832"/>
    <w:rsid w:val="009153CA"/>
    <w:rsid w:val="00935ADA"/>
    <w:rsid w:val="0093763A"/>
    <w:rsid w:val="00944EB5"/>
    <w:rsid w:val="00956A09"/>
    <w:rsid w:val="0096712B"/>
    <w:rsid w:val="009E4CEE"/>
    <w:rsid w:val="009F7F06"/>
    <w:rsid w:val="00A477EF"/>
    <w:rsid w:val="00A703CC"/>
    <w:rsid w:val="00A7369E"/>
    <w:rsid w:val="00A95874"/>
    <w:rsid w:val="00AA2D40"/>
    <w:rsid w:val="00AD3B2B"/>
    <w:rsid w:val="00AE6F66"/>
    <w:rsid w:val="00AF63C3"/>
    <w:rsid w:val="00B12E61"/>
    <w:rsid w:val="00B24390"/>
    <w:rsid w:val="00B548FC"/>
    <w:rsid w:val="00B744D7"/>
    <w:rsid w:val="00B84F19"/>
    <w:rsid w:val="00BA68DE"/>
    <w:rsid w:val="00BB7FDE"/>
    <w:rsid w:val="00C00B9B"/>
    <w:rsid w:val="00C12C41"/>
    <w:rsid w:val="00C81146"/>
    <w:rsid w:val="00C81D65"/>
    <w:rsid w:val="00C8678F"/>
    <w:rsid w:val="00C900E0"/>
    <w:rsid w:val="00C95027"/>
    <w:rsid w:val="00CA77DD"/>
    <w:rsid w:val="00D02D42"/>
    <w:rsid w:val="00D6350C"/>
    <w:rsid w:val="00D63DB1"/>
    <w:rsid w:val="00D8094A"/>
    <w:rsid w:val="00DF38A8"/>
    <w:rsid w:val="00E66322"/>
    <w:rsid w:val="00E677EA"/>
    <w:rsid w:val="00E76F07"/>
    <w:rsid w:val="00EC3177"/>
    <w:rsid w:val="00EC5410"/>
    <w:rsid w:val="00EC569E"/>
    <w:rsid w:val="00ED2F0D"/>
    <w:rsid w:val="00F30ED6"/>
    <w:rsid w:val="00F334D5"/>
    <w:rsid w:val="00F365D1"/>
    <w:rsid w:val="00F57CC3"/>
    <w:rsid w:val="00FA23FB"/>
    <w:rsid w:val="00FA60D8"/>
    <w:rsid w:val="00FC14C8"/>
    <w:rsid w:val="00FD60FD"/>
    <w:rsid w:val="00FD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1693909"/>
  <w15:docId w15:val="{EE594750-0753-464C-9881-D4244613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MU Concrete" w:eastAsia="Calibri" w:hAnsi="CMU Concrete" w:cs="CMU Bright"/>
        <w:lang w:val="en-GB" w:eastAsia="en-US" w:bidi="ar-SA"/>
      </w:rPr>
    </w:rPrDefault>
    <w:pPrDefault>
      <w:pPr>
        <w:spacing w:before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00946503"/>
    <w:pPr>
      <w:keepNext/>
      <w:keepLines/>
      <w:numPr>
        <w:numId w:val="1"/>
      </w:numPr>
      <w:spacing w:before="320" w:after="120"/>
      <w:ind w:left="0" w:firstLine="0"/>
      <w:outlineLvl w:val="0"/>
    </w:pPr>
    <w:rPr>
      <w:b/>
      <w:sz w:val="26"/>
      <w:szCs w:val="32"/>
    </w:rPr>
  </w:style>
  <w:style w:type="paragraph" w:styleId="Kop2">
    <w:name w:val="heading 2"/>
    <w:basedOn w:val="Standaard"/>
    <w:next w:val="Standaard"/>
    <w:uiPriority w:val="9"/>
    <w:unhideWhenUsed/>
    <w:qFormat/>
    <w:rsid w:val="00946503"/>
    <w:pPr>
      <w:keepNext/>
      <w:keepLines/>
      <w:numPr>
        <w:ilvl w:val="1"/>
        <w:numId w:val="1"/>
      </w:numPr>
      <w:spacing w:before="240" w:after="120"/>
      <w:ind w:left="0" w:firstLine="0"/>
      <w:outlineLvl w:val="1"/>
    </w:pPr>
    <w:rPr>
      <w:b/>
      <w:sz w:val="22"/>
      <w:szCs w:val="26"/>
    </w:rPr>
  </w:style>
  <w:style w:type="paragraph" w:styleId="Kop3">
    <w:name w:val="heading 3"/>
    <w:basedOn w:val="Standaard"/>
    <w:next w:val="Standaard"/>
    <w:uiPriority w:val="9"/>
    <w:unhideWhenUsed/>
    <w:qFormat/>
    <w:rsid w:val="00DE50A0"/>
    <w:pPr>
      <w:keepNext/>
      <w:keepLines/>
      <w:numPr>
        <w:ilvl w:val="2"/>
        <w:numId w:val="1"/>
      </w:numPr>
      <w:spacing w:before="40"/>
      <w:ind w:left="0" w:firstLine="0"/>
      <w:outlineLvl w:val="2"/>
    </w:pPr>
    <w:rPr>
      <w:b/>
      <w:sz w:val="22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970C20"/>
    <w:pPr>
      <w:keepNext/>
      <w:keepLines/>
      <w:numPr>
        <w:ilvl w:val="3"/>
        <w:numId w:val="1"/>
      </w:numPr>
      <w:spacing w:before="40"/>
      <w:outlineLvl w:val="3"/>
    </w:pPr>
    <w:rPr>
      <w:b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color w:val="243F60"/>
      <w:sz w:val="24"/>
      <w:szCs w:val="24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i/>
      <w:color w:val="243F6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4260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426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426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rsid w:val="008F7F8A"/>
    <w:pPr>
      <w:keepNext/>
      <w:keepLines/>
      <w:spacing w:before="480" w:after="120"/>
      <w:jc w:val="center"/>
    </w:pPr>
    <w:rPr>
      <w:b/>
      <w:sz w:val="40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0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3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4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5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6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7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8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9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a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b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c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d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e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f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f0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f1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f2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table" w:customStyle="1" w:styleId="af3">
    <w:basedOn w:val="Standaardtabe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4">
    <w:basedOn w:val="Standaardtabe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i w:val="0"/>
      </w:rPr>
    </w:tblStylePr>
    <w:tblStylePr w:type="swCell">
      <w:rPr>
        <w:b/>
      </w:rPr>
    </w:tblStylePr>
  </w:style>
  <w:style w:type="paragraph" w:styleId="Tekstopmerking">
    <w:name w:val="annotation text"/>
    <w:basedOn w:val="Standaard"/>
    <w:link w:val="TekstopmerkingChar"/>
    <w:uiPriority w:val="99"/>
    <w:semiHidden/>
    <w:unhideWhenUsed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0F48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0F48"/>
    <w:rPr>
      <w:rFonts w:ascii="Times New Roman" w:hAnsi="Times New Roman" w:cs="Times New Roman"/>
      <w:sz w:val="1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2A0F48"/>
    <w:pPr>
      <w:spacing w:after="200"/>
    </w:pPr>
    <w:rPr>
      <w:rFonts w:asciiTheme="minorHAnsi" w:eastAsiaTheme="minorEastAsia" w:hAnsiTheme="minorHAnsi" w:cstheme="minorBidi"/>
      <w:i/>
      <w:iCs/>
      <w:color w:val="1F497D" w:themeColor="text2"/>
      <w:sz w:val="18"/>
      <w:szCs w:val="18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4D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4D09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B94D09"/>
    <w:pPr>
      <w:ind w:left="720"/>
      <w:contextualSpacing/>
    </w:pPr>
  </w:style>
  <w:style w:type="table" w:styleId="Onopgemaaktetabel3">
    <w:name w:val="Plain Table 3"/>
    <w:basedOn w:val="Standaardtabel"/>
    <w:uiPriority w:val="43"/>
    <w:rsid w:val="002746F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ssieketabel11">
    <w:name w:val="Klassieke tabel 11"/>
    <w:basedOn w:val="Standaardtabel"/>
    <w:next w:val="Klassieketabel1"/>
    <w:rsid w:val="002746F7"/>
    <w:rPr>
      <w:rFonts w:ascii="Times New Roman" w:eastAsia="Times New Roman" w:hAnsi="Times New Roman" w:cs="Times New Roman"/>
      <w:sz w:val="24"/>
      <w:szCs w:val="24"/>
      <w:lang w:val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2746F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374B4B"/>
    <w:pPr>
      <w:spacing w:before="120"/>
    </w:pPr>
    <w:rPr>
      <w:rFonts w:asciiTheme="minorHAnsi" w:hAnsiTheme="minorHAnsi"/>
      <w:b/>
      <w:bCs/>
    </w:rPr>
  </w:style>
  <w:style w:type="paragraph" w:styleId="Inhopg2">
    <w:name w:val="toc 2"/>
    <w:basedOn w:val="Standaard"/>
    <w:next w:val="Standaard"/>
    <w:autoRedefine/>
    <w:uiPriority w:val="39"/>
    <w:unhideWhenUsed/>
    <w:rsid w:val="00374B4B"/>
    <w:pPr>
      <w:spacing w:before="120"/>
      <w:ind w:left="221"/>
    </w:pPr>
    <w:rPr>
      <w:rFonts w:asciiTheme="minorHAnsi" w:hAnsiTheme="minorHAnsi"/>
      <w:iCs/>
    </w:rPr>
  </w:style>
  <w:style w:type="paragraph" w:styleId="Inhopg3">
    <w:name w:val="toc 3"/>
    <w:basedOn w:val="Standaard"/>
    <w:next w:val="Standaard"/>
    <w:autoRedefine/>
    <w:uiPriority w:val="39"/>
    <w:unhideWhenUsed/>
    <w:rsid w:val="00374B4B"/>
    <w:pPr>
      <w:spacing w:before="120"/>
      <w:ind w:left="442"/>
    </w:pPr>
    <w:rPr>
      <w:rFonts w:asciiTheme="minorHAnsi" w:hAnsiTheme="minorHAnsi"/>
    </w:rPr>
  </w:style>
  <w:style w:type="paragraph" w:styleId="Inhopg4">
    <w:name w:val="toc 4"/>
    <w:basedOn w:val="Standaard"/>
    <w:next w:val="Standaard"/>
    <w:autoRedefine/>
    <w:uiPriority w:val="39"/>
    <w:unhideWhenUsed/>
    <w:rsid w:val="00E16956"/>
    <w:pPr>
      <w:ind w:left="658"/>
    </w:pPr>
    <w:rPr>
      <w:rFonts w:asciiTheme="minorHAnsi" w:hAnsiTheme="minorHAnsi"/>
    </w:rPr>
  </w:style>
  <w:style w:type="paragraph" w:styleId="Inhopg5">
    <w:name w:val="toc 5"/>
    <w:basedOn w:val="Standaard"/>
    <w:next w:val="Standaard"/>
    <w:autoRedefine/>
    <w:uiPriority w:val="39"/>
    <w:unhideWhenUsed/>
    <w:rsid w:val="006209E9"/>
    <w:pPr>
      <w:ind w:left="880"/>
    </w:pPr>
    <w:rPr>
      <w:rFonts w:asciiTheme="minorHAnsi" w:hAnsiTheme="minorHAnsi"/>
    </w:rPr>
  </w:style>
  <w:style w:type="paragraph" w:styleId="Inhopg6">
    <w:name w:val="toc 6"/>
    <w:basedOn w:val="Standaard"/>
    <w:next w:val="Standaard"/>
    <w:autoRedefine/>
    <w:uiPriority w:val="39"/>
    <w:unhideWhenUsed/>
    <w:rsid w:val="006209E9"/>
    <w:pPr>
      <w:ind w:left="1100"/>
    </w:pPr>
    <w:rPr>
      <w:rFonts w:asciiTheme="minorHAnsi" w:hAnsiTheme="minorHAnsi"/>
    </w:rPr>
  </w:style>
  <w:style w:type="paragraph" w:styleId="Inhopg7">
    <w:name w:val="toc 7"/>
    <w:basedOn w:val="Standaard"/>
    <w:next w:val="Standaard"/>
    <w:autoRedefine/>
    <w:uiPriority w:val="39"/>
    <w:unhideWhenUsed/>
    <w:rsid w:val="006209E9"/>
    <w:pPr>
      <w:ind w:left="1320"/>
    </w:pPr>
    <w:rPr>
      <w:rFonts w:asciiTheme="minorHAnsi" w:hAnsiTheme="minorHAnsi"/>
    </w:rPr>
  </w:style>
  <w:style w:type="paragraph" w:styleId="Inhopg8">
    <w:name w:val="toc 8"/>
    <w:basedOn w:val="Standaard"/>
    <w:next w:val="Standaard"/>
    <w:autoRedefine/>
    <w:uiPriority w:val="39"/>
    <w:unhideWhenUsed/>
    <w:rsid w:val="006209E9"/>
    <w:pPr>
      <w:ind w:left="1540"/>
    </w:pPr>
    <w:rPr>
      <w:rFonts w:asciiTheme="minorHAnsi" w:hAnsiTheme="minorHAnsi"/>
    </w:rPr>
  </w:style>
  <w:style w:type="paragraph" w:styleId="Inhopg9">
    <w:name w:val="toc 9"/>
    <w:basedOn w:val="Standaard"/>
    <w:next w:val="Standaard"/>
    <w:autoRedefine/>
    <w:uiPriority w:val="39"/>
    <w:unhideWhenUsed/>
    <w:rsid w:val="006209E9"/>
    <w:pPr>
      <w:ind w:left="1760"/>
    </w:pPr>
    <w:rPr>
      <w:rFonts w:asciiTheme="minorHAnsi" w:hAnsiTheme="minorHAnsi"/>
    </w:rPr>
  </w:style>
  <w:style w:type="character" w:styleId="Hyperlink">
    <w:name w:val="Hyperlink"/>
    <w:basedOn w:val="Standaardalinea-lettertype"/>
    <w:uiPriority w:val="99"/>
    <w:unhideWhenUsed/>
    <w:rsid w:val="006209E9"/>
    <w:rPr>
      <w:color w:val="0000FF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209E9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04136"/>
    <w:p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US"/>
    </w:rPr>
  </w:style>
  <w:style w:type="paragraph" w:styleId="Geenafstand">
    <w:name w:val="No Spacing"/>
    <w:uiPriority w:val="1"/>
    <w:qFormat/>
    <w:rsid w:val="002E0953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12B4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C2E9B"/>
    <w:rPr>
      <w:rFonts w:cs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EC2E9B"/>
    <w:rPr>
      <w:rFonts w:cs="Times New Roman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420C6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20C68"/>
  </w:style>
  <w:style w:type="paragraph" w:styleId="Voettekst">
    <w:name w:val="footer"/>
    <w:basedOn w:val="Standaard"/>
    <w:link w:val="VoettekstChar"/>
    <w:uiPriority w:val="99"/>
    <w:unhideWhenUsed/>
    <w:rsid w:val="00420C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0C68"/>
  </w:style>
  <w:style w:type="paragraph" w:styleId="Normaalweb">
    <w:name w:val="Normal (Web)"/>
    <w:basedOn w:val="Standaard"/>
    <w:uiPriority w:val="99"/>
    <w:semiHidden/>
    <w:unhideWhenUsed/>
    <w:rsid w:val="00E444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42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42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42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ourceCode">
    <w:name w:val="Source Code"/>
    <w:basedOn w:val="Standaard"/>
    <w:pPr>
      <w:shd w:val="clear" w:color="auto" w:fill="F8F8F8"/>
      <w:wordWrap w:val="0"/>
    </w:pPr>
  </w:style>
  <w:style w:type="character" w:customStyle="1" w:styleId="KeywordTok">
    <w:name w:val="KeywordTok"/>
    <w:rPr>
      <w:b/>
      <w:color w:val="204A87"/>
      <w:shd w:val="clear" w:color="auto" w:fill="F8F8F8"/>
    </w:rPr>
  </w:style>
  <w:style w:type="character" w:customStyle="1" w:styleId="DataTypeTok">
    <w:name w:val="DataTypeTok"/>
    <w:rPr>
      <w:color w:val="204A87"/>
      <w:shd w:val="clear" w:color="auto" w:fill="F8F8F8"/>
    </w:rPr>
  </w:style>
  <w:style w:type="character" w:customStyle="1" w:styleId="DecValTok">
    <w:name w:val="DecValTok"/>
    <w:rPr>
      <w:color w:val="0000CF"/>
      <w:shd w:val="clear" w:color="auto" w:fill="F8F8F8"/>
    </w:rPr>
  </w:style>
  <w:style w:type="character" w:customStyle="1" w:styleId="BaseNTok">
    <w:name w:val="BaseNTok"/>
    <w:rPr>
      <w:color w:val="0000CF"/>
      <w:shd w:val="clear" w:color="auto" w:fill="F8F8F8"/>
    </w:rPr>
  </w:style>
  <w:style w:type="character" w:customStyle="1" w:styleId="FloatTok">
    <w:name w:val="FloatTok"/>
    <w:rPr>
      <w:color w:val="0000CF"/>
      <w:shd w:val="clear" w:color="auto" w:fill="F8F8F8"/>
    </w:rPr>
  </w:style>
  <w:style w:type="character" w:customStyle="1" w:styleId="ConstantTok">
    <w:name w:val="ConstantTok"/>
    <w:rPr>
      <w:color w:val="000000"/>
      <w:shd w:val="clear" w:color="auto" w:fill="F8F8F8"/>
    </w:rPr>
  </w:style>
  <w:style w:type="character" w:customStyle="1" w:styleId="CharTok">
    <w:name w:val="CharTok"/>
    <w:rPr>
      <w:color w:val="4E9A06"/>
      <w:shd w:val="clear" w:color="auto" w:fill="F8F8F8"/>
    </w:rPr>
  </w:style>
  <w:style w:type="character" w:customStyle="1" w:styleId="SpecialCharTok">
    <w:name w:val="SpecialCharTok"/>
    <w:rPr>
      <w:color w:val="000000"/>
      <w:shd w:val="clear" w:color="auto" w:fill="F8F8F8"/>
    </w:rPr>
  </w:style>
  <w:style w:type="character" w:customStyle="1" w:styleId="StringTok">
    <w:name w:val="StringTok"/>
    <w:rPr>
      <w:color w:val="4E9A06"/>
      <w:shd w:val="clear" w:color="auto" w:fill="F8F8F8"/>
    </w:rPr>
  </w:style>
  <w:style w:type="character" w:customStyle="1" w:styleId="VerbatimStringTok">
    <w:name w:val="VerbatimStringTok"/>
    <w:rPr>
      <w:color w:val="4E9A06"/>
      <w:shd w:val="clear" w:color="auto" w:fill="F8F8F8"/>
    </w:rPr>
  </w:style>
  <w:style w:type="character" w:customStyle="1" w:styleId="SpecialStringTok">
    <w:name w:val="SpecialStringTok"/>
    <w:rPr>
      <w:color w:val="4E9A06"/>
      <w:shd w:val="clear" w:color="auto" w:fill="F8F8F8"/>
    </w:rPr>
  </w:style>
  <w:style w:type="character" w:customStyle="1" w:styleId="ImportTok">
    <w:name w:val="ImportTok"/>
    <w:rPr>
      <w:shd w:val="clear" w:color="auto" w:fill="F8F8F8"/>
    </w:rPr>
  </w:style>
  <w:style w:type="character" w:customStyle="1" w:styleId="CommentTok">
    <w:name w:val="CommentTok"/>
    <w:rPr>
      <w:i/>
      <w:color w:val="8F5902"/>
      <w:shd w:val="clear" w:color="auto" w:fill="F8F8F8"/>
    </w:rPr>
  </w:style>
  <w:style w:type="character" w:customStyle="1" w:styleId="DocumentationTok">
    <w:name w:val="DocumentationTok"/>
    <w:rPr>
      <w:b/>
      <w:i/>
      <w:color w:val="8F5902"/>
      <w:shd w:val="clear" w:color="auto" w:fill="F8F8F8"/>
    </w:rPr>
  </w:style>
  <w:style w:type="character" w:customStyle="1" w:styleId="AnnotationTok">
    <w:name w:val="AnnotationTok"/>
    <w:rPr>
      <w:b/>
      <w:i/>
      <w:color w:val="8F5902"/>
      <w:shd w:val="clear" w:color="auto" w:fill="F8F8F8"/>
    </w:rPr>
  </w:style>
  <w:style w:type="character" w:customStyle="1" w:styleId="CommentVarTok">
    <w:name w:val="CommentVarTok"/>
    <w:rPr>
      <w:b/>
      <w:i/>
      <w:color w:val="8F5902"/>
      <w:shd w:val="clear" w:color="auto" w:fill="F8F8F8"/>
    </w:rPr>
  </w:style>
  <w:style w:type="character" w:customStyle="1" w:styleId="OtherTok">
    <w:name w:val="OtherTok"/>
    <w:rPr>
      <w:color w:val="8F5902"/>
      <w:shd w:val="clear" w:color="auto" w:fill="F8F8F8"/>
    </w:rPr>
  </w:style>
  <w:style w:type="character" w:customStyle="1" w:styleId="FunctionTok">
    <w:name w:val="FunctionTok"/>
    <w:rPr>
      <w:color w:val="000000"/>
      <w:shd w:val="clear" w:color="auto" w:fill="F8F8F8"/>
    </w:rPr>
  </w:style>
  <w:style w:type="character" w:customStyle="1" w:styleId="VariableTok">
    <w:name w:val="VariableTok"/>
    <w:rPr>
      <w:color w:val="000000"/>
      <w:shd w:val="clear" w:color="auto" w:fill="F8F8F8"/>
    </w:rPr>
  </w:style>
  <w:style w:type="character" w:customStyle="1" w:styleId="ControlFlowTok">
    <w:name w:val="ControlFlowTok"/>
    <w:rPr>
      <w:b/>
      <w:color w:val="204A87"/>
      <w:shd w:val="clear" w:color="auto" w:fill="F8F8F8"/>
    </w:rPr>
  </w:style>
  <w:style w:type="character" w:customStyle="1" w:styleId="OperatorTok">
    <w:name w:val="OperatorTok"/>
    <w:rPr>
      <w:b/>
      <w:color w:val="CE5C00"/>
      <w:shd w:val="clear" w:color="auto" w:fill="F8F8F8"/>
    </w:rPr>
  </w:style>
  <w:style w:type="character" w:customStyle="1" w:styleId="BuiltInTok">
    <w:name w:val="BuiltInTok"/>
    <w:rPr>
      <w:shd w:val="clear" w:color="auto" w:fill="F8F8F8"/>
    </w:rPr>
  </w:style>
  <w:style w:type="character" w:customStyle="1" w:styleId="ExtensionTok">
    <w:name w:val="ExtensionTok"/>
    <w:rPr>
      <w:shd w:val="clear" w:color="auto" w:fill="F8F8F8"/>
    </w:rPr>
  </w:style>
  <w:style w:type="character" w:customStyle="1" w:styleId="PreprocessorTok">
    <w:name w:val="PreprocessorTok"/>
    <w:rPr>
      <w:i/>
      <w:color w:val="8F5902"/>
      <w:shd w:val="clear" w:color="auto" w:fill="F8F8F8"/>
    </w:rPr>
  </w:style>
  <w:style w:type="character" w:customStyle="1" w:styleId="AttributeTok">
    <w:name w:val="AttributeTok"/>
    <w:rPr>
      <w:color w:val="C4A000"/>
      <w:shd w:val="clear" w:color="auto" w:fill="F8F8F8"/>
    </w:rPr>
  </w:style>
  <w:style w:type="character" w:customStyle="1" w:styleId="RegionMarkerTok">
    <w:name w:val="RegionMarkerTok"/>
    <w:rPr>
      <w:shd w:val="clear" w:color="auto" w:fill="F8F8F8"/>
    </w:rPr>
  </w:style>
  <w:style w:type="character" w:customStyle="1" w:styleId="InformationTok">
    <w:name w:val="InformationTok"/>
    <w:rPr>
      <w:b/>
      <w:i/>
      <w:color w:val="8F5902"/>
      <w:shd w:val="clear" w:color="auto" w:fill="F8F8F8"/>
    </w:rPr>
  </w:style>
  <w:style w:type="character" w:customStyle="1" w:styleId="WarningTok">
    <w:name w:val="WarningTok"/>
    <w:rPr>
      <w:b/>
      <w:i/>
      <w:color w:val="8F5902"/>
      <w:shd w:val="clear" w:color="auto" w:fill="F8F8F8"/>
    </w:rPr>
  </w:style>
  <w:style w:type="character" w:customStyle="1" w:styleId="AlertTok">
    <w:name w:val="AlertTok"/>
    <w:rPr>
      <w:color w:val="EF2929"/>
      <w:shd w:val="clear" w:color="auto" w:fill="F8F8F8"/>
    </w:rPr>
  </w:style>
  <w:style w:type="character" w:customStyle="1" w:styleId="ErrorTok">
    <w:name w:val="ErrorTok"/>
    <w:rPr>
      <w:b/>
      <w:color w:val="A40000"/>
      <w:shd w:val="clear" w:color="auto" w:fill="F8F8F8"/>
    </w:rPr>
  </w:style>
  <w:style w:type="character" w:customStyle="1" w:styleId="NormalTok">
    <w:name w:val="NormalTok"/>
    <w:rPr>
      <w:shd w:val="clear" w:color="auto" w:fill="F8F8F8"/>
    </w:rPr>
  </w:style>
  <w:style w:type="paragraph" w:styleId="Revisie">
    <w:name w:val="Revision"/>
    <w:hidden/>
    <w:uiPriority w:val="99"/>
    <w:semiHidden/>
    <w:rsid w:val="00FD60FD"/>
    <w:pPr>
      <w:spacing w:before="0"/>
      <w:jc w:val="left"/>
    </w:pPr>
  </w:style>
  <w:style w:type="table" w:styleId="Onopgemaaktetabel2">
    <w:name w:val="Plain Table 2"/>
    <w:basedOn w:val="Standaardtabel"/>
    <w:uiPriority w:val="42"/>
    <w:rsid w:val="007F31A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jsttabel6kleurrijk">
    <w:name w:val="List Table 6 Colorful"/>
    <w:basedOn w:val="Standaardtabel"/>
    <w:uiPriority w:val="51"/>
    <w:rsid w:val="007F31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Standaard"/>
    <w:link w:val="EndNoteBibliographyTitleChar"/>
    <w:rsid w:val="001D56DC"/>
    <w:pPr>
      <w:jc w:val="center"/>
    </w:pPr>
    <w:rPr>
      <w:rFonts w:cs="CMU Concrete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1D56DC"/>
    <w:rPr>
      <w:rFonts w:cs="CMU Concrete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1D56DC"/>
    <w:pPr>
      <w:jc w:val="left"/>
    </w:pPr>
    <w:rPr>
      <w:rFonts w:cs="CMU Concrete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1D56DC"/>
    <w:rPr>
      <w:rFonts w:cs="CMU Concrete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0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C09B2-E536-4807-BBAA-471AC76E8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11</Pages>
  <Words>1446</Words>
  <Characters>7959</Characters>
  <Application>Microsoft Office Word</Application>
  <DocSecurity>0</DocSecurity>
  <Lines>66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Assessing the role of diffusion-weighted MR imaging in pediatric and adolescent behalf of the EpSSG Imaging Committee rhabdomyosarcoma an international retrospective study on behalf of the EpSSG Imaging Committee</vt:lpstr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Assessing the role of diffusion-weighted MR imaging in pediatric and adolescent behalf of the EpSSG Imaging Committee rhabdomyosarcoma an international retrospective study on behalf of the EpSSG Imaging Committee</dc:title>
  <dc:creator>Roelof van Ewijk;Cyrano Chatziantoniou;Simone A.J. ter Horst;Rana Dandis;Giulia de Donno;Hans JHM Merks;Alexander Leemans;Rick R. van Rijn;Alberto de Luca;Reineke A. Schoot;on behalf of the EpSSG Imaging committee (C. Giraudo, C. Morosi, G. Bisogno, A. Ferrari, PL di Paolo, L. Quaglietta, V. Minard-Colin, S. Moalla, S. Nahmani, A. Bouhamama, V. Charon, A. Coma, S. Gallego, H. Glosli, L. Ording Müller, C. Devalck, E. Pace, M. Adams, M. Jenney, K. McHugh)</dc:creator>
  <cp:keywords/>
  <cp:lastModifiedBy>Ewijk-2, R. van</cp:lastModifiedBy>
  <cp:revision>12</cp:revision>
  <dcterms:created xsi:type="dcterms:W3CDTF">2023-07-20T11:03:00Z</dcterms:created>
  <dcterms:modified xsi:type="dcterms:W3CDTF">2023-08-16T07:26:00Z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references.yaml</vt:lpwstr>
  </property>
  <property fmtid="{D5CDD505-2E9C-101B-9397-08002B2CF9AE}" pid="3" name="date">
    <vt:lpwstr>29 oktober 2022</vt:lpwstr>
  </property>
  <property fmtid="{D5CDD505-2E9C-101B-9397-08002B2CF9AE}" pid="4" name="editor_options">
    <vt:lpwstr/>
  </property>
  <property fmtid="{D5CDD505-2E9C-101B-9397-08002B2CF9AE}" pid="5" name="fontfamily">
    <vt:lpwstr>calibri light</vt:lpwstr>
  </property>
  <property fmtid="{D5CDD505-2E9C-101B-9397-08002B2CF9AE}" pid="6" name="fontsize">
    <vt:lpwstr>11pt</vt:lpwstr>
  </property>
  <property fmtid="{D5CDD505-2E9C-101B-9397-08002B2CF9AE}" pid="7" name="geometry">
    <vt:lpwstr>margin = lin</vt:lpwstr>
  </property>
  <property fmtid="{D5CDD505-2E9C-101B-9397-08002B2CF9AE}" pid="8" name="linespread">
    <vt:lpwstr>2</vt:lpwstr>
  </property>
  <property fmtid="{D5CDD505-2E9C-101B-9397-08002B2CF9AE}" pid="9" name="output">
    <vt:lpwstr/>
  </property>
</Properties>
</file>