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322F50" w14:textId="4C110D96" w:rsidR="00DC5817" w:rsidRPr="00195FFE" w:rsidRDefault="00026E6A">
      <w:pPr>
        <w:pStyle w:val="Web"/>
        <w:spacing w:before="0" w:beforeAutospacing="0" w:after="0" w:afterAutospacing="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195FFE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Supplementa</w:t>
      </w:r>
      <w:r w:rsidR="00C2470B" w:rsidRPr="00195FFE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ry</w:t>
      </w:r>
      <w:r w:rsidRPr="00195FFE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="00963C0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ja-JP"/>
        </w:rPr>
        <w:t>m</w:t>
      </w:r>
      <w:r w:rsidR="001B6845" w:rsidRPr="00195FFE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aterial </w:t>
      </w:r>
      <w:r w:rsidR="0067415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1</w:t>
      </w:r>
      <w:r w:rsidRPr="00195FFE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. Training </w:t>
      </w:r>
      <w:r w:rsidR="00963C0D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d</w:t>
      </w:r>
      <w:r w:rsidRPr="00195FFE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etails</w:t>
      </w:r>
    </w:p>
    <w:p w14:paraId="42322F51" w14:textId="6879E499" w:rsidR="00DC5817" w:rsidRPr="00195FFE" w:rsidRDefault="00047F7C">
      <w:pPr>
        <w:pStyle w:val="Web"/>
        <w:spacing w:before="0" w:beforeAutospacing="0" w:after="0" w:afterAutospacing="0" w:line="48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</w:pPr>
      <w:r w:rsidRPr="00195FFE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Supplementa</w:t>
      </w:r>
      <w:r w:rsidR="001B6845" w:rsidRPr="00195FFE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ry </w:t>
      </w:r>
      <w:r w:rsidR="00963C0D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m</w:t>
      </w:r>
      <w:r w:rsidR="001B6845" w:rsidRPr="00195FFE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aterial </w:t>
      </w:r>
      <w:r w:rsidR="0067415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1</w:t>
      </w:r>
      <w:r w:rsidR="00593E7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a</w:t>
      </w:r>
      <w:r w:rsidRPr="00195FFE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 xml:space="preserve">. </w:t>
      </w:r>
      <w:r w:rsidR="00963C0D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t</w:t>
      </w:r>
      <w:r w:rsidRPr="00195FFE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 xml:space="preserve">raining </w:t>
      </w:r>
      <w:r w:rsidR="00963C0D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d</w:t>
      </w:r>
      <w:r w:rsidRPr="00195FFE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 xml:space="preserve">etails of </w:t>
      </w:r>
      <w:r w:rsidR="00963C0D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e</w:t>
      </w:r>
      <w:r w:rsidRPr="00195FFE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ncoder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E31712" w:rsidRPr="00195FFE" w14:paraId="42322F54" w14:textId="77777777">
        <w:tc>
          <w:tcPr>
            <w:tcW w:w="4148" w:type="dxa"/>
          </w:tcPr>
          <w:p w14:paraId="42322F52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Loss function</w:t>
            </w:r>
          </w:p>
        </w:tc>
        <w:tc>
          <w:tcPr>
            <w:tcW w:w="4148" w:type="dxa"/>
          </w:tcPr>
          <w:p w14:paraId="42322F53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Cross-entropy loss</w:t>
            </w:r>
          </w:p>
        </w:tc>
      </w:tr>
      <w:tr w:rsidR="00E31712" w:rsidRPr="00195FFE" w14:paraId="42322F57" w14:textId="77777777">
        <w:tc>
          <w:tcPr>
            <w:tcW w:w="4148" w:type="dxa"/>
          </w:tcPr>
          <w:p w14:paraId="42322F55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Optimizer</w:t>
            </w:r>
          </w:p>
        </w:tc>
        <w:tc>
          <w:tcPr>
            <w:tcW w:w="4148" w:type="dxa"/>
          </w:tcPr>
          <w:p w14:paraId="42322F56" w14:textId="62D78E65" w:rsidR="00DC5817" w:rsidRPr="00195FFE" w:rsidRDefault="00000000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Adam [</w:t>
            </w:r>
            <w:r w:rsidR="00B117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6160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E31712" w:rsidRPr="00195FFE" w14:paraId="42322F5A" w14:textId="77777777">
        <w:tc>
          <w:tcPr>
            <w:tcW w:w="4148" w:type="dxa"/>
          </w:tcPr>
          <w:p w14:paraId="42322F58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Learning rate</w:t>
            </w:r>
          </w:p>
        </w:tc>
        <w:tc>
          <w:tcPr>
            <w:tcW w:w="4148" w:type="dxa"/>
          </w:tcPr>
          <w:p w14:paraId="42322F59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× 10⁻⁴</w:t>
            </w:r>
          </w:p>
        </w:tc>
      </w:tr>
      <w:tr w:rsidR="00E31712" w:rsidRPr="00195FFE" w14:paraId="42322F5D" w14:textId="77777777">
        <w:tc>
          <w:tcPr>
            <w:tcW w:w="4148" w:type="dxa"/>
          </w:tcPr>
          <w:p w14:paraId="42322F5B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Number of epochs</w:t>
            </w:r>
          </w:p>
        </w:tc>
        <w:tc>
          <w:tcPr>
            <w:tcW w:w="4148" w:type="dxa"/>
          </w:tcPr>
          <w:p w14:paraId="42322F5C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</w:tbl>
    <w:p w14:paraId="42322F5E" w14:textId="77777777" w:rsidR="00DC5817" w:rsidRPr="00195FFE" w:rsidRDefault="00DC5817">
      <w:pPr>
        <w:pStyle w:val="Web"/>
        <w:spacing w:before="0" w:beforeAutospacing="0" w:after="0" w:afterAutospacing="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42322F5F" w14:textId="7CED2226" w:rsidR="00DC5817" w:rsidRPr="00195FFE" w:rsidRDefault="00047F7C">
      <w:pPr>
        <w:pStyle w:val="Web"/>
        <w:spacing w:before="0" w:beforeAutospacing="0" w:after="0" w:afterAutospacing="0" w:line="48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</w:pPr>
      <w:r w:rsidRPr="00195FFE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Supplementa</w:t>
      </w:r>
      <w:r w:rsidR="00C2470B" w:rsidRPr="00195FFE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ry</w:t>
      </w:r>
      <w:r w:rsidRPr="00195FFE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="00963C0D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m</w:t>
      </w:r>
      <w:r w:rsidR="001B6845" w:rsidRPr="00195FFE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aterial </w:t>
      </w:r>
      <w:r w:rsidR="0067415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1</w:t>
      </w:r>
      <w:r w:rsidR="00593E7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b</w:t>
      </w:r>
      <w:r w:rsidRPr="00195FFE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 xml:space="preserve">. </w:t>
      </w:r>
      <w:r w:rsidR="00963C0D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t</w:t>
      </w:r>
      <w:r w:rsidRPr="00195FFE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 xml:space="preserve">raining </w:t>
      </w:r>
      <w:r w:rsidR="00963C0D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d</w:t>
      </w:r>
      <w:r w:rsidRPr="00195FFE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 xml:space="preserve">etails of </w:t>
      </w:r>
      <w:r w:rsidR="00963C0D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f</w:t>
      </w:r>
      <w:r w:rsidRPr="00195FFE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ine-</w:t>
      </w:r>
      <w:r w:rsidR="00963C0D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t</w:t>
      </w:r>
      <w:r w:rsidRPr="00195FFE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 xml:space="preserve">uned </w:t>
      </w:r>
      <w:r w:rsidR="00963C0D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m</w:t>
      </w:r>
      <w:r w:rsidRPr="00195FFE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odel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E31712" w:rsidRPr="00195FFE" w14:paraId="42322F62" w14:textId="77777777">
        <w:tc>
          <w:tcPr>
            <w:tcW w:w="4148" w:type="dxa"/>
          </w:tcPr>
          <w:p w14:paraId="42322F60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Loss function</w:t>
            </w:r>
          </w:p>
        </w:tc>
        <w:tc>
          <w:tcPr>
            <w:tcW w:w="4148" w:type="dxa"/>
          </w:tcPr>
          <w:p w14:paraId="42322F61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Cross-entropy loss</w:t>
            </w:r>
          </w:p>
        </w:tc>
      </w:tr>
      <w:tr w:rsidR="00E31712" w:rsidRPr="00195FFE" w14:paraId="42322F65" w14:textId="77777777">
        <w:tc>
          <w:tcPr>
            <w:tcW w:w="4148" w:type="dxa"/>
          </w:tcPr>
          <w:p w14:paraId="42322F63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Optimizer</w:t>
            </w:r>
          </w:p>
        </w:tc>
        <w:tc>
          <w:tcPr>
            <w:tcW w:w="4148" w:type="dxa"/>
          </w:tcPr>
          <w:p w14:paraId="42322F64" w14:textId="4D85F48B" w:rsidR="00DC5817" w:rsidRPr="00195FFE" w:rsidRDefault="00000000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Adam [</w:t>
            </w:r>
            <w:r w:rsidR="00B117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6160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E31712" w:rsidRPr="00195FFE" w14:paraId="42322F68" w14:textId="77777777">
        <w:tc>
          <w:tcPr>
            <w:tcW w:w="4148" w:type="dxa"/>
          </w:tcPr>
          <w:p w14:paraId="42322F66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Learning rate</w:t>
            </w:r>
          </w:p>
        </w:tc>
        <w:tc>
          <w:tcPr>
            <w:tcW w:w="4148" w:type="dxa"/>
          </w:tcPr>
          <w:p w14:paraId="42322F67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× 10⁻</w:t>
            </w: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5</w:t>
            </w:r>
          </w:p>
        </w:tc>
      </w:tr>
      <w:tr w:rsidR="00E31712" w:rsidRPr="00195FFE" w14:paraId="42322F6B" w14:textId="77777777">
        <w:tc>
          <w:tcPr>
            <w:tcW w:w="4148" w:type="dxa"/>
          </w:tcPr>
          <w:p w14:paraId="42322F69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Number of epochs</w:t>
            </w:r>
          </w:p>
        </w:tc>
        <w:tc>
          <w:tcPr>
            <w:tcW w:w="4148" w:type="dxa"/>
          </w:tcPr>
          <w:p w14:paraId="42322F6A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</w:tr>
    </w:tbl>
    <w:p w14:paraId="42322F6C" w14:textId="77777777" w:rsidR="00DC5817" w:rsidRPr="00195FFE" w:rsidRDefault="00DC5817">
      <w:pPr>
        <w:pStyle w:val="Web"/>
        <w:spacing w:before="0" w:beforeAutospacing="0" w:after="0" w:afterAutospacing="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42322F6D" w14:textId="368A4BCC" w:rsidR="00DC5817" w:rsidRPr="00195FFE" w:rsidRDefault="00047F7C">
      <w:pPr>
        <w:pStyle w:val="Web"/>
        <w:spacing w:before="0" w:beforeAutospacing="0" w:after="0" w:afterAutospacing="0" w:line="48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</w:pPr>
      <w:r w:rsidRPr="00195FFE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Supplementa</w:t>
      </w:r>
      <w:r w:rsidR="00C2470B" w:rsidRPr="00195FFE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ry</w:t>
      </w:r>
      <w:r w:rsidRPr="00195FFE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="00963C0D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m</w:t>
      </w:r>
      <w:r w:rsidR="001B6845" w:rsidRPr="00195FFE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aterial </w:t>
      </w:r>
      <w:r w:rsidR="0067415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1</w:t>
      </w:r>
      <w:r w:rsidR="00593E7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c</w:t>
      </w:r>
      <w:r w:rsidRPr="00195FFE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 xml:space="preserve">. </w:t>
      </w:r>
      <w:r w:rsidR="00963C0D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t</w:t>
      </w:r>
      <w:r w:rsidRPr="00195FFE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 xml:space="preserve">raining </w:t>
      </w:r>
      <w:r w:rsidR="00963C0D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d</w:t>
      </w:r>
      <w:r w:rsidRPr="00195FFE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 xml:space="preserve">etails of </w:t>
      </w:r>
      <w:r w:rsidR="00963C0D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s</w:t>
      </w:r>
      <w:r w:rsidRPr="00195FFE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 xml:space="preserve">tudent </w:t>
      </w:r>
      <w:r w:rsidR="00963C0D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m</w:t>
      </w:r>
      <w:r w:rsidRPr="00195FFE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odel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E31712" w:rsidRPr="00195FFE" w14:paraId="42322F70" w14:textId="77777777">
        <w:tc>
          <w:tcPr>
            <w:tcW w:w="4148" w:type="dxa"/>
          </w:tcPr>
          <w:p w14:paraId="42322F6E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Class imbalance handling</w:t>
            </w: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*1</w:t>
            </w:r>
          </w:p>
        </w:tc>
        <w:tc>
          <w:tcPr>
            <w:tcW w:w="4148" w:type="dxa"/>
          </w:tcPr>
          <w:p w14:paraId="42322F6F" w14:textId="3C0A1119" w:rsidR="00DC5817" w:rsidRPr="00195FFE" w:rsidRDefault="00000000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WeightedRandomSampler</w:t>
            </w:r>
            <w:proofErr w:type="spellEnd"/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[1</w:t>
            </w:r>
            <w:r w:rsidR="005540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E31712" w:rsidRPr="00195FFE" w14:paraId="42322F73" w14:textId="77777777">
        <w:tc>
          <w:tcPr>
            <w:tcW w:w="4148" w:type="dxa"/>
          </w:tcPr>
          <w:p w14:paraId="42322F71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Loss function</w:t>
            </w: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*2</w:t>
            </w:r>
          </w:p>
        </w:tc>
        <w:tc>
          <w:tcPr>
            <w:tcW w:w="4148" w:type="dxa"/>
          </w:tcPr>
          <w:p w14:paraId="42322F72" w14:textId="1E8D52AB" w:rsidR="00DC5817" w:rsidRPr="00195FFE" w:rsidRDefault="00000000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Focal </w:t>
            </w:r>
            <w:r w:rsidR="00F93C59"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</w:t>
            </w: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oss</w:t>
            </w:r>
          </w:p>
        </w:tc>
      </w:tr>
      <w:tr w:rsidR="00E31712" w:rsidRPr="00195FFE" w14:paraId="42322F76" w14:textId="77777777">
        <w:tc>
          <w:tcPr>
            <w:tcW w:w="4148" w:type="dxa"/>
          </w:tcPr>
          <w:p w14:paraId="42322F74" w14:textId="2EA91DF9" w:rsidR="00DC5817" w:rsidRPr="00195FFE" w:rsidRDefault="00000000">
            <w:pPr>
              <w:pStyle w:val="Web"/>
              <w:spacing w:before="0" w:beforeAutospacing="0" w:after="0" w:afterAutospacing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Focal </w:t>
            </w:r>
            <w:r w:rsidR="00F93C59"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</w:t>
            </w: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oss parameter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 w:themeColor="text1"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</w:rPr>
                    <m:t>α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</w:rPr>
                    <m:t>t</m:t>
                  </m:r>
                </m:sub>
              </m:sSub>
            </m:oMath>
          </w:p>
        </w:tc>
        <w:tc>
          <w:tcPr>
            <w:tcW w:w="4148" w:type="dxa"/>
          </w:tcPr>
          <w:p w14:paraId="42322F75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</w:tr>
      <w:tr w:rsidR="00E31712" w:rsidRPr="00195FFE" w14:paraId="42322F79" w14:textId="77777777">
        <w:tc>
          <w:tcPr>
            <w:tcW w:w="4148" w:type="dxa"/>
          </w:tcPr>
          <w:p w14:paraId="42322F77" w14:textId="28EFA79C" w:rsidR="00DC5817" w:rsidRPr="00195FFE" w:rsidRDefault="00000000">
            <w:pPr>
              <w:pStyle w:val="Web"/>
              <w:spacing w:before="0" w:beforeAutospacing="0" w:after="0" w:afterAutospacing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Focal </w:t>
            </w:r>
            <w:r w:rsidR="00F93C59"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</w:t>
            </w: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oss parameter </w:t>
            </w:r>
            <m:oMath>
              <m:r>
                <w:rPr>
                  <w:rFonts w:ascii="Cambria Math" w:eastAsia="DengXian" w:hAnsi="Cambria Math" w:cs="Times New Roman"/>
                  <w:color w:val="000000" w:themeColor="text1"/>
                  <w:sz w:val="20"/>
                  <w:szCs w:val="20"/>
                </w:rPr>
                <m:t>γ</m:t>
              </m:r>
            </m:oMath>
          </w:p>
        </w:tc>
        <w:tc>
          <w:tcPr>
            <w:tcW w:w="4148" w:type="dxa"/>
          </w:tcPr>
          <w:p w14:paraId="42322F78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</w:tr>
      <w:tr w:rsidR="00E31712" w:rsidRPr="00195FFE" w14:paraId="42322F7C" w14:textId="77777777">
        <w:tc>
          <w:tcPr>
            <w:tcW w:w="4148" w:type="dxa"/>
          </w:tcPr>
          <w:p w14:paraId="42322F7A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Optimizer</w:t>
            </w:r>
          </w:p>
        </w:tc>
        <w:tc>
          <w:tcPr>
            <w:tcW w:w="4148" w:type="dxa"/>
          </w:tcPr>
          <w:p w14:paraId="42322F7B" w14:textId="44E51CA4" w:rsidR="00DC5817" w:rsidRPr="00195FFE" w:rsidRDefault="00000000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AdamW</w:t>
            </w:r>
            <w:proofErr w:type="spellEnd"/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</w:t>
            </w:r>
            <w:r w:rsidR="00B117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6160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E31712" w:rsidRPr="00195FFE" w14:paraId="42322F7F" w14:textId="77777777">
        <w:tc>
          <w:tcPr>
            <w:tcW w:w="4148" w:type="dxa"/>
          </w:tcPr>
          <w:p w14:paraId="42322F7D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Weight decay</w:t>
            </w:r>
          </w:p>
        </w:tc>
        <w:tc>
          <w:tcPr>
            <w:tcW w:w="4148" w:type="dxa"/>
          </w:tcPr>
          <w:p w14:paraId="42322F7E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× 10</w:t>
            </w: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⁻3</w:t>
            </w:r>
          </w:p>
        </w:tc>
      </w:tr>
      <w:tr w:rsidR="00E31712" w:rsidRPr="00195FFE" w14:paraId="42322F82" w14:textId="77777777">
        <w:tc>
          <w:tcPr>
            <w:tcW w:w="4148" w:type="dxa"/>
          </w:tcPr>
          <w:p w14:paraId="42322F80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Learning rate schedule</w:t>
            </w: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*3</w:t>
            </w:r>
          </w:p>
        </w:tc>
        <w:tc>
          <w:tcPr>
            <w:tcW w:w="4148" w:type="dxa"/>
          </w:tcPr>
          <w:p w14:paraId="42322F81" w14:textId="2963B92C" w:rsidR="00DC5817" w:rsidRPr="00195FFE" w:rsidRDefault="00000000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Warmup + cosine annealing [</w:t>
            </w:r>
            <w:r w:rsidR="005841D7"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6160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4</w:t>
            </w:r>
            <w:r w:rsidR="006160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E31712" w:rsidRPr="00195FFE" w14:paraId="42322F85" w14:textId="77777777">
        <w:tc>
          <w:tcPr>
            <w:tcW w:w="4148" w:type="dxa"/>
          </w:tcPr>
          <w:p w14:paraId="42322F83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Initial learning rate</w:t>
            </w:r>
          </w:p>
        </w:tc>
        <w:tc>
          <w:tcPr>
            <w:tcW w:w="4148" w:type="dxa"/>
          </w:tcPr>
          <w:p w14:paraId="42322F84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× 10⁻⁵</w:t>
            </w:r>
          </w:p>
        </w:tc>
      </w:tr>
      <w:tr w:rsidR="00E31712" w:rsidRPr="00195FFE" w14:paraId="42322F88" w14:textId="77777777">
        <w:tc>
          <w:tcPr>
            <w:tcW w:w="4148" w:type="dxa"/>
          </w:tcPr>
          <w:p w14:paraId="42322F86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Minimum learning rate</w:t>
            </w:r>
          </w:p>
        </w:tc>
        <w:tc>
          <w:tcPr>
            <w:tcW w:w="4148" w:type="dxa"/>
          </w:tcPr>
          <w:p w14:paraId="42322F87" w14:textId="77777777" w:rsidR="00DC5817" w:rsidRPr="00195FFE" w:rsidRDefault="00000000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F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× 10⁻⁶</w:t>
            </w:r>
          </w:p>
        </w:tc>
      </w:tr>
    </w:tbl>
    <w:p w14:paraId="42322F89" w14:textId="092786B7" w:rsidR="00DC5817" w:rsidRPr="00195FFE" w:rsidRDefault="00000000">
      <w:pPr>
        <w:pStyle w:val="Web"/>
        <w:spacing w:before="0" w:beforeAutospacing="0" w:after="0" w:afterAutospacing="0"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95FFE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*1</w:t>
      </w:r>
      <w:r w:rsidRPr="00195FF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95FFE">
        <w:rPr>
          <w:rFonts w:ascii="Times New Roman" w:eastAsia="Times New Roman" w:hAnsi="Times New Roman" w:cs="Times New Roman"/>
          <w:color w:val="000000"/>
          <w:sz w:val="20"/>
          <w:szCs w:val="20"/>
        </w:rPr>
        <w:t>WeightedRandomSampler</w:t>
      </w:r>
      <w:proofErr w:type="spellEnd"/>
      <w:r w:rsidRPr="00195FF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[1</w:t>
      </w:r>
      <w:r w:rsidR="00554084">
        <w:rPr>
          <w:rFonts w:ascii="Times New Roman" w:eastAsia="Times New Roman" w:hAnsi="Times New Roman" w:cs="Times New Roman"/>
          <w:color w:val="000000"/>
          <w:sz w:val="20"/>
          <w:szCs w:val="20"/>
        </w:rPr>
        <w:t>9</w:t>
      </w:r>
      <w:r w:rsidRPr="00195FFE">
        <w:rPr>
          <w:rFonts w:ascii="Times New Roman" w:eastAsia="Times New Roman" w:hAnsi="Times New Roman" w:cs="Times New Roman"/>
          <w:color w:val="000000"/>
          <w:sz w:val="20"/>
          <w:szCs w:val="20"/>
        </w:rPr>
        <w:t>] was used to approximately balance the two classes to a 1:1 ratio in each training epoch</w:t>
      </w:r>
    </w:p>
    <w:p w14:paraId="42322F8A" w14:textId="4C67CB42" w:rsidR="00DC5817" w:rsidRPr="00195FFE" w:rsidRDefault="00000000">
      <w:pPr>
        <w:pStyle w:val="Web"/>
        <w:spacing w:before="0" w:beforeAutospacing="0" w:after="0" w:afterAutospacing="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195FFE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 xml:space="preserve">*2 </w:t>
      </w:r>
      <w:r w:rsidRPr="00195FF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Focal </w:t>
      </w:r>
      <w:r w:rsidR="00F93C59" w:rsidRPr="00195FFE">
        <w:rPr>
          <w:rFonts w:ascii="Times New Roman" w:eastAsia="Times New Roman" w:hAnsi="Times New Roman" w:cs="Times New Roman"/>
          <w:color w:val="000000"/>
          <w:sz w:val="20"/>
          <w:szCs w:val="20"/>
        </w:rPr>
        <w:t>l</w:t>
      </w:r>
      <w:r w:rsidRPr="00195FF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oss was used as shown in Eq. (5). The parameter </w:t>
      </w:r>
      <m:oMath>
        <m:r>
          <w:rPr>
            <w:rFonts w:ascii="Cambria Math" w:eastAsia="DengXian" w:hAnsi="Cambria Math" w:cs="Times New Roman"/>
            <w:color w:val="000000" w:themeColor="text1"/>
            <w:sz w:val="20"/>
            <w:szCs w:val="20"/>
          </w:rPr>
          <m:t>γ</m:t>
        </m:r>
      </m:oMath>
      <w:r w:rsidRPr="00195FF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is the focusing parameter, which encourages the model to focus more on hard samples</w:t>
      </w:r>
    </w:p>
    <w:p w14:paraId="42322F8B" w14:textId="2AB8A891" w:rsidR="00DC5817" w:rsidRPr="00195FFE" w:rsidRDefault="00000000">
      <w:pPr>
        <w:pStyle w:val="Web"/>
        <w:spacing w:before="0" w:beforeAutospacing="0" w:after="0" w:afterAutospacing="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195FFE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 xml:space="preserve">*3 </w:t>
      </w:r>
      <w:r w:rsidRPr="00195FFE">
        <w:rPr>
          <w:rFonts w:ascii="Times New Roman" w:eastAsia="Times New Roman" w:hAnsi="Times New Roman" w:cs="Times New Roman"/>
          <w:color w:val="000000"/>
          <w:sz w:val="20"/>
          <w:szCs w:val="20"/>
        </w:rPr>
        <w:t>The linear warmup [</w:t>
      </w:r>
      <w:r w:rsidR="00B117A1">
        <w:rPr>
          <w:rFonts w:ascii="Times New Roman" w:eastAsia="Times New Roman" w:hAnsi="Times New Roman" w:cs="Times New Roman"/>
          <w:color w:val="000000"/>
          <w:sz w:val="20"/>
          <w:szCs w:val="20"/>
        </w:rPr>
        <w:t>4</w:t>
      </w:r>
      <w:r w:rsidR="006160C0"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  <w:r w:rsidRPr="00195FFE">
        <w:rPr>
          <w:rFonts w:ascii="Times New Roman" w:eastAsia="Times New Roman" w:hAnsi="Times New Roman" w:cs="Times New Roman"/>
          <w:color w:val="000000"/>
          <w:sz w:val="20"/>
          <w:szCs w:val="20"/>
        </w:rPr>
        <w:t>] strategy followed by cosine annealing [4</w:t>
      </w:r>
      <w:r w:rsidR="006160C0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  <w:r w:rsidRPr="00195FFE">
        <w:rPr>
          <w:rFonts w:ascii="Times New Roman" w:eastAsia="Times New Roman" w:hAnsi="Times New Roman" w:cs="Times New Roman"/>
          <w:color w:val="000000"/>
          <w:sz w:val="20"/>
          <w:szCs w:val="20"/>
        </w:rPr>
        <w:t>] was adopted to stabilize optimization in the early training stage and refine the model parameters for improving convergence and generalization</w:t>
      </w:r>
    </w:p>
    <w:p w14:paraId="42322F8C" w14:textId="77777777" w:rsidR="00DC5817" w:rsidRPr="00195FFE" w:rsidRDefault="00DC5817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</w:p>
    <w:p w14:paraId="1CFEB484" w14:textId="77777777" w:rsidR="00FC4AB7" w:rsidRPr="00195FFE" w:rsidRDefault="00FC4AB7" w:rsidP="00FC4AB7">
      <w:pPr>
        <w:snapToGrid w:val="0"/>
        <w:spacing w:line="48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95FFE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References</w:t>
      </w:r>
    </w:p>
    <w:p w14:paraId="725FF382" w14:textId="4F2526F7" w:rsidR="00FC4AB7" w:rsidRPr="00195FFE" w:rsidRDefault="00B117A1" w:rsidP="00FC4AB7">
      <w:pPr>
        <w:pStyle w:val="a9"/>
        <w:spacing w:line="480" w:lineRule="auto"/>
        <w:ind w:left="360" w:hanging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</w:t>
      </w:r>
      <w:r w:rsidR="006160C0">
        <w:rPr>
          <w:rFonts w:ascii="Times New Roman" w:eastAsia="Times New Roman" w:hAnsi="Times New Roman" w:cs="Times New Roman"/>
          <w:sz w:val="20"/>
          <w:szCs w:val="20"/>
        </w:rPr>
        <w:t>0</w:t>
      </w:r>
      <w:r w:rsidR="00FC4AB7" w:rsidRPr="00195FFE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FC4AB7" w:rsidRPr="00195FFE">
        <w:rPr>
          <w:rFonts w:ascii="Times New Roman" w:eastAsia="Times New Roman" w:hAnsi="Times New Roman" w:cs="Times New Roman"/>
          <w:color w:val="000000"/>
          <w:sz w:val="20"/>
          <w:szCs w:val="20"/>
        </w:rPr>
        <w:t>Kingma DP (2015) Ba J. Adam: a method for stochastic optimization. In: International Conference on Learning Representations</w:t>
      </w:r>
    </w:p>
    <w:p w14:paraId="660DADF9" w14:textId="5F54A7D2" w:rsidR="00FC4AB7" w:rsidRPr="00195FFE" w:rsidRDefault="00B117A1" w:rsidP="00FC4AB7">
      <w:pPr>
        <w:pStyle w:val="a9"/>
        <w:spacing w:line="480" w:lineRule="auto"/>
        <w:ind w:left="360" w:hanging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</w:t>
      </w:r>
      <w:r w:rsidR="006160C0">
        <w:rPr>
          <w:rFonts w:ascii="Times New Roman" w:eastAsia="Times New Roman" w:hAnsi="Times New Roman" w:cs="Times New Roman"/>
          <w:sz w:val="20"/>
          <w:szCs w:val="20"/>
        </w:rPr>
        <w:t>1</w:t>
      </w:r>
      <w:r w:rsidR="00FC4AB7" w:rsidRPr="00195FFE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FC4AB7" w:rsidRPr="00195FFE">
        <w:rPr>
          <w:rFonts w:ascii="Times New Roman" w:eastAsia="Times New Roman" w:hAnsi="Times New Roman" w:cs="Times New Roman"/>
          <w:color w:val="000000"/>
          <w:sz w:val="20"/>
          <w:szCs w:val="20"/>
        </w:rPr>
        <w:t>Loshchilov I, Hutter F (2019) Decoupled weight decay regularization. In: International Conference on Learning Representations</w:t>
      </w:r>
    </w:p>
    <w:p w14:paraId="35D80AF1" w14:textId="4DB7182D" w:rsidR="00FC4AB7" w:rsidRPr="00195FFE" w:rsidRDefault="00FC4AB7" w:rsidP="00FC4AB7">
      <w:pPr>
        <w:pStyle w:val="a9"/>
        <w:spacing w:line="480" w:lineRule="auto"/>
        <w:ind w:left="360" w:hanging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95FFE">
        <w:rPr>
          <w:rFonts w:ascii="Times New Roman" w:eastAsia="Times New Roman" w:hAnsi="Times New Roman" w:cs="Times New Roman"/>
          <w:sz w:val="20"/>
          <w:szCs w:val="20"/>
        </w:rPr>
        <w:t>4</w:t>
      </w:r>
      <w:r w:rsidR="006160C0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195FFE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195FF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Ma J, </w:t>
      </w:r>
      <w:proofErr w:type="spellStart"/>
      <w:r w:rsidRPr="00195FFE">
        <w:rPr>
          <w:rFonts w:ascii="Times New Roman" w:eastAsia="Times New Roman" w:hAnsi="Times New Roman" w:cs="Times New Roman"/>
          <w:color w:val="000000"/>
          <w:sz w:val="20"/>
          <w:szCs w:val="20"/>
        </w:rPr>
        <w:t>Yarats</w:t>
      </w:r>
      <w:proofErr w:type="spellEnd"/>
      <w:r w:rsidRPr="00195FF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 (2021) On the adequacy of untuned warmup for adaptive optimization. Proceedings of the AAAI Conf Artificial Intelligence 35(10):8828–8836. </w:t>
      </w:r>
      <w:hyperlink r:id="rId4" w:history="1">
        <w:r w:rsidRPr="00195FFE">
          <w:rPr>
            <w:rStyle w:val="a7"/>
            <w:rFonts w:ascii="Times New Roman" w:eastAsia="Times New Roman" w:hAnsi="Times New Roman" w:cs="Times New Roman"/>
            <w:sz w:val="20"/>
            <w:szCs w:val="20"/>
          </w:rPr>
          <w:t>https://doi.org/10.1609/aaai.v35i10.17069</w:t>
        </w:r>
      </w:hyperlink>
    </w:p>
    <w:p w14:paraId="3C287F17" w14:textId="04275DFA" w:rsidR="00FC4AB7" w:rsidRPr="00195FFE" w:rsidRDefault="00FC4AB7" w:rsidP="00FC4AB7">
      <w:pPr>
        <w:pStyle w:val="a9"/>
        <w:spacing w:line="480" w:lineRule="auto"/>
        <w:ind w:left="360" w:hanging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95FFE">
        <w:rPr>
          <w:rFonts w:ascii="Times New Roman" w:eastAsia="Times New Roman" w:hAnsi="Times New Roman" w:cs="Times New Roman"/>
          <w:sz w:val="20"/>
          <w:szCs w:val="20"/>
        </w:rPr>
        <w:t>4</w:t>
      </w:r>
      <w:r w:rsidR="006160C0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195FFE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195FFE">
        <w:rPr>
          <w:rFonts w:ascii="Times New Roman" w:eastAsia="Times New Roman" w:hAnsi="Times New Roman" w:cs="Times New Roman"/>
          <w:color w:val="000000"/>
          <w:sz w:val="20"/>
          <w:szCs w:val="20"/>
        </w:rPr>
        <w:t>Loshchilov I (2017) Hutter F. SGDR: stochastic gradient descent with warm restarts. In: International Conference on Learning Representations</w:t>
      </w:r>
    </w:p>
    <w:p w14:paraId="4E12E1A1" w14:textId="67D36292" w:rsidR="00FC4AB7" w:rsidRPr="00FC4AB7" w:rsidRDefault="00FC4AB7" w:rsidP="00FC4AB7">
      <w:pPr>
        <w:pStyle w:val="Web"/>
        <w:spacing w:before="0" w:beforeAutospacing="0" w:after="0" w:afterAutospacing="0" w:line="480" w:lineRule="auto"/>
        <w:jc w:val="both"/>
      </w:pPr>
    </w:p>
    <w:sectPr w:rsidR="00FC4AB7" w:rsidRPr="00FC4A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817"/>
    <w:rsid w:val="00026E6A"/>
    <w:rsid w:val="00047F7C"/>
    <w:rsid w:val="001135AD"/>
    <w:rsid w:val="00157EAC"/>
    <w:rsid w:val="00195FFE"/>
    <w:rsid w:val="001B6845"/>
    <w:rsid w:val="00554084"/>
    <w:rsid w:val="005841D7"/>
    <w:rsid w:val="00593E77"/>
    <w:rsid w:val="006160C0"/>
    <w:rsid w:val="00674153"/>
    <w:rsid w:val="008F5E53"/>
    <w:rsid w:val="00963C0D"/>
    <w:rsid w:val="0096450C"/>
    <w:rsid w:val="00986A9B"/>
    <w:rsid w:val="00AE5059"/>
    <w:rsid w:val="00B117A1"/>
    <w:rsid w:val="00BB20E7"/>
    <w:rsid w:val="00C2470B"/>
    <w:rsid w:val="00D04F5A"/>
    <w:rsid w:val="00DC5817"/>
    <w:rsid w:val="00E31712"/>
    <w:rsid w:val="00E36654"/>
    <w:rsid w:val="00E50A2D"/>
    <w:rsid w:val="00E97E7A"/>
    <w:rsid w:val="00F93C59"/>
    <w:rsid w:val="00FA75A1"/>
    <w:rsid w:val="00FB56E1"/>
    <w:rsid w:val="00FC4AB7"/>
    <w:rsid w:val="00FD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322F2E"/>
  <w15:docId w15:val="{A2D1461B-44A9-454D-8624-CE3565DD3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ＭＳ Ｐゴシック" w:eastAsia="ＭＳ Ｐゴシック" w:hAnsi="ＭＳ Ｐゴシック" w:cs="ＭＳ Ｐゴシック"/>
      <w:sz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80"/>
      <w:outlineLvl w:val="0"/>
    </w:pPr>
    <w:rPr>
      <w:rFonts w:ascii="DengXian Light" w:eastAsia="DengXian Light" w:hAnsi="DengXian Light" w:cs="DengXian Light"/>
      <w:color w:val="2F5496"/>
      <w:sz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DengXian Light" w:eastAsia="DengXian Light" w:hAnsi="DengXian Light" w:cs="DengXian Light"/>
      <w:color w:val="2F5496"/>
      <w:sz w:val="4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ascii="DengXian Light" w:eastAsia="DengXian Light" w:hAnsi="DengXian Light" w:cs="DengXian Light"/>
      <w:color w:val="2F5496"/>
      <w:sz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color w:val="2F5496"/>
      <w:sz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b/>
      <w:color w:val="2F5496"/>
    </w:rPr>
  </w:style>
  <w:style w:type="paragraph" w:styleId="7">
    <w:name w:val="heading 7"/>
    <w:basedOn w:val="a"/>
    <w:next w:val="a"/>
    <w:uiPriority w:val="9"/>
    <w:semiHidden/>
    <w:unhideWhenUsed/>
    <w:qFormat/>
    <w:pPr>
      <w:keepNext/>
      <w:keepLines/>
      <w:spacing w:before="40"/>
      <w:outlineLvl w:val="6"/>
    </w:pPr>
    <w:rPr>
      <w:b/>
      <w:color w:val="595959"/>
    </w:rPr>
  </w:style>
  <w:style w:type="paragraph" w:styleId="8">
    <w:name w:val="heading 8"/>
    <w:basedOn w:val="a"/>
    <w:next w:val="a"/>
    <w:uiPriority w:val="9"/>
    <w:semiHidden/>
    <w:unhideWhenUsed/>
    <w:qFormat/>
    <w:pPr>
      <w:keepNext/>
      <w:keepLines/>
      <w:outlineLvl w:val="7"/>
    </w:pPr>
    <w:rPr>
      <w:color w:val="595959"/>
    </w:rPr>
  </w:style>
  <w:style w:type="paragraph" w:styleId="9">
    <w:name w:val="heading 9"/>
    <w:basedOn w:val="a"/>
    <w:next w:val="a"/>
    <w:uiPriority w:val="9"/>
    <w:semiHidden/>
    <w:unhideWhenUsed/>
    <w:qFormat/>
    <w:pPr>
      <w:keepNext/>
      <w:keepLines/>
      <w:outlineLvl w:val="8"/>
    </w:pPr>
    <w:rPr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</w:style>
  <w:style w:type="paragraph" w:styleId="a3">
    <w:name w:val="Title"/>
    <w:basedOn w:val="a"/>
    <w:next w:val="a"/>
    <w:uiPriority w:val="10"/>
    <w:qFormat/>
    <w:pPr>
      <w:spacing w:after="80"/>
      <w:contextualSpacing/>
      <w:jc w:val="center"/>
    </w:pPr>
    <w:rPr>
      <w:rFonts w:ascii="DengXian Light" w:eastAsia="DengXian Light" w:hAnsi="DengXian Light" w:cs="DengXian Light"/>
      <w:sz w:val="56"/>
    </w:rPr>
  </w:style>
  <w:style w:type="paragraph" w:styleId="a4">
    <w:name w:val="Subtitle"/>
    <w:basedOn w:val="a"/>
    <w:next w:val="a"/>
    <w:uiPriority w:val="11"/>
    <w:qFormat/>
    <w:pPr>
      <w:jc w:val="center"/>
    </w:pPr>
    <w:rPr>
      <w:rFonts w:ascii="DengXian Light" w:eastAsia="DengXian Light" w:hAnsi="DengXian Light" w:cs="DengXian Light"/>
      <w:color w:val="595959"/>
      <w:sz w:val="28"/>
    </w:rPr>
  </w:style>
  <w:style w:type="paragraph" w:customStyle="1" w:styleId="Abstract">
    <w:name w:val="Abstract"/>
    <w:basedOn w:val="a"/>
    <w:uiPriority w:val="16"/>
    <w:semiHidden/>
    <w:unhideWhenUsed/>
    <w:pPr>
      <w:spacing w:after="160" w:line="360" w:lineRule="auto"/>
      <w:ind w:left="1440" w:right="1440"/>
      <w:jc w:val="both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a"/>
    <w:next w:val="a"/>
    <w:uiPriority w:val="16"/>
    <w:semiHidden/>
    <w:unhideWhenUsed/>
    <w:pPr>
      <w:keepNext/>
      <w:keepLines/>
      <w:numPr>
        <w:ilvl w:val="8"/>
      </w:numPr>
      <w:ind w:left="1440"/>
      <w:outlineLvl w:val="8"/>
    </w:pPr>
    <w:rPr>
      <w:sz w:val="22"/>
    </w:rPr>
  </w:style>
  <w:style w:type="paragraph" w:customStyle="1" w:styleId="Acknowledgements">
    <w:name w:val="Acknowledgements"/>
    <w:basedOn w:val="a"/>
    <w:uiPriority w:val="16"/>
    <w:semiHidden/>
    <w:unhideWhenUsed/>
    <w:pPr>
      <w:shd w:val="clear" w:color="auto" w:fill="F9EDFF"/>
      <w:spacing w:after="160" w:line="396" w:lineRule="auto"/>
      <w:jc w:val="both"/>
    </w:pPr>
    <w:rPr>
      <w:rFonts w:ascii="Calibri" w:eastAsia="Calibri" w:hAnsi="Calibri" w:cs="Calibri"/>
      <w:sz w:val="20"/>
    </w:rPr>
  </w:style>
  <w:style w:type="paragraph" w:customStyle="1" w:styleId="Affiliation">
    <w:name w:val="Affiliation"/>
    <w:basedOn w:val="a"/>
    <w:uiPriority w:val="16"/>
    <w:semiHidden/>
    <w:unhideWhenUsed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z w:val="20"/>
    </w:rPr>
  </w:style>
  <w:style w:type="paragraph" w:customStyle="1" w:styleId="Annotation">
    <w:name w:val="Annotation"/>
    <w:basedOn w:val="a"/>
    <w:uiPriority w:val="16"/>
    <w:semiHidden/>
    <w:unhideWhenUsed/>
    <w:pPr>
      <w:spacing w:after="160" w:line="360" w:lineRule="auto"/>
      <w:ind w:left="400"/>
    </w:pPr>
    <w:rPr>
      <w:rFonts w:ascii="Calibri" w:eastAsia="Calibri" w:hAnsi="Calibri" w:cs="Calibri"/>
      <w:sz w:val="22"/>
    </w:rPr>
  </w:style>
  <w:style w:type="paragraph" w:customStyle="1" w:styleId="Authors">
    <w:name w:val="Authors"/>
    <w:basedOn w:val="a"/>
    <w:uiPriority w:val="16"/>
    <w:semiHidden/>
    <w:unhideWhenUsed/>
    <w:pPr>
      <w:spacing w:before="360" w:after="120" w:line="283" w:lineRule="auto"/>
    </w:pPr>
    <w:rPr>
      <w:rFonts w:ascii="Calibri" w:eastAsia="Calibri" w:hAnsi="Calibri" w:cs="Calibri"/>
      <w:sz w:val="28"/>
    </w:rPr>
  </w:style>
  <w:style w:type="paragraph" w:customStyle="1" w:styleId="Biography">
    <w:name w:val="Biography"/>
    <w:basedOn w:val="a"/>
    <w:uiPriority w:val="16"/>
    <w:semiHidden/>
    <w:unhideWhenUsed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</w:rPr>
  </w:style>
  <w:style w:type="paragraph" w:styleId="a5">
    <w:name w:val="Block Text"/>
    <w:basedOn w:val="a"/>
    <w:uiPriority w:val="16"/>
    <w:semiHidden/>
    <w:unhideWhenUsed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styleId="a6">
    <w:name w:val="caption"/>
    <w:basedOn w:val="a"/>
    <w:uiPriority w:val="16"/>
    <w:semiHidden/>
    <w:unhideWhenUsed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  <w:sz w:val="22"/>
    </w:rPr>
  </w:style>
  <w:style w:type="paragraph" w:customStyle="1" w:styleId="ChapterNumber">
    <w:name w:val="Chapter Number"/>
    <w:basedOn w:val="a"/>
    <w:uiPriority w:val="16"/>
    <w:semiHidden/>
    <w:unhideWhenUsed/>
    <w:rPr>
      <w:rFonts w:ascii="Calibri" w:eastAsia="Calibri" w:hAnsi="Calibri" w:cs="Calibri"/>
    </w:rPr>
  </w:style>
  <w:style w:type="paragraph" w:customStyle="1" w:styleId="Copyright">
    <w:name w:val="Copyright"/>
    <w:basedOn w:val="a"/>
    <w:uiPriority w:val="16"/>
    <w:semiHidden/>
    <w:unhideWhenUsed/>
    <w:pPr>
      <w:shd w:val="clear" w:color="auto" w:fill="E9F9FF"/>
    </w:pPr>
    <w:rPr>
      <w:rFonts w:ascii="Calibri" w:eastAsia="Calibri" w:hAnsi="Calibri" w:cs="Calibri"/>
      <w:sz w:val="18"/>
    </w:rPr>
  </w:style>
  <w:style w:type="paragraph" w:customStyle="1" w:styleId="Correspondence">
    <w:name w:val="Correspondence"/>
    <w:basedOn w:val="a"/>
    <w:uiPriority w:val="16"/>
    <w:semiHidden/>
    <w:unhideWhenUsed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</w:rPr>
  </w:style>
  <w:style w:type="paragraph" w:customStyle="1" w:styleId="Formula">
    <w:name w:val="Formula"/>
    <w:basedOn w:val="a"/>
    <w:uiPriority w:val="16"/>
    <w:semiHidden/>
    <w:unhideWhenUsed/>
    <w:pPr>
      <w:shd w:val="clear" w:color="auto" w:fill="FFF5ED"/>
      <w:spacing w:before="120" w:after="120" w:line="360" w:lineRule="auto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uiPriority w:val="16"/>
    <w:semiHidden/>
    <w:unhideWhenUsed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</w:rPr>
  </w:style>
  <w:style w:type="paragraph" w:customStyle="1" w:styleId="Keywords">
    <w:name w:val="Keywords"/>
    <w:basedOn w:val="a"/>
    <w:uiPriority w:val="16"/>
    <w:semiHidden/>
    <w:unhideWhenUsed/>
    <w:pPr>
      <w:spacing w:line="396" w:lineRule="auto"/>
      <w:ind w:left="1000"/>
    </w:pPr>
    <w:rPr>
      <w:rFonts w:ascii="Calibri" w:eastAsia="Calibri" w:hAnsi="Calibri" w:cs="Calibri"/>
      <w:sz w:val="20"/>
    </w:rPr>
  </w:style>
  <w:style w:type="paragraph" w:customStyle="1" w:styleId="Note">
    <w:name w:val="Note"/>
    <w:basedOn w:val="a"/>
    <w:uiPriority w:val="16"/>
    <w:semiHidden/>
    <w:unhideWhenUsed/>
    <w:pPr>
      <w:shd w:val="clear" w:color="auto" w:fill="EDF0FF"/>
      <w:spacing w:line="432" w:lineRule="auto"/>
    </w:pPr>
    <w:rPr>
      <w:rFonts w:ascii="Calibri" w:eastAsia="Calibri" w:hAnsi="Calibri" w:cs="Calibri"/>
      <w:sz w:val="20"/>
    </w:rPr>
  </w:style>
  <w:style w:type="paragraph" w:customStyle="1" w:styleId="Quotation">
    <w:name w:val="Quotation"/>
    <w:basedOn w:val="a"/>
    <w:uiPriority w:val="16"/>
    <w:semiHidden/>
    <w:unhideWhenUsed/>
    <w:pPr>
      <w:spacing w:after="160" w:line="360" w:lineRule="auto"/>
      <w:ind w:left="1200" w:right="1200"/>
      <w:jc w:val="both"/>
    </w:pPr>
    <w:rPr>
      <w:rFonts w:ascii="Calibri" w:eastAsia="Calibri" w:hAnsi="Calibri" w:cs="Calibri"/>
      <w:sz w:val="22"/>
    </w:rPr>
  </w:style>
  <w:style w:type="paragraph" w:customStyle="1" w:styleId="QuotationSource">
    <w:name w:val="Quotation Source"/>
    <w:basedOn w:val="a"/>
    <w:uiPriority w:val="16"/>
    <w:semiHidden/>
    <w:unhideWhenUsed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uiPriority w:val="16"/>
    <w:semiHidden/>
    <w:unhideWhenUsed/>
    <w:pPr>
      <w:spacing w:after="320"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paragraph" w:customStyle="1" w:styleId="Statement">
    <w:name w:val="Statement"/>
    <w:basedOn w:val="a"/>
    <w:uiPriority w:val="16"/>
    <w:semiHidden/>
    <w:unhideWhenUsed/>
    <w:pPr>
      <w:ind w:left="900"/>
    </w:pPr>
    <w:rPr>
      <w:rFonts w:ascii="Calibri" w:eastAsia="Calibri" w:hAnsi="Calibri" w:cs="Calibri"/>
      <w:sz w:val="22"/>
    </w:rPr>
  </w:style>
  <w:style w:type="paragraph" w:customStyle="1" w:styleId="Surtitle">
    <w:name w:val="Surtitle"/>
    <w:basedOn w:val="a"/>
    <w:uiPriority w:val="16"/>
    <w:semiHidden/>
    <w:unhideWhenUsed/>
    <w:pPr>
      <w:spacing w:after="160" w:line="208" w:lineRule="auto"/>
    </w:pPr>
    <w:rPr>
      <w:rFonts w:ascii="Calibri" w:eastAsia="Calibri" w:hAnsi="Calibri" w:cs="Calibri"/>
      <w:sz w:val="38"/>
    </w:rPr>
  </w:style>
  <w:style w:type="paragraph" w:customStyle="1" w:styleId="TableBody">
    <w:name w:val="Table Body"/>
    <w:basedOn w:val="a"/>
    <w:uiPriority w:val="16"/>
    <w:semiHidden/>
    <w:unhideWhenUsed/>
    <w:pPr>
      <w:spacing w:after="160" w:line="396" w:lineRule="auto"/>
    </w:pPr>
    <w:rPr>
      <w:rFonts w:ascii="Calibri" w:eastAsia="Calibri" w:hAnsi="Calibri" w:cs="Calibri"/>
      <w:sz w:val="20"/>
    </w:rPr>
  </w:style>
  <w:style w:type="paragraph" w:customStyle="1" w:styleId="TableHead">
    <w:name w:val="Table Head"/>
    <w:basedOn w:val="a"/>
    <w:uiPriority w:val="16"/>
    <w:semiHidden/>
    <w:unhideWhenUsed/>
    <w:pPr>
      <w:shd w:val="clear" w:color="auto" w:fill="FFEDFA"/>
    </w:pPr>
    <w:rPr>
      <w:rFonts w:ascii="Calibri" w:eastAsia="Calibri" w:hAnsi="Calibri" w:cs="Calibri"/>
      <w:sz w:val="20"/>
    </w:rPr>
  </w:style>
  <w:style w:type="paragraph" w:customStyle="1" w:styleId="TableList">
    <w:name w:val="Table List"/>
    <w:basedOn w:val="a"/>
    <w:uiPriority w:val="16"/>
    <w:semiHidden/>
    <w:unhideWhenUsed/>
    <w:pPr>
      <w:ind w:left="300" w:hanging="300"/>
    </w:pPr>
    <w:rPr>
      <w:sz w:val="20"/>
    </w:rPr>
  </w:style>
  <w:style w:type="paragraph" w:customStyle="1" w:styleId="TableNote">
    <w:name w:val="Table Note"/>
    <w:basedOn w:val="a"/>
    <w:uiPriority w:val="16"/>
    <w:semiHidden/>
    <w:unhideWhenUsed/>
    <w:rPr>
      <w:rFonts w:ascii="Calibri" w:eastAsia="Calibri" w:hAnsi="Calibri" w:cs="Calibri"/>
      <w:sz w:val="18"/>
    </w:rPr>
  </w:style>
  <w:style w:type="character" w:customStyle="1" w:styleId="ArticleTitle">
    <w:name w:val="Article Title"/>
    <w:basedOn w:val="a0"/>
    <w:uiPriority w:val="17"/>
    <w:semiHidden/>
    <w:unhideWhenUsed/>
    <w:rPr>
      <w:shd w:val="clear" w:color="auto" w:fill="E9F9FF"/>
    </w:rPr>
  </w:style>
  <w:style w:type="character" w:customStyle="1" w:styleId="City">
    <w:name w:val="City"/>
    <w:basedOn w:val="a0"/>
    <w:uiPriority w:val="17"/>
    <w:semiHidden/>
    <w:unhideWhenUsed/>
    <w:rPr>
      <w:shd w:val="clear" w:color="auto" w:fill="D7D7D7"/>
    </w:rPr>
  </w:style>
  <w:style w:type="character" w:customStyle="1" w:styleId="Conference">
    <w:name w:val="Conference"/>
    <w:basedOn w:val="a0"/>
    <w:uiPriority w:val="17"/>
    <w:semiHidden/>
    <w:unhideWhenUsed/>
    <w:rPr>
      <w:shd w:val="clear" w:color="auto" w:fill="FFAFBC"/>
    </w:rPr>
  </w:style>
  <w:style w:type="character" w:customStyle="1" w:styleId="Country">
    <w:name w:val="Country"/>
    <w:basedOn w:val="a0"/>
    <w:uiPriority w:val="17"/>
    <w:semiHidden/>
    <w:unhideWhenUsed/>
    <w:rPr>
      <w:shd w:val="clear" w:color="auto" w:fill="97C5D1"/>
    </w:rPr>
  </w:style>
  <w:style w:type="character" w:customStyle="1" w:styleId="Cross-reference">
    <w:name w:val="Cross-reference"/>
    <w:basedOn w:val="a0"/>
    <w:uiPriority w:val="17"/>
    <w:semiHidden/>
    <w:unhideWhenUsed/>
    <w:rPr>
      <w:shd w:val="clear" w:color="auto" w:fill="FFE3C9"/>
    </w:rPr>
  </w:style>
  <w:style w:type="character" w:customStyle="1" w:styleId="DatabaseLink">
    <w:name w:val="Database Link"/>
    <w:basedOn w:val="a0"/>
    <w:uiPriority w:val="17"/>
    <w:semiHidden/>
    <w:unhideWhenUsed/>
    <w:rPr>
      <w:shd w:val="clear" w:color="auto" w:fill="AFBEFF"/>
    </w:rPr>
  </w:style>
  <w:style w:type="character" w:customStyle="1" w:styleId="Edition">
    <w:name w:val="Edition"/>
    <w:basedOn w:val="a0"/>
    <w:uiPriority w:val="17"/>
    <w:semiHidden/>
    <w:unhideWhenUsed/>
    <w:rPr>
      <w:shd w:val="clear" w:color="auto" w:fill="FFF6A4"/>
    </w:rPr>
  </w:style>
  <w:style w:type="character" w:customStyle="1" w:styleId="FamilyName">
    <w:name w:val="Family Name"/>
    <w:basedOn w:val="a0"/>
    <w:uiPriority w:val="17"/>
    <w:semiHidden/>
    <w:unhideWhenUsed/>
    <w:rPr>
      <w:shd w:val="clear" w:color="auto" w:fill="88F4BE"/>
    </w:rPr>
  </w:style>
  <w:style w:type="character" w:customStyle="1" w:styleId="GeneSequence">
    <w:name w:val="Gene Sequence"/>
    <w:basedOn w:val="a0"/>
    <w:uiPriority w:val="17"/>
    <w:semiHidden/>
    <w:unhideWhenUsed/>
    <w:rPr>
      <w:shd w:val="clear" w:color="auto" w:fill="FFCDF2"/>
    </w:rPr>
  </w:style>
  <w:style w:type="character" w:customStyle="1" w:styleId="GivenName">
    <w:name w:val="Given Name"/>
    <w:basedOn w:val="a0"/>
    <w:uiPriority w:val="17"/>
    <w:semiHidden/>
    <w:unhideWhenUsed/>
    <w:rPr>
      <w:shd w:val="clear" w:color="auto" w:fill="D0FCE2"/>
    </w:rPr>
  </w:style>
  <w:style w:type="character" w:customStyle="1" w:styleId="GlossaryTerm">
    <w:name w:val="Glossary Term"/>
    <w:basedOn w:val="a0"/>
    <w:uiPriority w:val="17"/>
    <w:semiHidden/>
    <w:unhideWhenUsed/>
    <w:rPr>
      <w:shd w:val="clear" w:color="auto" w:fill="FFCFD7"/>
    </w:rPr>
  </w:style>
  <w:style w:type="character" w:customStyle="1" w:styleId="GrantID">
    <w:name w:val="Grant ID"/>
    <w:basedOn w:val="a0"/>
    <w:uiPriority w:val="17"/>
    <w:semiHidden/>
    <w:unhideWhenUsed/>
    <w:rPr>
      <w:shd w:val="clear" w:color="auto" w:fill="DDA5FF"/>
    </w:rPr>
  </w:style>
  <w:style w:type="character" w:customStyle="1" w:styleId="Heading">
    <w:name w:val="Heading:"/>
    <w:basedOn w:val="a0"/>
    <w:uiPriority w:val="17"/>
    <w:semiHidden/>
    <w:unhideWhenUsed/>
    <w:rPr>
      <w:color w:val="5B89C1"/>
    </w:rPr>
  </w:style>
  <w:style w:type="character" w:styleId="a7">
    <w:name w:val="Hyperlink"/>
    <w:basedOn w:val="a0"/>
    <w:uiPriority w:val="17"/>
    <w:semiHidden/>
    <w:unhideWhenUsed/>
    <w:rPr>
      <w:color w:val="0563C1"/>
    </w:rPr>
  </w:style>
  <w:style w:type="character" w:customStyle="1" w:styleId="IssueNumber">
    <w:name w:val="Issue Number"/>
    <w:basedOn w:val="a0"/>
    <w:uiPriority w:val="17"/>
    <w:semiHidden/>
    <w:unhideWhenUsed/>
    <w:rPr>
      <w:shd w:val="clear" w:color="auto" w:fill="CDD5FF"/>
    </w:rPr>
  </w:style>
  <w:style w:type="character" w:customStyle="1" w:styleId="Label">
    <w:name w:val="Label"/>
    <w:basedOn w:val="a0"/>
    <w:uiPriority w:val="17"/>
    <w:semiHidden/>
    <w:unhideWhenUsed/>
    <w:rPr>
      <w:shd w:val="clear" w:color="auto" w:fill="FFC391"/>
      <w:vertAlign w:val="baseline"/>
    </w:rPr>
  </w:style>
  <w:style w:type="character" w:customStyle="1" w:styleId="Location">
    <w:name w:val="Location"/>
    <w:basedOn w:val="a0"/>
    <w:uiPriority w:val="17"/>
    <w:semiHidden/>
    <w:unhideWhenUsed/>
    <w:rPr>
      <w:shd w:val="clear" w:color="auto" w:fill="F9EDFF"/>
    </w:rPr>
  </w:style>
  <w:style w:type="character" w:customStyle="1" w:styleId="Miscellaneous">
    <w:name w:val="Miscellaneous"/>
    <w:basedOn w:val="a0"/>
    <w:uiPriority w:val="17"/>
    <w:semiHidden/>
    <w:unhideWhenUsed/>
    <w:rPr>
      <w:shd w:val="clear" w:color="auto" w:fill="F0F0F0"/>
    </w:rPr>
  </w:style>
  <w:style w:type="character" w:customStyle="1" w:styleId="NameScientific">
    <w:name w:val="Name Scientific"/>
    <w:basedOn w:val="a0"/>
    <w:uiPriority w:val="17"/>
    <w:semiHidden/>
    <w:unhideWhenUsed/>
    <w:rPr>
      <w:shd w:val="clear" w:color="auto" w:fill="91E0FF"/>
    </w:rPr>
  </w:style>
  <w:style w:type="character" w:customStyle="1" w:styleId="Organization">
    <w:name w:val="Organization"/>
    <w:basedOn w:val="a0"/>
    <w:uiPriority w:val="17"/>
    <w:semiHidden/>
    <w:unhideWhenUsed/>
    <w:rPr>
      <w:shd w:val="clear" w:color="auto" w:fill="D1FFB5"/>
    </w:rPr>
  </w:style>
  <w:style w:type="character" w:customStyle="1" w:styleId="PageNumbers">
    <w:name w:val="Page Numbers"/>
    <w:basedOn w:val="a0"/>
    <w:uiPriority w:val="17"/>
    <w:semiHidden/>
    <w:unhideWhenUsed/>
    <w:rPr>
      <w:shd w:val="clear" w:color="auto" w:fill="FFEDF0"/>
    </w:rPr>
  </w:style>
  <w:style w:type="character" w:customStyle="1" w:styleId="Postcode">
    <w:name w:val="Postcode"/>
    <w:basedOn w:val="a0"/>
    <w:uiPriority w:val="17"/>
    <w:semiHidden/>
    <w:unhideWhenUsed/>
    <w:rPr>
      <w:shd w:val="clear" w:color="auto" w:fill="BEBEBE"/>
    </w:rPr>
  </w:style>
  <w:style w:type="character" w:customStyle="1" w:styleId="Publisher">
    <w:name w:val="Publisher"/>
    <w:basedOn w:val="a0"/>
    <w:uiPriority w:val="17"/>
    <w:semiHidden/>
    <w:unhideWhenUsed/>
    <w:rPr>
      <w:shd w:val="clear" w:color="auto" w:fill="F2DDFF"/>
    </w:rPr>
  </w:style>
  <w:style w:type="character" w:customStyle="1" w:styleId="Region">
    <w:name w:val="Region"/>
    <w:basedOn w:val="a0"/>
    <w:uiPriority w:val="17"/>
    <w:semiHidden/>
    <w:unhideWhenUsed/>
    <w:rPr>
      <w:shd w:val="clear" w:color="auto" w:fill="D8E9EE"/>
    </w:rPr>
  </w:style>
  <w:style w:type="character" w:customStyle="1" w:styleId="Source">
    <w:name w:val="Source"/>
    <w:basedOn w:val="a0"/>
    <w:uiPriority w:val="17"/>
    <w:semiHidden/>
    <w:unhideWhenUsed/>
    <w:rPr>
      <w:shd w:val="clear" w:color="auto" w:fill="C1EDFF"/>
    </w:rPr>
  </w:style>
  <w:style w:type="character" w:customStyle="1" w:styleId="VolumeNumber">
    <w:name w:val="Volume Number"/>
    <w:basedOn w:val="a0"/>
    <w:uiPriority w:val="17"/>
    <w:semiHidden/>
    <w:unhideWhenUsed/>
    <w:rPr>
      <w:shd w:val="clear" w:color="auto" w:fill="EDF0FF"/>
    </w:rPr>
  </w:style>
  <w:style w:type="character" w:customStyle="1" w:styleId="Year">
    <w:name w:val="Year"/>
    <w:basedOn w:val="a0"/>
    <w:uiPriority w:val="17"/>
    <w:semiHidden/>
    <w:unhideWhenUsed/>
    <w:rPr>
      <w:shd w:val="clear" w:color="auto" w:fill="FFF9C9"/>
    </w:rPr>
  </w:style>
  <w:style w:type="character" w:styleId="20">
    <w:name w:val="Intense Emphasis"/>
    <w:basedOn w:val="a0"/>
    <w:uiPriority w:val="21"/>
    <w:qFormat/>
    <w:rPr>
      <w:i/>
      <w:color w:val="2F5496"/>
    </w:rPr>
  </w:style>
  <w:style w:type="paragraph" w:styleId="a8">
    <w:name w:val="Quote"/>
    <w:basedOn w:val="a"/>
    <w:next w:val="a"/>
    <w:uiPriority w:val="29"/>
    <w:qFormat/>
    <w:pPr>
      <w:spacing w:before="160"/>
      <w:jc w:val="center"/>
    </w:pPr>
    <w:rPr>
      <w:i/>
      <w:color w:val="404040"/>
    </w:rPr>
  </w:style>
  <w:style w:type="paragraph" w:styleId="21">
    <w:name w:val="Intense Quote"/>
    <w:basedOn w:val="a"/>
    <w:next w:val="a"/>
    <w:uiPriority w:val="30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color w:val="2F5496"/>
    </w:rPr>
  </w:style>
  <w:style w:type="character" w:styleId="22">
    <w:name w:val="Intense Reference"/>
    <w:basedOn w:val="a0"/>
    <w:uiPriority w:val="32"/>
    <w:qFormat/>
    <w:rPr>
      <w:b/>
      <w:caps w:val="0"/>
      <w:smallCaps/>
      <w:color w:val="2F5496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10">
    <w:name w:val="toc 1"/>
    <w:basedOn w:val="a"/>
    <w:uiPriority w:val="39"/>
    <w:semiHidden/>
    <w:unhideWhenUsed/>
    <w:pPr>
      <w:spacing w:line="305" w:lineRule="auto"/>
    </w:pPr>
    <w:rPr>
      <w:rFonts w:ascii="Calibri" w:eastAsia="Calibri" w:hAnsi="Calibri" w:cs="Calibri"/>
      <w:sz w:val="26"/>
    </w:rPr>
  </w:style>
  <w:style w:type="paragraph" w:styleId="23">
    <w:name w:val="toc 2"/>
    <w:basedOn w:val="a"/>
    <w:uiPriority w:val="39"/>
    <w:semiHidden/>
    <w:unhideWhenUsed/>
    <w:pPr>
      <w:spacing w:line="330" w:lineRule="auto"/>
    </w:pPr>
    <w:rPr>
      <w:rFonts w:ascii="Calibri" w:eastAsia="Calibri" w:hAnsi="Calibri" w:cs="Calibri"/>
    </w:rPr>
  </w:style>
  <w:style w:type="paragraph" w:styleId="30">
    <w:name w:val="toc 3"/>
    <w:basedOn w:val="a"/>
    <w:uiPriority w:val="39"/>
    <w:semiHidden/>
    <w:unhideWhenUsed/>
    <w:pPr>
      <w:spacing w:line="360" w:lineRule="auto"/>
    </w:pPr>
    <w:rPr>
      <w:rFonts w:ascii="Calibri" w:eastAsia="Calibri" w:hAnsi="Calibri" w:cs="Calibri"/>
      <w:sz w:val="22"/>
    </w:rPr>
  </w:style>
  <w:style w:type="paragraph" w:styleId="40">
    <w:name w:val="toc 4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50">
    <w:name w:val="toc 5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60">
    <w:name w:val="toc 6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70">
    <w:name w:val="toc 7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80">
    <w:name w:val="toc 8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90">
    <w:name w:val="toc 9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"/>
    <w:basedOn w:val="a1"/>
    <w:uiPriority w:val="59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Pr>
      <w:sz w:val="16"/>
    </w:rPr>
  </w:style>
  <w:style w:type="paragraph" w:styleId="ac">
    <w:name w:val="annotation text"/>
    <w:basedOn w:val="a"/>
    <w:link w:val="ad"/>
    <w:uiPriority w:val="99"/>
    <w:semiHidden/>
    <w:unhideWhenUsed/>
    <w:rPr>
      <w:rFonts w:ascii="Calibri" w:eastAsia="Calibri" w:hAnsi="Calibri" w:cs="Calibri"/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af">
    <w:name w:val="endnote text"/>
    <w:basedOn w:val="a"/>
    <w:uiPriority w:val="99"/>
    <w:semiHidden/>
    <w:unhideWhenUsed/>
    <w:rPr>
      <w:rFonts w:ascii="Calibri" w:eastAsia="Calibri" w:hAnsi="Calibri" w:cs="Calibri"/>
    </w:rPr>
  </w:style>
  <w:style w:type="paragraph" w:styleId="af0">
    <w:name w:val="footer"/>
    <w:basedOn w:val="a"/>
    <w:uiPriority w:val="99"/>
    <w:unhideWhenUsed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f1">
    <w:name w:val="footnote reference"/>
    <w:basedOn w:val="a0"/>
    <w:uiPriority w:val="99"/>
    <w:semiHidden/>
    <w:unhideWhenUsed/>
    <w:rPr>
      <w:vertAlign w:val="superscript"/>
    </w:rPr>
  </w:style>
  <w:style w:type="paragraph" w:styleId="af2">
    <w:name w:val="footnote text"/>
    <w:basedOn w:val="a"/>
    <w:uiPriority w:val="99"/>
    <w:semiHidden/>
    <w:unhideWhenUsed/>
    <w:rPr>
      <w:rFonts w:ascii="Calibri" w:eastAsia="Calibri" w:hAnsi="Calibri" w:cs="Calibri"/>
    </w:rPr>
  </w:style>
  <w:style w:type="paragraph" w:styleId="af3">
    <w:name w:val="header"/>
    <w:basedOn w:val="a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f4">
    <w:name w:val="List"/>
    <w:basedOn w:val="a"/>
    <w:uiPriority w:val="99"/>
    <w:semiHidden/>
    <w:unhideWhenUsed/>
    <w:pPr>
      <w:spacing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paragraph" w:customStyle="1" w:styleId="List1">
    <w:name w:val="List 1"/>
    <w:basedOn w:val="a"/>
    <w:uiPriority w:val="99"/>
    <w:semiHidden/>
    <w:unhideWhenUsed/>
    <w:pPr>
      <w:ind w:left="1200" w:hanging="600"/>
      <w:jc w:val="both"/>
    </w:pPr>
    <w:rPr>
      <w:rFonts w:ascii="Times New Roman" w:eastAsia="Times New Roman" w:hAnsi="Times New Roman" w:cs="Times New Roman"/>
      <w:sz w:val="22"/>
    </w:rPr>
  </w:style>
  <w:style w:type="paragraph" w:styleId="24">
    <w:name w:val="List 2"/>
    <w:basedOn w:val="a"/>
    <w:uiPriority w:val="99"/>
    <w:semiHidden/>
    <w:unhideWhenUsed/>
    <w:pPr>
      <w:spacing w:line="360" w:lineRule="auto"/>
      <w:ind w:left="800" w:hanging="400"/>
      <w:jc w:val="both"/>
    </w:pPr>
    <w:rPr>
      <w:rFonts w:ascii="Calibri" w:eastAsia="Calibri" w:hAnsi="Calibri" w:cs="Calibri"/>
      <w:sz w:val="22"/>
    </w:rPr>
  </w:style>
  <w:style w:type="paragraph" w:styleId="31">
    <w:name w:val="List 3"/>
    <w:basedOn w:val="a"/>
    <w:uiPriority w:val="99"/>
    <w:semiHidden/>
    <w:unhideWhenUsed/>
    <w:pPr>
      <w:spacing w:line="360" w:lineRule="auto"/>
      <w:ind w:left="1200" w:hanging="400"/>
      <w:jc w:val="both"/>
    </w:pPr>
    <w:rPr>
      <w:rFonts w:ascii="Calibri" w:eastAsia="Calibri" w:hAnsi="Calibri" w:cs="Calibri"/>
      <w:sz w:val="22"/>
    </w:rPr>
  </w:style>
  <w:style w:type="paragraph" w:styleId="41">
    <w:name w:val="List 4"/>
    <w:basedOn w:val="a"/>
    <w:uiPriority w:val="99"/>
    <w:semiHidden/>
    <w:unhideWhenUsed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styleId="51">
    <w:name w:val="List 5"/>
    <w:basedOn w:val="a"/>
    <w:uiPriority w:val="99"/>
    <w:semiHidden/>
    <w:unhideWhenUsed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List6">
    <w:name w:val="List 6"/>
    <w:basedOn w:val="a"/>
    <w:uiPriority w:val="99"/>
    <w:semiHidden/>
    <w:unhideWhenUsed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paragraph" w:customStyle="1" w:styleId="List7">
    <w:name w:val="List 7"/>
    <w:basedOn w:val="a"/>
    <w:uiPriority w:val="99"/>
    <w:semiHidden/>
    <w:unhideWhenUsed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customStyle="1" w:styleId="List8">
    <w:name w:val="List 8"/>
    <w:basedOn w:val="a"/>
    <w:uiPriority w:val="99"/>
    <w:semiHidden/>
    <w:unhideWhenUsed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customStyle="1" w:styleId="List9">
    <w:name w:val="List 9"/>
    <w:basedOn w:val="a"/>
    <w:uiPriority w:val="99"/>
    <w:semiHidden/>
    <w:unhideWhenUsed/>
    <w:pPr>
      <w:ind w:left="1200" w:hanging="600"/>
      <w:jc w:val="both"/>
    </w:pPr>
    <w:rPr>
      <w:rFonts w:ascii="Times New Roman" w:eastAsia="Times New Roman" w:hAnsi="Times New Roman" w:cs="Times New Roman"/>
      <w:sz w:val="22"/>
    </w:rPr>
  </w:style>
  <w:style w:type="paragraph" w:styleId="Web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5">
    <w:name w:val="Balloon Text"/>
    <w:basedOn w:val="a"/>
    <w:link w:val="af6"/>
    <w:uiPriority w:val="99"/>
    <w:semiHidden/>
    <w:unhideWhenUsed/>
    <w:rsid w:val="00BB20E7"/>
    <w:rPr>
      <w:rFonts w:ascii="Tahoma" w:hAnsi="Tahoma" w:cs="Tahoma"/>
      <w:sz w:val="16"/>
      <w:szCs w:val="16"/>
    </w:rPr>
  </w:style>
  <w:style w:type="character" w:customStyle="1" w:styleId="af6">
    <w:name w:val="吹き出し (文字)"/>
    <w:basedOn w:val="a0"/>
    <w:link w:val="af5"/>
    <w:uiPriority w:val="99"/>
    <w:semiHidden/>
    <w:rsid w:val="00BB20E7"/>
    <w:rPr>
      <w:rFonts w:ascii="Tahoma" w:eastAsia="ＭＳ Ｐゴシック" w:hAnsi="Tahoma" w:cs="Tahoma"/>
      <w:sz w:val="16"/>
      <w:szCs w:val="16"/>
    </w:rPr>
  </w:style>
  <w:style w:type="paragraph" w:styleId="af7">
    <w:name w:val="annotation subject"/>
    <w:basedOn w:val="ac"/>
    <w:next w:val="ac"/>
    <w:link w:val="af8"/>
    <w:uiPriority w:val="99"/>
    <w:semiHidden/>
    <w:unhideWhenUsed/>
    <w:rsid w:val="00BB20E7"/>
    <w:rPr>
      <w:rFonts w:ascii="ＭＳ Ｐゴシック" w:eastAsia="ＭＳ Ｐゴシック" w:hAnsi="ＭＳ Ｐゴシック" w:cs="ＭＳ Ｐゴシック"/>
      <w:b/>
      <w:bCs/>
      <w:szCs w:val="20"/>
    </w:rPr>
  </w:style>
  <w:style w:type="character" w:customStyle="1" w:styleId="ad">
    <w:name w:val="コメント文字列 (文字)"/>
    <w:basedOn w:val="a0"/>
    <w:link w:val="ac"/>
    <w:uiPriority w:val="99"/>
    <w:semiHidden/>
    <w:rsid w:val="00BB20E7"/>
    <w:rPr>
      <w:rFonts w:ascii="Calibri" w:eastAsia="Calibri" w:hAnsi="Calibri" w:cs="Calibri"/>
      <w:sz w:val="20"/>
    </w:rPr>
  </w:style>
  <w:style w:type="character" w:customStyle="1" w:styleId="af8">
    <w:name w:val="コメント内容 (文字)"/>
    <w:basedOn w:val="ad"/>
    <w:link w:val="af7"/>
    <w:uiPriority w:val="99"/>
    <w:semiHidden/>
    <w:rsid w:val="00BB20E7"/>
    <w:rPr>
      <w:rFonts w:ascii="ＭＳ Ｐゴシック" w:eastAsia="ＭＳ Ｐゴシック" w:hAnsi="ＭＳ Ｐゴシック" w:cs="ＭＳ Ｐゴシック"/>
      <w:b/>
      <w:bCs/>
      <w:sz w:val="20"/>
      <w:szCs w:val="20"/>
    </w:rPr>
  </w:style>
  <w:style w:type="paragraph" w:styleId="af9">
    <w:name w:val="Revision"/>
    <w:hidden/>
    <w:uiPriority w:val="99"/>
    <w:semiHidden/>
    <w:rsid w:val="00AE5059"/>
    <w:pPr>
      <w:spacing w:after="0" w:line="240" w:lineRule="auto"/>
    </w:pPr>
    <w:rPr>
      <w:rFonts w:ascii="ＭＳ Ｐゴシック" w:eastAsia="ＭＳ Ｐゴシック" w:hAnsi="ＭＳ Ｐゴシック" w:cs="ＭＳ Ｐ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609/aaai.v35i10.17069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陽平 産本</cp:lastModifiedBy>
  <cp:revision>26</cp:revision>
  <dcterms:created xsi:type="dcterms:W3CDTF">2026-05-07T18:18:00Z</dcterms:created>
  <dcterms:modified xsi:type="dcterms:W3CDTF">2026-08-09T02:05:00Z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JournalID">
    <vt:lpwstr/>
  </property>
  <property fmtid="{D5CDD505-2E9C-101B-9397-08002B2CF9AE}" pid="6" name="Merops -Original extension">
    <vt:lpwstr>docx</vt:lpwstr>
  </property>
  <property fmtid="{D5CDD505-2E9C-101B-9397-08002B2CF9AE}" pid="7" name="Merops change count">
    <vt:lpwstr>4</vt:lpwstr>
  </property>
  <property fmtid="{D5CDD505-2E9C-101B-9397-08002B2CF9AE}" pid="8" name="Merops client version">
    <vt:lpwstr/>
  </property>
  <property fmtid="{D5CDD505-2E9C-101B-9397-08002B2CF9AE}" pid="9" name="Merops comment count">
    <vt:lpwstr>9</vt:lpwstr>
  </property>
  <property fmtid="{D5CDD505-2E9C-101B-9397-08002B2CF9AE}" pid="10" name="Merops DOI links count">
    <vt:lpwstr>0</vt:lpwstr>
  </property>
  <property fmtid="{D5CDD505-2E9C-101B-9397-08002B2CF9AE}" pid="11" name="Merops email addresses count">
    <vt:lpwstr>0</vt:lpwstr>
  </property>
  <property fmtid="{D5CDD505-2E9C-101B-9397-08002B2CF9AE}" pid="12" name="Merops figures count">
    <vt:lpwstr>0</vt:lpwstr>
  </property>
  <property fmtid="{D5CDD505-2E9C-101B-9397-08002B2CF9AE}" pid="13" name="Merops footnotes/endnotes count">
    <vt:lpwstr>0</vt:lpwstr>
  </property>
  <property fmtid="{D5CDD505-2E9C-101B-9397-08002B2CF9AE}" pid="14" name="Merops graphics count">
    <vt:lpwstr>0</vt:lpwstr>
  </property>
  <property fmtid="{D5CDD505-2E9C-101B-9397-08002B2CF9AE}" pid="15" name="Merops input file path">
    <vt:lpwstr>crm_a51f50e8-cfc4-4442-9492-296f53da69a4.docx</vt:lpwstr>
  </property>
  <property fmtid="{D5CDD505-2E9C-101B-9397-08002B2CF9AE}" pid="16" name="Merops intra-document links count">
    <vt:lpwstr>0</vt:lpwstr>
  </property>
  <property fmtid="{D5CDD505-2E9C-101B-9397-08002B2CF9AE}" pid="17" name="Merops item path">
    <vt:lpwstr>MG-Session/On-20260505/I:024d86ea-ab79-4ed4-a2af-3349d697ff6b</vt:lpwstr>
  </property>
  <property fmtid="{D5CDD505-2E9C-101B-9397-08002B2CF9AE}" pid="18" name="Merops processed date">
    <vt:lpwstr>2026/05/05 08:11:27 AM</vt:lpwstr>
  </property>
  <property fmtid="{D5CDD505-2E9C-101B-9397-08002B2CF9AE}" pid="19" name="Merops PubMed links count">
    <vt:lpwstr>0</vt:lpwstr>
  </property>
  <property fmtid="{D5CDD505-2E9C-101B-9397-08002B2CF9AE}" pid="20" name="Merops references count">
    <vt:lpwstr>0</vt:lpwstr>
  </property>
  <property fmtid="{D5CDD505-2E9C-101B-9397-08002B2CF9AE}" pid="21" name="Merops Scopus links count">
    <vt:lpwstr>0</vt:lpwstr>
  </property>
  <property fmtid="{D5CDD505-2E9C-101B-9397-08002B2CF9AE}" pid="22" name="Merops server path">
    <vt:lpwstr/>
  </property>
  <property fmtid="{D5CDD505-2E9C-101B-9397-08002B2CF9AE}" pid="23" name="Merops Standard Set">
    <vt:lpwstr>merops/preset-v1/springer-basic-brackets</vt:lpwstr>
  </property>
  <property fmtid="{D5CDD505-2E9C-101B-9397-08002B2CF9AE}" pid="24" name="Merops Standard Set modified">
    <vt:lpwstr/>
  </property>
  <property fmtid="{D5CDD505-2E9C-101B-9397-08002B2CF9AE}" pid="25" name="Merops tables count">
    <vt:lpwstr>3</vt:lpwstr>
  </property>
  <property fmtid="{D5CDD505-2E9C-101B-9397-08002B2CF9AE}" pid="26" name="Merops word count">
    <vt:lpwstr>438</vt:lpwstr>
  </property>
  <property fmtid="{D5CDD505-2E9C-101B-9397-08002B2CF9AE}" pid="27" name="Merops WorldCat links count">
    <vt:lpwstr>0</vt:lpwstr>
  </property>
  <property fmtid="{D5CDD505-2E9C-101B-9397-08002B2CF9AE}" pid="28" name="ppub">
    <vt:lpwstr/>
  </property>
  <property fmtid="{D5CDD505-2E9C-101B-9397-08002B2CF9AE}" pid="29" name="Publisher">
    <vt:lpwstr/>
  </property>
  <property fmtid="{D5CDD505-2E9C-101B-9397-08002B2CF9AE}" pid="30" name="Publisher-location">
    <vt:lpwstr/>
  </property>
  <property fmtid="{D5CDD505-2E9C-101B-9397-08002B2CF9AE}" pid="31" name="ReceivedDate">
    <vt:lpwstr/>
  </property>
  <property fmtid="{D5CDD505-2E9C-101B-9397-08002B2CF9AE}" pid="32" name="Reference citation style">
    <vt:lpwstr>numerical</vt:lpwstr>
  </property>
  <property fmtid="{D5CDD505-2E9C-101B-9397-08002B2CF9AE}" pid="33" name="Source">
    <vt:lpwstr/>
  </property>
  <property fmtid="{D5CDD505-2E9C-101B-9397-08002B2CF9AE}" pid="34" name="Source-abbreviated">
    <vt:lpwstr/>
  </property>
  <property fmtid="{D5CDD505-2E9C-101B-9397-08002B2CF9AE}" pid="35" name="Source-short">
    <vt:lpwstr/>
  </property>
  <property fmtid="{D5CDD505-2E9C-101B-9397-08002B2CF9AE}" pid="36" name="Subject">
    <vt:lpwstr/>
  </property>
</Properties>
</file>