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b w:val="1"/>
          <w:rtl w:val="0"/>
        </w:rPr>
        <w:t xml:space="preserve">Supplementary Table 1:</w:t>
      </w:r>
      <w:r w:rsidDel="00000000" w:rsidR="00000000" w:rsidRPr="00000000">
        <w:rPr>
          <w:rtl w:val="0"/>
        </w:rPr>
        <w:t xml:space="preserve"> </w:t>
      </w:r>
      <w:r w:rsidDel="00000000" w:rsidR="00000000" w:rsidRPr="00000000">
        <w:rPr>
          <w:i w:val="1"/>
          <w:rtl w:val="0"/>
        </w:rPr>
        <w:t xml:space="preserve">Lendenfeldia chondrodes</w:t>
      </w:r>
      <w:r w:rsidDel="00000000" w:rsidR="00000000" w:rsidRPr="00000000">
        <w:rPr>
          <w:rtl w:val="0"/>
        </w:rPr>
        <w:t xml:space="preserve"> core OTUs and their associated taxonomic affiliation according to the Silva 16S rRNA database.</w:t>
      </w:r>
    </w:p>
    <w:tbl>
      <w:tblPr>
        <w:tblStyle w:val="Table1"/>
        <w:tblW w:w="90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20"/>
        <w:gridCol w:w="7080"/>
        <w:tblGridChange w:id="0">
          <w:tblGrid>
            <w:gridCol w:w="1920"/>
            <w:gridCol w:w="7080"/>
          </w:tblGrid>
        </w:tblGridChange>
      </w:tblGrid>
      <w:t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OTU name</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Silva Classification</w:t>
            </w:r>
          </w:p>
        </w:tc>
      </w:tr>
      <w:tr>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4">
            <w:pPr>
              <w:rPr/>
            </w:pPr>
            <w:r w:rsidDel="00000000" w:rsidR="00000000" w:rsidRPr="00000000">
              <w:rPr>
                <w:rtl w:val="0"/>
              </w:rPr>
              <w:t xml:space="preserve">CBAS_OTU_1</w:t>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5">
            <w:pPr>
              <w:rPr/>
            </w:pPr>
            <w:r w:rsidDel="00000000" w:rsidR="00000000" w:rsidRPr="00000000">
              <w:rPr>
                <w:rtl w:val="0"/>
              </w:rPr>
              <w:t xml:space="preserve">Bacteria;Cyanobacteria;Oxyphotobacteria;Synechococcales;Cyanobiaceae;[Synechococcus] spongiarum group</w:t>
            </w:r>
          </w:p>
        </w:tc>
      </w:tr>
      <w:t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6">
            <w:pPr>
              <w:rPr/>
            </w:pPr>
            <w:r w:rsidDel="00000000" w:rsidR="00000000" w:rsidRPr="00000000">
              <w:rPr>
                <w:rtl w:val="0"/>
              </w:rPr>
              <w:t xml:space="preserve">CBAS_OTU_2</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7">
            <w:pPr>
              <w:rPr/>
            </w:pPr>
            <w:r w:rsidDel="00000000" w:rsidR="00000000" w:rsidRPr="00000000">
              <w:rPr>
                <w:rtl w:val="0"/>
              </w:rPr>
              <w:t xml:space="preserve">Bacteria;Bacteroidetes;Rhodothermia;Rhodothermales;Rhodothermaceae;uncultured</w:t>
            </w:r>
          </w:p>
        </w:tc>
      </w:tr>
      <w:t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8">
            <w:pPr>
              <w:rPr/>
            </w:pPr>
            <w:r w:rsidDel="00000000" w:rsidR="00000000" w:rsidRPr="00000000">
              <w:rPr>
                <w:rtl w:val="0"/>
              </w:rPr>
              <w:t xml:space="preserve">CBAS_OTU_3</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9">
            <w:pPr>
              <w:rPr/>
            </w:pPr>
            <w:r w:rsidDel="00000000" w:rsidR="00000000" w:rsidRPr="00000000">
              <w:rPr>
                <w:rtl w:val="0"/>
              </w:rPr>
              <w:t xml:space="preserve">Bacteria;Proteobacteria;Alphaproteobacteria;Rhodobacterales;Rhodobacteraceae;Ruegeria</w:t>
            </w:r>
          </w:p>
        </w:tc>
      </w:tr>
      <w:t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A">
            <w:pPr>
              <w:rPr/>
            </w:pPr>
            <w:r w:rsidDel="00000000" w:rsidR="00000000" w:rsidRPr="00000000">
              <w:rPr>
                <w:rtl w:val="0"/>
              </w:rPr>
              <w:t xml:space="preserve">CBAS_OTU_4</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B">
            <w:pPr>
              <w:rPr/>
            </w:pPr>
            <w:r w:rsidDel="00000000" w:rsidR="00000000" w:rsidRPr="00000000">
              <w:rPr>
                <w:rtl w:val="0"/>
              </w:rPr>
              <w:t xml:space="preserve">Bacteria;Proteobacteria;Gammaproteobacteria;Oceanospirillales;Pseudohongiellaceae;Pseudohongiella</w:t>
            </w:r>
          </w:p>
        </w:tc>
      </w:tr>
      <w:t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C">
            <w:pPr>
              <w:rPr/>
            </w:pPr>
            <w:r w:rsidDel="00000000" w:rsidR="00000000" w:rsidRPr="00000000">
              <w:rPr>
                <w:rtl w:val="0"/>
              </w:rPr>
              <w:t xml:space="preserve">CBAS_OTU_5</w:t>
              <w:tab/>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D">
            <w:pPr>
              <w:rPr/>
            </w:pPr>
            <w:r w:rsidDel="00000000" w:rsidR="00000000" w:rsidRPr="00000000">
              <w:rPr>
                <w:rtl w:val="0"/>
              </w:rPr>
              <w:t xml:space="preserve">Bacteria;Cyanobacteria;Oxyphotobacteria;Chloroplast</w:t>
            </w:r>
          </w:p>
        </w:tc>
      </w:tr>
      <w:t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E">
            <w:pPr>
              <w:rPr/>
            </w:pPr>
            <w:r w:rsidDel="00000000" w:rsidR="00000000" w:rsidRPr="00000000">
              <w:rPr>
                <w:rtl w:val="0"/>
              </w:rPr>
              <w:t xml:space="preserve">CBAS_OTU_6</w:t>
              <w:tab/>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F">
            <w:pPr>
              <w:rPr/>
            </w:pPr>
            <w:r w:rsidDel="00000000" w:rsidR="00000000" w:rsidRPr="00000000">
              <w:rPr>
                <w:rtl w:val="0"/>
              </w:rPr>
              <w:t xml:space="preserve">Bacteria;Actinobacteria;Acidimicrobiia;Microtrichales;Microtrichaceae;Sva0996 marine group</w:t>
            </w:r>
          </w:p>
        </w:tc>
      </w:tr>
      <w:t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0">
            <w:pPr>
              <w:rPr/>
            </w:pPr>
            <w:r w:rsidDel="00000000" w:rsidR="00000000" w:rsidRPr="00000000">
              <w:rPr>
                <w:rtl w:val="0"/>
              </w:rPr>
              <w:t xml:space="preserve">CBAS_OTU_8</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1">
            <w:pPr>
              <w:rPr/>
            </w:pPr>
            <w:r w:rsidDel="00000000" w:rsidR="00000000" w:rsidRPr="00000000">
              <w:rPr>
                <w:rtl w:val="0"/>
              </w:rPr>
              <w:t xml:space="preserve">Bacteria;Proteobacteria;Gammaproteobacteria;Pseudomonadales;Pseudomonadaceae;Pseudomonas</w:t>
            </w:r>
          </w:p>
        </w:tc>
      </w:tr>
      <w:t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2">
            <w:pPr>
              <w:rPr/>
            </w:pPr>
            <w:r w:rsidDel="00000000" w:rsidR="00000000" w:rsidRPr="00000000">
              <w:rPr>
                <w:rtl w:val="0"/>
              </w:rPr>
              <w:t xml:space="preserve">CBAS_OTU_11</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3">
            <w:pPr>
              <w:rPr/>
            </w:pPr>
            <w:r w:rsidDel="00000000" w:rsidR="00000000" w:rsidRPr="00000000">
              <w:rPr>
                <w:rtl w:val="0"/>
              </w:rPr>
              <w:t xml:space="preserve">Bacteria;Acidobacteria;Subgroup 9</w:t>
            </w:r>
          </w:p>
        </w:tc>
      </w:tr>
      <w:t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4">
            <w:pPr>
              <w:rPr/>
            </w:pPr>
            <w:r w:rsidDel="00000000" w:rsidR="00000000" w:rsidRPr="00000000">
              <w:rPr>
                <w:rtl w:val="0"/>
              </w:rPr>
              <w:t xml:space="preserve">CBAS_OTU_13</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5">
            <w:pPr>
              <w:rPr/>
            </w:pPr>
            <w:r w:rsidDel="00000000" w:rsidR="00000000" w:rsidRPr="00000000">
              <w:rPr>
                <w:rtl w:val="0"/>
              </w:rPr>
              <w:t xml:space="preserve">Bacteria;Planctomycetes;Planctomycetacia;Pirellulales;Pirellulaceae;Pir4 lineage</w:t>
            </w:r>
          </w:p>
        </w:tc>
      </w:tr>
      <w:t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6">
            <w:pPr>
              <w:rPr/>
            </w:pPr>
            <w:r w:rsidDel="00000000" w:rsidR="00000000" w:rsidRPr="00000000">
              <w:rPr>
                <w:rtl w:val="0"/>
              </w:rPr>
              <w:t xml:space="preserve">CBAS_OTU_18</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7">
            <w:pPr>
              <w:rPr/>
            </w:pPr>
            <w:r w:rsidDel="00000000" w:rsidR="00000000" w:rsidRPr="00000000">
              <w:rPr>
                <w:rtl w:val="0"/>
              </w:rPr>
              <w:t xml:space="preserve">Bacteria;Proteobacteria;Gammaproteobacteria;Steroidobacterales;Woeseiaceae;JTB255 marine benthic group</w:t>
            </w:r>
          </w:p>
        </w:tc>
      </w:tr>
      <w:t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8">
            <w:pPr>
              <w:rPr/>
            </w:pPr>
            <w:r w:rsidDel="00000000" w:rsidR="00000000" w:rsidRPr="00000000">
              <w:rPr>
                <w:rtl w:val="0"/>
              </w:rPr>
              <w:t xml:space="preserve">CBAS_OTU_21</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9">
            <w:pPr>
              <w:rPr/>
            </w:pPr>
            <w:r w:rsidDel="00000000" w:rsidR="00000000" w:rsidRPr="00000000">
              <w:rPr>
                <w:rtl w:val="0"/>
              </w:rPr>
              <w:t xml:space="preserve">Bacteria;Proteobacteria;Gammaproteobacteria;UBA10353 marine group</w:t>
            </w:r>
          </w:p>
        </w:tc>
      </w:tr>
      <w:t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A">
            <w:pPr>
              <w:rPr/>
            </w:pPr>
            <w:r w:rsidDel="00000000" w:rsidR="00000000" w:rsidRPr="00000000">
              <w:rPr>
                <w:rtl w:val="0"/>
              </w:rPr>
              <w:t xml:space="preserve">CBAS_OTU_47</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B">
            <w:pPr>
              <w:rPr/>
            </w:pPr>
            <w:r w:rsidDel="00000000" w:rsidR="00000000" w:rsidRPr="00000000">
              <w:rPr>
                <w:rtl w:val="0"/>
              </w:rPr>
              <w:t xml:space="preserve">Bacteria;Proteobacteria;Gammaproteobacteria;UBA10353 marine group</w:t>
            </w:r>
          </w:p>
        </w:tc>
      </w:tr>
      <w:t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C">
            <w:pPr>
              <w:rPr/>
            </w:pPr>
            <w:r w:rsidDel="00000000" w:rsidR="00000000" w:rsidRPr="00000000">
              <w:rPr>
                <w:rtl w:val="0"/>
              </w:rPr>
              <w:t xml:space="preserve">CBAS_OTU_48</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D">
            <w:pPr>
              <w:rPr/>
            </w:pPr>
            <w:r w:rsidDel="00000000" w:rsidR="00000000" w:rsidRPr="00000000">
              <w:rPr>
                <w:rtl w:val="0"/>
              </w:rPr>
              <w:t xml:space="preserve">Bacteria;Proteobacteria;Gammaproteobacteria;Betaproteobacteriales;Burkholderiaceae;Ralstonia</w:t>
            </w:r>
          </w:p>
        </w:tc>
      </w:tr>
      <w:t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E">
            <w:pPr>
              <w:rPr/>
            </w:pPr>
            <w:r w:rsidDel="00000000" w:rsidR="00000000" w:rsidRPr="00000000">
              <w:rPr>
                <w:rtl w:val="0"/>
              </w:rPr>
              <w:t xml:space="preserve">CBAS_OTU_50</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F">
            <w:pPr>
              <w:rPr/>
            </w:pPr>
            <w:r w:rsidDel="00000000" w:rsidR="00000000" w:rsidRPr="00000000">
              <w:rPr>
                <w:rtl w:val="0"/>
              </w:rPr>
              <w:t xml:space="preserve">Bacteria;Proteobacteria;Gammaproteobacteria;KI89A clade</w:t>
            </w:r>
          </w:p>
        </w:tc>
      </w:tr>
      <w:t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0">
            <w:pPr>
              <w:rPr/>
            </w:pPr>
            <w:r w:rsidDel="00000000" w:rsidR="00000000" w:rsidRPr="00000000">
              <w:rPr>
                <w:rtl w:val="0"/>
              </w:rPr>
              <w:t xml:space="preserve">CBAS_OTU_59</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1">
            <w:pPr>
              <w:rPr/>
            </w:pPr>
            <w:r w:rsidDel="00000000" w:rsidR="00000000" w:rsidRPr="00000000">
              <w:rPr>
                <w:rtl w:val="0"/>
              </w:rPr>
              <w:t xml:space="preserve">Bacteria;Proteobacteria;Alphaproteobacteria;Rhodovibrionales;Kiloniellaceae;uncultured</w:t>
            </w:r>
          </w:p>
        </w:tc>
      </w:tr>
      <w:t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2">
            <w:pPr>
              <w:rPr/>
            </w:pPr>
            <w:r w:rsidDel="00000000" w:rsidR="00000000" w:rsidRPr="00000000">
              <w:rPr>
                <w:rtl w:val="0"/>
              </w:rPr>
              <w:t xml:space="preserve">CBAS_OTU_89</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3">
            <w:pPr>
              <w:rPr/>
            </w:pPr>
            <w:r w:rsidDel="00000000" w:rsidR="00000000" w:rsidRPr="00000000">
              <w:rPr>
                <w:rtl w:val="0"/>
              </w:rPr>
              <w:t xml:space="preserve">Bacteria;Bacteroidetes;Bacteroidia;Cytophagales;Cyclobacteriaceae</w:t>
            </w:r>
          </w:p>
        </w:tc>
      </w:tr>
      <w:tr>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4">
            <w:pPr>
              <w:rPr/>
            </w:pPr>
            <w:r w:rsidDel="00000000" w:rsidR="00000000" w:rsidRPr="00000000">
              <w:rPr>
                <w:rtl w:val="0"/>
              </w:rPr>
              <w:t xml:space="preserve">CBAS_OTU_388</w:t>
            </w:r>
          </w:p>
        </w:tc>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5">
            <w:pPr>
              <w:rPr/>
            </w:pPr>
            <w:r w:rsidDel="00000000" w:rsidR="00000000" w:rsidRPr="00000000">
              <w:rPr>
                <w:rtl w:val="0"/>
              </w:rPr>
              <w:t xml:space="preserve">Bacteria;Proteobacteria;Alphaproteobacteria;Rhodobacterales;Rhodobacteraceae</w:t>
            </w:r>
          </w:p>
        </w:tc>
      </w:tr>
    </w:tbl>
    <w:p w:rsidR="00000000" w:rsidDel="00000000" w:rsidP="00000000" w:rsidRDefault="00000000" w:rsidRPr="00000000" w14:paraId="00000026">
      <w:pPr>
        <w:rPr/>
      </w:pPr>
      <w:r w:rsidDel="00000000" w:rsidR="00000000" w:rsidRPr="00000000">
        <w:rPr>
          <w:b w:val="1"/>
          <w:rtl w:val="0"/>
        </w:rPr>
        <w:t xml:space="preserve">Supplementary Table 2:</w:t>
      </w:r>
      <w:r w:rsidDel="00000000" w:rsidR="00000000" w:rsidRPr="00000000">
        <w:rPr>
          <w:rtl w:val="0"/>
        </w:rPr>
        <w:t xml:space="preserve"> Mean deviance, standar error deviance and mean Akaike Information Criterion for five Rank-Abundance models applied to Phylum-level data of the </w:t>
      </w:r>
      <w:r w:rsidDel="00000000" w:rsidR="00000000" w:rsidRPr="00000000">
        <w:rPr>
          <w:i w:val="1"/>
          <w:rtl w:val="0"/>
        </w:rPr>
        <w:t xml:space="preserve">Lendenfeldia chondrodes</w:t>
      </w:r>
      <w:r w:rsidDel="00000000" w:rsidR="00000000" w:rsidRPr="00000000">
        <w:rPr>
          <w:rtl w:val="0"/>
        </w:rPr>
        <w:t xml:space="preserve"> microbiome. The analysis of model deviance is presented below together with a post-hoc (Tukey) comparison of the different model fitted to the data.</w:t>
      </w:r>
    </w:p>
    <w:p w:rsidR="00000000" w:rsidDel="00000000" w:rsidP="00000000" w:rsidRDefault="00000000" w:rsidRPr="00000000" w14:paraId="00000027">
      <w:pPr>
        <w:rPr/>
      </w:pPr>
      <w:r w:rsidDel="00000000" w:rsidR="00000000" w:rsidRPr="00000000">
        <w:rPr>
          <w:rtl w:val="0"/>
        </w:rPr>
      </w:r>
    </w:p>
    <w:tbl>
      <w:tblPr>
        <w:tblStyle w:val="Table2"/>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4.8333333333333"/>
        <w:gridCol w:w="1504.8333333333333"/>
        <w:gridCol w:w="1504.8333333333333"/>
        <w:gridCol w:w="1504.8333333333333"/>
        <w:gridCol w:w="1504.8333333333333"/>
        <w:gridCol w:w="1504.8333333333333"/>
        <w:tblGridChange w:id="0">
          <w:tblGrid>
            <w:gridCol w:w="1504.8333333333333"/>
            <w:gridCol w:w="1504.8333333333333"/>
            <w:gridCol w:w="1504.8333333333333"/>
            <w:gridCol w:w="1504.8333333333333"/>
            <w:gridCol w:w="1504.8333333333333"/>
            <w:gridCol w:w="1504.8333333333333"/>
          </w:tblGrid>
        </w:tblGridChange>
      </w:tblGrid>
      <w:t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pPr>
            <w:r w:rsidDel="00000000" w:rsidR="00000000" w:rsidRPr="00000000">
              <w:rPr>
                <w:rtl w:val="0"/>
              </w:rPr>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jc w:val="center"/>
              <w:rPr/>
            </w:pPr>
            <w:r w:rsidDel="00000000" w:rsidR="00000000" w:rsidRPr="00000000">
              <w:rPr>
                <w:rtl w:val="0"/>
              </w:rPr>
              <w:t xml:space="preserve">Null</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jc w:val="center"/>
              <w:rPr/>
            </w:pPr>
            <w:r w:rsidDel="00000000" w:rsidR="00000000" w:rsidRPr="00000000">
              <w:rPr>
                <w:rtl w:val="0"/>
              </w:rPr>
              <w:t xml:space="preserve">Preemption</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jc w:val="center"/>
              <w:rPr/>
            </w:pPr>
            <w:r w:rsidDel="00000000" w:rsidR="00000000" w:rsidRPr="00000000">
              <w:rPr>
                <w:rtl w:val="0"/>
              </w:rPr>
              <w:t xml:space="preserve">Lognormal</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jc w:val="center"/>
              <w:rPr/>
            </w:pPr>
            <w:r w:rsidDel="00000000" w:rsidR="00000000" w:rsidRPr="00000000">
              <w:rPr>
                <w:rtl w:val="0"/>
              </w:rPr>
              <w:t xml:space="preserve">Zipf</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jc w:val="center"/>
              <w:rPr/>
            </w:pPr>
            <w:r w:rsidDel="00000000" w:rsidR="00000000" w:rsidRPr="00000000">
              <w:rPr>
                <w:rtl w:val="0"/>
              </w:rPr>
              <w:t xml:space="preserve">Mandelbrot</w:t>
            </w:r>
          </w:p>
        </w:tc>
      </w:tr>
      <w:tr>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pPr>
            <w:r w:rsidDel="00000000" w:rsidR="00000000" w:rsidRPr="00000000">
              <w:rPr>
                <w:rtl w:val="0"/>
              </w:rPr>
              <w:t xml:space="preserve">Meand deviance</w:t>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jc w:val="center"/>
              <w:rPr/>
            </w:pPr>
            <w:r w:rsidDel="00000000" w:rsidR="00000000" w:rsidRPr="00000000">
              <w:rPr>
                <w:rtl w:val="0"/>
              </w:rPr>
              <w:t xml:space="preserve">9114.416</w:t>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jc w:val="center"/>
              <w:rPr/>
            </w:pPr>
            <w:r w:rsidDel="00000000" w:rsidR="00000000" w:rsidRPr="00000000">
              <w:rPr>
                <w:rtl w:val="0"/>
              </w:rPr>
              <w:t xml:space="preserve">765.0778</w:t>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jc w:val="center"/>
              <w:rPr/>
            </w:pPr>
            <w:r w:rsidDel="00000000" w:rsidR="00000000" w:rsidRPr="00000000">
              <w:rPr>
                <w:rtl w:val="0"/>
              </w:rPr>
              <w:t xml:space="preserve">1818.8832</w:t>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jc w:val="center"/>
              <w:rPr/>
            </w:pPr>
            <w:r w:rsidDel="00000000" w:rsidR="00000000" w:rsidRPr="00000000">
              <w:rPr>
                <w:rtl w:val="0"/>
              </w:rPr>
              <w:t xml:space="preserve">2620.4862</w:t>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jc w:val="center"/>
              <w:rPr/>
            </w:pPr>
            <w:r w:rsidDel="00000000" w:rsidR="00000000" w:rsidRPr="00000000">
              <w:rPr>
                <w:rtl w:val="0"/>
              </w:rPr>
              <w:t xml:space="preserve">NA</w:t>
            </w:r>
          </w:p>
        </w:tc>
      </w:tr>
      <w:tr>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pPr>
            <w:r w:rsidDel="00000000" w:rsidR="00000000" w:rsidRPr="00000000">
              <w:rPr>
                <w:rtl w:val="0"/>
              </w:rPr>
              <w:t xml:space="preserve">SE deviance</w:t>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jc w:val="center"/>
              <w:rPr/>
            </w:pPr>
            <w:r w:rsidDel="00000000" w:rsidR="00000000" w:rsidRPr="00000000">
              <w:rPr>
                <w:rtl w:val="0"/>
              </w:rPr>
              <w:t xml:space="preserve">1106.230</w:t>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jc w:val="center"/>
              <w:rPr/>
            </w:pPr>
            <w:r w:rsidDel="00000000" w:rsidR="00000000" w:rsidRPr="00000000">
              <w:rPr>
                <w:rtl w:val="0"/>
              </w:rPr>
              <w:t xml:space="preserve">142.3804</w:t>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jc w:val="center"/>
              <w:rPr/>
            </w:pPr>
            <w:r w:rsidDel="00000000" w:rsidR="00000000" w:rsidRPr="00000000">
              <w:rPr>
                <w:rtl w:val="0"/>
              </w:rPr>
              <w:t xml:space="preserve">362.4572</w:t>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jc w:val="center"/>
              <w:rPr/>
            </w:pPr>
            <w:r w:rsidDel="00000000" w:rsidR="00000000" w:rsidRPr="00000000">
              <w:rPr>
                <w:rtl w:val="0"/>
              </w:rPr>
              <w:t xml:space="preserve">490.3839</w:t>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jc w:val="center"/>
              <w:rPr/>
            </w:pPr>
            <w:r w:rsidDel="00000000" w:rsidR="00000000" w:rsidRPr="00000000">
              <w:rPr>
                <w:rtl w:val="0"/>
              </w:rPr>
              <w:t xml:space="preserve">NA</w:t>
            </w:r>
          </w:p>
        </w:tc>
      </w:tr>
      <w:tr>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pPr>
            <w:r w:rsidDel="00000000" w:rsidR="00000000" w:rsidRPr="00000000">
              <w:rPr>
                <w:rtl w:val="0"/>
              </w:rPr>
              <w:t xml:space="preserve">Mean AIC</w:t>
            </w:r>
          </w:p>
        </w:tc>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jc w:val="center"/>
              <w:rPr/>
            </w:pPr>
            <w:r w:rsidDel="00000000" w:rsidR="00000000" w:rsidRPr="00000000">
              <w:rPr>
                <w:rtl w:val="0"/>
              </w:rPr>
              <w:t xml:space="preserve">9185.999</w:t>
            </w:r>
          </w:p>
        </w:tc>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jc w:val="center"/>
              <w:rPr/>
            </w:pPr>
            <w:r w:rsidDel="00000000" w:rsidR="00000000" w:rsidRPr="00000000">
              <w:rPr>
                <w:rtl w:val="0"/>
              </w:rPr>
              <w:t xml:space="preserve">838.6612</w:t>
            </w:r>
          </w:p>
        </w:tc>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jc w:val="center"/>
              <w:rPr/>
            </w:pPr>
            <w:r w:rsidDel="00000000" w:rsidR="00000000" w:rsidRPr="00000000">
              <w:rPr>
                <w:rtl w:val="0"/>
              </w:rPr>
              <w:t xml:space="preserve">1894.4666</w:t>
            </w:r>
          </w:p>
        </w:tc>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jc w:val="center"/>
              <w:rPr/>
            </w:pPr>
            <w:r w:rsidDel="00000000" w:rsidR="00000000" w:rsidRPr="00000000">
              <w:rPr>
                <w:rtl w:val="0"/>
              </w:rPr>
              <w:t xml:space="preserve">2696.0696</w:t>
            </w:r>
          </w:p>
        </w:tc>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jc w:val="center"/>
              <w:rPr/>
            </w:pPr>
            <w:r w:rsidDel="00000000" w:rsidR="00000000" w:rsidRPr="00000000">
              <w:rPr>
                <w:rtl w:val="0"/>
              </w:rPr>
              <w:t xml:space="preserve">NA</w:t>
            </w:r>
          </w:p>
        </w:tc>
      </w:tr>
    </w:tbl>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tbl>
      <w:tblPr>
        <w:tblStyle w:val="Table3"/>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4.8333333333333"/>
        <w:gridCol w:w="1504.8333333333333"/>
        <w:gridCol w:w="1504.8333333333333"/>
        <w:gridCol w:w="1504.8333333333333"/>
        <w:gridCol w:w="1504.8333333333333"/>
        <w:gridCol w:w="1504.8333333333333"/>
        <w:tblGridChange w:id="0">
          <w:tblGrid>
            <w:gridCol w:w="1504.8333333333333"/>
            <w:gridCol w:w="1504.8333333333333"/>
            <w:gridCol w:w="1504.8333333333333"/>
            <w:gridCol w:w="1504.8333333333333"/>
            <w:gridCol w:w="1504.8333333333333"/>
            <w:gridCol w:w="1504.8333333333333"/>
          </w:tblGrid>
        </w:tblGridChange>
      </w:tblGrid>
      <w:t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Df</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Sum Sq</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Mean Sq</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F value</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Pr(&gt;F)</w:t>
            </w:r>
          </w:p>
        </w:tc>
      </w:tr>
      <w:tr>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model</w:t>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4</w:t>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95.65</w:t>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23.912</w:t>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34.79</w:t>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&lt;2e-16</w:t>
            </w:r>
          </w:p>
        </w:tc>
      </w:tr>
      <w:tr>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Residuals</w:t>
            </w:r>
          </w:p>
        </w:tc>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94</w:t>
            </w:r>
          </w:p>
        </w:tc>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64.61</w:t>
            </w:r>
          </w:p>
        </w:tc>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0.687</w:t>
            </w:r>
          </w:p>
        </w:tc>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r>
    </w:tbl>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tbl>
      <w:tblPr>
        <w:tblStyle w:val="Table4"/>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4.8333333333333"/>
        <w:gridCol w:w="1504.8333333333333"/>
        <w:gridCol w:w="1504.8333333333333"/>
        <w:gridCol w:w="1504.8333333333333"/>
        <w:gridCol w:w="1504.8333333333333"/>
        <w:gridCol w:w="1504.8333333333333"/>
        <w:tblGridChange w:id="0">
          <w:tblGrid>
            <w:gridCol w:w="1504.8333333333333"/>
            <w:gridCol w:w="1504.8333333333333"/>
            <w:gridCol w:w="1504.8333333333333"/>
            <w:gridCol w:w="1504.8333333333333"/>
            <w:gridCol w:w="1504.8333333333333"/>
            <w:gridCol w:w="1504.8333333333333"/>
          </w:tblGrid>
        </w:tblGridChange>
      </w:tblGrid>
      <w:tr>
        <w:tc>
          <w:tcPr>
            <w:tcBorders>
              <w:top w:color="000000" w:space="0" w:sz="0" w:val="nil"/>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Preemption</w:t>
            </w:r>
          </w:p>
        </w:tc>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Lognormal</w:t>
            </w:r>
          </w:p>
        </w:tc>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Mandelbrot</w:t>
            </w:r>
          </w:p>
        </w:tc>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Zipf</w:t>
            </w:r>
          </w:p>
        </w:tc>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Null</w:t>
            </w:r>
          </w:p>
        </w:tc>
      </w:tr>
      <w:tr>
        <w:tc>
          <w:tcPr>
            <w:tcBorders>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rPr/>
            </w:pPr>
            <w:r w:rsidDel="00000000" w:rsidR="00000000" w:rsidRPr="00000000">
              <w:rPr>
                <w:rtl w:val="0"/>
              </w:rPr>
              <w:t xml:space="preserve">Preemption</w:t>
            </w:r>
          </w:p>
        </w:tc>
        <w:tc>
          <w:tcPr>
            <w:tcBorders>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0.79</w:t>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0.17</w:t>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1.22</w:t>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2.56</w:t>
            </w:r>
          </w:p>
        </w:tc>
      </w:tr>
      <w:t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Lognormal</w:t>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0.027</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0.96</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0.43</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1.77</w:t>
            </w:r>
          </w:p>
        </w:tc>
      </w:tr>
      <w:t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rPr>
                <w:b w:val="1"/>
              </w:rPr>
            </w:pPr>
            <w:r w:rsidDel="00000000" w:rsidR="00000000" w:rsidRPr="00000000">
              <w:rPr>
                <w:b w:val="1"/>
                <w:rtl w:val="0"/>
              </w:rPr>
              <w:t xml:space="preserve">Mandelbrot</w:t>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0.965</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0.004</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1.40</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2.74</w:t>
            </w:r>
          </w:p>
        </w:tc>
      </w:tr>
      <w:t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Zipf</w:t>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0.0001</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0.469</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&lt; 0.0001</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1.34</w:t>
            </w:r>
          </w:p>
        </w:tc>
      </w:tr>
      <w:t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Null</w:t>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 &lt; 0.0001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&lt; 0.0001</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&lt; 0.0001</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&lt; 0.0001</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r>
    </w:tbl>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br w:type="page"/>
      </w:r>
      <w:r w:rsidDel="00000000" w:rsidR="00000000" w:rsidRPr="00000000">
        <w:rPr>
          <w:rtl w:val="0"/>
        </w:rPr>
      </w:r>
    </w:p>
    <w:p w:rsidR="00000000" w:rsidDel="00000000" w:rsidP="00000000" w:rsidRDefault="00000000" w:rsidRPr="00000000" w14:paraId="0000007D">
      <w:pPr>
        <w:rPr/>
      </w:pPr>
      <w:r w:rsidDel="00000000" w:rsidR="00000000" w:rsidRPr="00000000">
        <w:rPr>
          <w:b w:val="1"/>
          <w:rtl w:val="0"/>
        </w:rPr>
        <w:t xml:space="preserve">Supplementary Table 3:</w:t>
      </w:r>
      <w:r w:rsidDel="00000000" w:rsidR="00000000" w:rsidRPr="00000000">
        <w:rPr>
          <w:rtl w:val="0"/>
        </w:rPr>
        <w:t xml:space="preserve"> Mean deviance, standard error deviance and mean Akaike Information Criterion for five Rank-Abundance models applied to OTU-level data of the </w:t>
      </w:r>
      <w:r w:rsidDel="00000000" w:rsidR="00000000" w:rsidRPr="00000000">
        <w:rPr>
          <w:i w:val="1"/>
          <w:rtl w:val="0"/>
        </w:rPr>
        <w:t xml:space="preserve">Lendenfeldia chondrodes</w:t>
      </w:r>
      <w:r w:rsidDel="00000000" w:rsidR="00000000" w:rsidRPr="00000000">
        <w:rPr>
          <w:rtl w:val="0"/>
        </w:rPr>
        <w:t xml:space="preserve"> microbiome. The analysis of model deviance is presented below together with a post-hoc (Tukey) comparison of the different models fitted to the data.</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tbl>
      <w:tblPr>
        <w:tblStyle w:val="Table5"/>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4.8333333333333"/>
        <w:gridCol w:w="1504.8333333333333"/>
        <w:gridCol w:w="1504.8333333333333"/>
        <w:gridCol w:w="1504.8333333333333"/>
        <w:gridCol w:w="1504.8333333333333"/>
        <w:gridCol w:w="1504.8333333333333"/>
        <w:tblGridChange w:id="0">
          <w:tblGrid>
            <w:gridCol w:w="1504.8333333333333"/>
            <w:gridCol w:w="1504.8333333333333"/>
            <w:gridCol w:w="1504.8333333333333"/>
            <w:gridCol w:w="1504.8333333333333"/>
            <w:gridCol w:w="1504.8333333333333"/>
            <w:gridCol w:w="1504.8333333333333"/>
          </w:tblGrid>
        </w:tblGridChange>
      </w:tblGrid>
      <w:t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rPr/>
            </w:pPr>
            <w:r w:rsidDel="00000000" w:rsidR="00000000" w:rsidRPr="00000000">
              <w:rPr>
                <w:rtl w:val="0"/>
              </w:rPr>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jc w:val="center"/>
              <w:rPr/>
            </w:pPr>
            <w:r w:rsidDel="00000000" w:rsidR="00000000" w:rsidRPr="00000000">
              <w:rPr>
                <w:rtl w:val="0"/>
              </w:rPr>
              <w:t xml:space="preserve">Null</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spacing w:line="240" w:lineRule="auto"/>
              <w:jc w:val="center"/>
              <w:rPr/>
            </w:pPr>
            <w:r w:rsidDel="00000000" w:rsidR="00000000" w:rsidRPr="00000000">
              <w:rPr>
                <w:rtl w:val="0"/>
              </w:rPr>
              <w:t xml:space="preserve">Preemption</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jc w:val="center"/>
              <w:rPr/>
            </w:pPr>
            <w:r w:rsidDel="00000000" w:rsidR="00000000" w:rsidRPr="00000000">
              <w:rPr>
                <w:rtl w:val="0"/>
              </w:rPr>
              <w:t xml:space="preserve">Lognormal</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spacing w:line="240" w:lineRule="auto"/>
              <w:jc w:val="center"/>
              <w:rPr/>
            </w:pPr>
            <w:r w:rsidDel="00000000" w:rsidR="00000000" w:rsidRPr="00000000">
              <w:rPr>
                <w:rtl w:val="0"/>
              </w:rPr>
              <w:t xml:space="preserve">Zipf</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spacing w:line="240" w:lineRule="auto"/>
              <w:jc w:val="center"/>
              <w:rPr/>
            </w:pPr>
            <w:r w:rsidDel="00000000" w:rsidR="00000000" w:rsidRPr="00000000">
              <w:rPr>
                <w:rtl w:val="0"/>
              </w:rPr>
              <w:t xml:space="preserve">Mandelbrot</w:t>
            </w:r>
          </w:p>
        </w:tc>
      </w:tr>
      <w:tr>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line="240" w:lineRule="auto"/>
              <w:rPr/>
            </w:pPr>
            <w:r w:rsidDel="00000000" w:rsidR="00000000" w:rsidRPr="00000000">
              <w:rPr>
                <w:rtl w:val="0"/>
              </w:rPr>
              <w:t xml:space="preserve">Meand deviance</w:t>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spacing w:line="240" w:lineRule="auto"/>
              <w:jc w:val="center"/>
              <w:rPr/>
            </w:pPr>
            <w:r w:rsidDel="00000000" w:rsidR="00000000" w:rsidRPr="00000000">
              <w:rPr>
                <w:rtl w:val="0"/>
              </w:rPr>
              <w:t xml:space="preserve">32467.790</w:t>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spacing w:line="240" w:lineRule="auto"/>
              <w:jc w:val="center"/>
              <w:rPr/>
            </w:pPr>
            <w:r w:rsidDel="00000000" w:rsidR="00000000" w:rsidRPr="00000000">
              <w:rPr>
                <w:rtl w:val="0"/>
              </w:rPr>
              <w:t xml:space="preserve">16453.30</w:t>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spacing w:line="240" w:lineRule="auto"/>
              <w:jc w:val="center"/>
              <w:rPr/>
            </w:pPr>
            <w:r w:rsidDel="00000000" w:rsidR="00000000" w:rsidRPr="00000000">
              <w:rPr>
                <w:rtl w:val="0"/>
              </w:rPr>
              <w:t xml:space="preserve">2114.3692</w:t>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240" w:lineRule="auto"/>
              <w:jc w:val="center"/>
              <w:rPr/>
            </w:pPr>
            <w:r w:rsidDel="00000000" w:rsidR="00000000" w:rsidRPr="00000000">
              <w:rPr>
                <w:rtl w:val="0"/>
              </w:rPr>
              <w:t xml:space="preserve">1190.8433</w:t>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spacing w:line="240" w:lineRule="auto"/>
              <w:jc w:val="center"/>
              <w:rPr/>
            </w:pPr>
            <w:r w:rsidDel="00000000" w:rsidR="00000000" w:rsidRPr="00000000">
              <w:rPr>
                <w:rtl w:val="0"/>
              </w:rPr>
              <w:t xml:space="preserve">968.6425</w:t>
            </w:r>
          </w:p>
        </w:tc>
      </w:tr>
      <w:tr>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spacing w:line="240" w:lineRule="auto"/>
              <w:rPr/>
            </w:pPr>
            <w:r w:rsidDel="00000000" w:rsidR="00000000" w:rsidRPr="00000000">
              <w:rPr>
                <w:rtl w:val="0"/>
              </w:rPr>
              <w:t xml:space="preserve">SE deviance</w:t>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spacing w:line="240" w:lineRule="auto"/>
              <w:jc w:val="center"/>
              <w:rPr/>
            </w:pPr>
            <w:r w:rsidDel="00000000" w:rsidR="00000000" w:rsidRPr="00000000">
              <w:rPr>
                <w:rtl w:val="0"/>
              </w:rPr>
              <w:t xml:space="preserve">4306.957</w:t>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pacing w:line="240" w:lineRule="auto"/>
              <w:jc w:val="center"/>
              <w:rPr/>
            </w:pPr>
            <w:r w:rsidDel="00000000" w:rsidR="00000000" w:rsidRPr="00000000">
              <w:rPr>
                <w:rtl w:val="0"/>
              </w:rPr>
              <w:t xml:space="preserve">2302.41</w:t>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jc w:val="center"/>
              <w:rPr/>
            </w:pPr>
            <w:r w:rsidDel="00000000" w:rsidR="00000000" w:rsidRPr="00000000">
              <w:rPr>
                <w:rtl w:val="0"/>
              </w:rPr>
              <w:t xml:space="preserve">286.3831</w:t>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line="240" w:lineRule="auto"/>
              <w:jc w:val="center"/>
              <w:rPr/>
            </w:pPr>
            <w:r w:rsidDel="00000000" w:rsidR="00000000" w:rsidRPr="00000000">
              <w:rPr>
                <w:rtl w:val="0"/>
              </w:rPr>
              <w:t xml:space="preserve">247.8633</w:t>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240" w:lineRule="auto"/>
              <w:jc w:val="center"/>
              <w:rPr/>
            </w:pPr>
            <w:r w:rsidDel="00000000" w:rsidR="00000000" w:rsidRPr="00000000">
              <w:rPr>
                <w:rtl w:val="0"/>
              </w:rPr>
              <w:t xml:space="preserve">144.6762</w:t>
            </w:r>
          </w:p>
        </w:tc>
      </w:tr>
      <w:tr>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rPr/>
            </w:pPr>
            <w:r w:rsidDel="00000000" w:rsidR="00000000" w:rsidRPr="00000000">
              <w:rPr>
                <w:rtl w:val="0"/>
              </w:rPr>
              <w:t xml:space="preserve">Mean AIC</w:t>
            </w:r>
          </w:p>
        </w:tc>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line="240" w:lineRule="auto"/>
              <w:jc w:val="center"/>
              <w:rPr/>
            </w:pPr>
            <w:r w:rsidDel="00000000" w:rsidR="00000000" w:rsidRPr="00000000">
              <w:rPr>
                <w:rtl w:val="0"/>
              </w:rPr>
              <w:t xml:space="preserve">33184.136</w:t>
            </w:r>
          </w:p>
        </w:tc>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jc w:val="center"/>
              <w:rPr/>
            </w:pPr>
            <w:r w:rsidDel="00000000" w:rsidR="00000000" w:rsidRPr="00000000">
              <w:rPr>
                <w:rtl w:val="0"/>
              </w:rPr>
              <w:t xml:space="preserve">17171.64</w:t>
            </w:r>
          </w:p>
        </w:tc>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jc w:val="center"/>
              <w:rPr/>
            </w:pPr>
            <w:r w:rsidDel="00000000" w:rsidR="00000000" w:rsidRPr="00000000">
              <w:rPr>
                <w:rtl w:val="0"/>
              </w:rPr>
              <w:t xml:space="preserve">2834.7147</w:t>
            </w:r>
          </w:p>
        </w:tc>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jc w:val="center"/>
              <w:rPr/>
            </w:pPr>
            <w:r w:rsidDel="00000000" w:rsidR="00000000" w:rsidRPr="00000000">
              <w:rPr>
                <w:rtl w:val="0"/>
              </w:rPr>
              <w:t xml:space="preserve">1911.1888</w:t>
            </w:r>
          </w:p>
        </w:tc>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40" w:lineRule="auto"/>
              <w:jc w:val="center"/>
              <w:rPr/>
            </w:pPr>
            <w:r w:rsidDel="00000000" w:rsidR="00000000" w:rsidRPr="00000000">
              <w:rPr>
                <w:rtl w:val="0"/>
              </w:rPr>
              <w:t xml:space="preserve">1690.9880</w:t>
            </w:r>
          </w:p>
        </w:tc>
      </w:tr>
    </w:tbl>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r>
    </w:p>
    <w:tbl>
      <w:tblPr>
        <w:tblStyle w:val="Table6"/>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4.8333333333333"/>
        <w:gridCol w:w="1504.8333333333333"/>
        <w:gridCol w:w="1504.8333333333333"/>
        <w:gridCol w:w="1504.8333333333333"/>
        <w:gridCol w:w="1504.8333333333333"/>
        <w:gridCol w:w="1504.8333333333333"/>
        <w:tblGridChange w:id="0">
          <w:tblGrid>
            <w:gridCol w:w="1504.8333333333333"/>
            <w:gridCol w:w="1504.8333333333333"/>
            <w:gridCol w:w="1504.8333333333333"/>
            <w:gridCol w:w="1504.8333333333333"/>
            <w:gridCol w:w="1504.8333333333333"/>
            <w:gridCol w:w="1504.8333333333333"/>
          </w:tblGrid>
        </w:tblGridChange>
      </w:tblGrid>
      <w:tr>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spacing w:line="240" w:lineRule="auto"/>
              <w:rPr/>
            </w:pPr>
            <w:r w:rsidDel="00000000" w:rsidR="00000000" w:rsidRPr="00000000">
              <w:rPr>
                <w:rtl w:val="0"/>
              </w:rPr>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spacing w:line="240" w:lineRule="auto"/>
              <w:jc w:val="center"/>
              <w:rPr/>
            </w:pPr>
            <w:r w:rsidDel="00000000" w:rsidR="00000000" w:rsidRPr="00000000">
              <w:rPr>
                <w:rtl w:val="0"/>
              </w:rPr>
              <w:t xml:space="preserve">Df</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spacing w:line="240" w:lineRule="auto"/>
              <w:jc w:val="center"/>
              <w:rPr/>
            </w:pPr>
            <w:r w:rsidDel="00000000" w:rsidR="00000000" w:rsidRPr="00000000">
              <w:rPr>
                <w:rtl w:val="0"/>
              </w:rPr>
              <w:t xml:space="preserve">Sum Sq</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line="240" w:lineRule="auto"/>
              <w:jc w:val="center"/>
              <w:rPr/>
            </w:pPr>
            <w:r w:rsidDel="00000000" w:rsidR="00000000" w:rsidRPr="00000000">
              <w:rPr>
                <w:rtl w:val="0"/>
              </w:rPr>
              <w:t xml:space="preserve">Mean Sq</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spacing w:line="240" w:lineRule="auto"/>
              <w:jc w:val="center"/>
              <w:rPr/>
            </w:pPr>
            <w:r w:rsidDel="00000000" w:rsidR="00000000" w:rsidRPr="00000000">
              <w:rPr>
                <w:rtl w:val="0"/>
              </w:rPr>
              <w:t xml:space="preserve">F value</w:t>
            </w:r>
          </w:p>
        </w:tc>
        <w:tc>
          <w:tcPr>
            <w:tcBorders>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line="240" w:lineRule="auto"/>
              <w:jc w:val="center"/>
              <w:rPr/>
            </w:pPr>
            <w:r w:rsidDel="00000000" w:rsidR="00000000" w:rsidRPr="00000000">
              <w:rPr>
                <w:rtl w:val="0"/>
              </w:rPr>
              <w:t xml:space="preserve">Pr(&gt;F)</w:t>
            </w:r>
          </w:p>
        </w:tc>
      </w:tr>
      <w:tr>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spacing w:line="240" w:lineRule="auto"/>
              <w:rPr/>
            </w:pPr>
            <w:r w:rsidDel="00000000" w:rsidR="00000000" w:rsidRPr="00000000">
              <w:rPr>
                <w:rtl w:val="0"/>
              </w:rPr>
              <w:t xml:space="preserve">model</w:t>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1">
            <w:pPr>
              <w:widowControl w:val="0"/>
              <w:spacing w:line="240" w:lineRule="auto"/>
              <w:jc w:val="center"/>
              <w:rPr/>
            </w:pPr>
            <w:r w:rsidDel="00000000" w:rsidR="00000000" w:rsidRPr="00000000">
              <w:rPr>
                <w:rtl w:val="0"/>
              </w:rPr>
              <w:t xml:space="preserve">4</w:t>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spacing w:line="240" w:lineRule="auto"/>
              <w:jc w:val="center"/>
              <w:rPr/>
            </w:pPr>
            <w:r w:rsidDel="00000000" w:rsidR="00000000" w:rsidRPr="00000000">
              <w:rPr>
                <w:rtl w:val="0"/>
              </w:rPr>
              <w:t xml:space="preserve">206.74</w:t>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line="240" w:lineRule="auto"/>
              <w:jc w:val="center"/>
              <w:rPr/>
            </w:pPr>
            <w:r w:rsidDel="00000000" w:rsidR="00000000" w:rsidRPr="00000000">
              <w:rPr>
                <w:rtl w:val="0"/>
              </w:rPr>
              <w:t xml:space="preserve">51.68</w:t>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jc w:val="center"/>
              <w:rPr/>
            </w:pPr>
            <w:r w:rsidDel="00000000" w:rsidR="00000000" w:rsidRPr="00000000">
              <w:rPr>
                <w:rtl w:val="0"/>
              </w:rPr>
              <w:t xml:space="preserve">99.37</w:t>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spacing w:line="240" w:lineRule="auto"/>
              <w:jc w:val="center"/>
              <w:rPr/>
            </w:pPr>
            <w:r w:rsidDel="00000000" w:rsidR="00000000" w:rsidRPr="00000000">
              <w:rPr>
                <w:rtl w:val="0"/>
              </w:rPr>
              <w:t xml:space="preserve">&lt;2e-16</w:t>
            </w:r>
          </w:p>
        </w:tc>
      </w:tr>
      <w:tr>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line="240" w:lineRule="auto"/>
              <w:rPr/>
            </w:pPr>
            <w:r w:rsidDel="00000000" w:rsidR="00000000" w:rsidRPr="00000000">
              <w:rPr>
                <w:rtl w:val="0"/>
              </w:rPr>
              <w:t xml:space="preserve">Residuals</w:t>
            </w:r>
          </w:p>
        </w:tc>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jc w:val="center"/>
              <w:rPr/>
            </w:pPr>
            <w:r w:rsidDel="00000000" w:rsidR="00000000" w:rsidRPr="00000000">
              <w:rPr>
                <w:rtl w:val="0"/>
              </w:rPr>
              <w:t xml:space="preserve">95</w:t>
            </w:r>
          </w:p>
        </w:tc>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jc w:val="center"/>
              <w:rPr/>
            </w:pPr>
            <w:r w:rsidDel="00000000" w:rsidR="00000000" w:rsidRPr="00000000">
              <w:rPr>
                <w:rtl w:val="0"/>
              </w:rPr>
              <w:t xml:space="preserve">49.41</w:t>
            </w:r>
          </w:p>
        </w:tc>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jc w:val="center"/>
              <w:rPr/>
            </w:pPr>
            <w:r w:rsidDel="00000000" w:rsidR="00000000" w:rsidRPr="00000000">
              <w:rPr>
                <w:rtl w:val="0"/>
              </w:rPr>
              <w:t xml:space="preserve">0.52</w:t>
            </w:r>
          </w:p>
        </w:tc>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spacing w:line="240" w:lineRule="auto"/>
              <w:jc w:val="center"/>
              <w:rPr/>
            </w:pPr>
            <w:r w:rsidDel="00000000" w:rsidR="00000000" w:rsidRPr="00000000">
              <w:rPr>
                <w:rtl w:val="0"/>
              </w:rPr>
            </w:r>
          </w:p>
        </w:tc>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spacing w:line="240" w:lineRule="auto"/>
              <w:jc w:val="center"/>
              <w:rPr/>
            </w:pPr>
            <w:r w:rsidDel="00000000" w:rsidR="00000000" w:rsidRPr="00000000">
              <w:rPr>
                <w:rtl w:val="0"/>
              </w:rPr>
            </w:r>
          </w:p>
        </w:tc>
      </w:tr>
    </w:tbl>
    <w:p w:rsidR="00000000" w:rsidDel="00000000" w:rsidP="00000000" w:rsidRDefault="00000000" w:rsidRPr="00000000" w14:paraId="000000AC">
      <w:pPr>
        <w:spacing w:line="300" w:lineRule="auto"/>
        <w:rPr>
          <w:rFonts w:ascii="Courier New" w:cs="Courier New" w:eastAsia="Courier New" w:hAnsi="Courier New"/>
          <w:sz w:val="20"/>
          <w:szCs w:val="20"/>
          <w:highlight w:val="white"/>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r>
    </w:p>
    <w:tbl>
      <w:tblPr>
        <w:tblStyle w:val="Table7"/>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4.8333333333333"/>
        <w:gridCol w:w="1504.8333333333333"/>
        <w:gridCol w:w="1504.8333333333333"/>
        <w:gridCol w:w="1504.8333333333333"/>
        <w:gridCol w:w="1504.8333333333333"/>
        <w:gridCol w:w="1504.8333333333333"/>
        <w:tblGridChange w:id="0">
          <w:tblGrid>
            <w:gridCol w:w="1504.8333333333333"/>
            <w:gridCol w:w="1504.8333333333333"/>
            <w:gridCol w:w="1504.8333333333333"/>
            <w:gridCol w:w="1504.8333333333333"/>
            <w:gridCol w:w="1504.8333333333333"/>
            <w:gridCol w:w="1504.8333333333333"/>
          </w:tblGrid>
        </w:tblGridChange>
      </w:tblGrid>
      <w:tr>
        <w:tc>
          <w:tcPr>
            <w:tcBorders>
              <w:top w:color="000000" w:space="0" w:sz="0" w:val="nil"/>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spacing w:line="240" w:lineRule="auto"/>
              <w:rPr/>
            </w:pPr>
            <w:r w:rsidDel="00000000" w:rsidR="00000000" w:rsidRPr="00000000">
              <w:rPr>
                <w:rtl w:val="0"/>
              </w:rPr>
            </w:r>
          </w:p>
        </w:tc>
        <w:tc>
          <w:tcPr>
            <w:tcBorders>
              <w:top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line="240" w:lineRule="auto"/>
              <w:rPr/>
            </w:pPr>
            <w:r w:rsidDel="00000000" w:rsidR="00000000" w:rsidRPr="00000000">
              <w:rPr>
                <w:rtl w:val="0"/>
              </w:rPr>
              <w:t xml:space="preserve">Preemption</w:t>
            </w:r>
          </w:p>
        </w:tc>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240" w:lineRule="auto"/>
              <w:rPr/>
            </w:pPr>
            <w:r w:rsidDel="00000000" w:rsidR="00000000" w:rsidRPr="00000000">
              <w:rPr>
                <w:rtl w:val="0"/>
              </w:rPr>
              <w:t xml:space="preserve">Lognormal</w:t>
            </w:r>
          </w:p>
        </w:tc>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spacing w:line="240" w:lineRule="auto"/>
              <w:rPr>
                <w:b w:val="1"/>
              </w:rPr>
            </w:pPr>
            <w:r w:rsidDel="00000000" w:rsidR="00000000" w:rsidRPr="00000000">
              <w:rPr>
                <w:b w:val="1"/>
                <w:rtl w:val="0"/>
              </w:rPr>
              <w:t xml:space="preserve">Mandelbrot</w:t>
            </w:r>
          </w:p>
        </w:tc>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pacing w:line="240" w:lineRule="auto"/>
              <w:rPr/>
            </w:pPr>
            <w:r w:rsidDel="00000000" w:rsidR="00000000" w:rsidRPr="00000000">
              <w:rPr>
                <w:rtl w:val="0"/>
              </w:rPr>
              <w:t xml:space="preserve">Zipf</w:t>
            </w:r>
          </w:p>
        </w:tc>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240" w:lineRule="auto"/>
              <w:rPr/>
            </w:pPr>
            <w:r w:rsidDel="00000000" w:rsidR="00000000" w:rsidRPr="00000000">
              <w:rPr>
                <w:rtl w:val="0"/>
              </w:rPr>
              <w:t xml:space="preserve">Null</w:t>
            </w:r>
          </w:p>
        </w:tc>
      </w:tr>
      <w:tr>
        <w:tc>
          <w:tcPr>
            <w:tcBorders>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line="240" w:lineRule="auto"/>
              <w:rPr/>
            </w:pPr>
            <w:r w:rsidDel="00000000" w:rsidR="00000000" w:rsidRPr="00000000">
              <w:rPr>
                <w:rtl w:val="0"/>
              </w:rPr>
              <w:t xml:space="preserve">Preemption</w:t>
            </w:r>
          </w:p>
        </w:tc>
        <w:tc>
          <w:tcPr>
            <w:tcBorders>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jc w:val="center"/>
              <w:rPr/>
            </w:pPr>
            <w:r w:rsidDel="00000000" w:rsidR="00000000" w:rsidRPr="00000000">
              <w:rPr>
                <w:rtl w:val="0"/>
              </w:rPr>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jc w:val="center"/>
              <w:rPr/>
            </w:pPr>
            <w:r w:rsidDel="00000000" w:rsidR="00000000" w:rsidRPr="00000000">
              <w:rPr>
                <w:rtl w:val="0"/>
              </w:rPr>
              <w:t xml:space="preserve">2.00</w:t>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spacing w:line="240" w:lineRule="auto"/>
              <w:jc w:val="center"/>
              <w:rPr/>
            </w:pPr>
            <w:r w:rsidDel="00000000" w:rsidR="00000000" w:rsidRPr="00000000">
              <w:rPr>
                <w:rtl w:val="0"/>
              </w:rPr>
              <w:t xml:space="preserve">2.81</w:t>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spacing w:line="240" w:lineRule="auto"/>
              <w:jc w:val="center"/>
              <w:rPr/>
            </w:pPr>
            <w:r w:rsidDel="00000000" w:rsidR="00000000" w:rsidRPr="00000000">
              <w:rPr>
                <w:rtl w:val="0"/>
              </w:rPr>
              <w:t xml:space="preserve">2.68</w:t>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9">
            <w:pPr>
              <w:widowControl w:val="0"/>
              <w:spacing w:line="240" w:lineRule="auto"/>
              <w:jc w:val="center"/>
              <w:rPr/>
            </w:pPr>
            <w:r w:rsidDel="00000000" w:rsidR="00000000" w:rsidRPr="00000000">
              <w:rPr>
                <w:rtl w:val="0"/>
              </w:rPr>
              <w:t xml:space="preserve">0.69</w:t>
            </w:r>
          </w:p>
        </w:tc>
      </w:tr>
      <w:t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rPr/>
            </w:pPr>
            <w:r w:rsidDel="00000000" w:rsidR="00000000" w:rsidRPr="00000000">
              <w:rPr>
                <w:rtl w:val="0"/>
              </w:rPr>
              <w:t xml:space="preserve">Lognormal</w:t>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jc w:val="center"/>
              <w:rPr/>
            </w:pPr>
            <w:r w:rsidDel="00000000" w:rsidR="00000000" w:rsidRPr="00000000">
              <w:rPr>
                <w:rtl w:val="0"/>
              </w:rPr>
              <w:t xml:space="preserve">&lt; 0.0001</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pacing w:line="240" w:lineRule="auto"/>
              <w:jc w:val="cente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D">
            <w:pPr>
              <w:widowControl w:val="0"/>
              <w:spacing w:line="240" w:lineRule="auto"/>
              <w:jc w:val="center"/>
              <w:rPr/>
            </w:pPr>
            <w:r w:rsidDel="00000000" w:rsidR="00000000" w:rsidRPr="00000000">
              <w:rPr>
                <w:rtl w:val="0"/>
              </w:rPr>
              <w:t xml:space="preserve">0.81</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E">
            <w:pPr>
              <w:widowControl w:val="0"/>
              <w:spacing w:line="240" w:lineRule="auto"/>
              <w:jc w:val="center"/>
              <w:rPr/>
            </w:pPr>
            <w:r w:rsidDel="00000000" w:rsidR="00000000" w:rsidRPr="00000000">
              <w:rPr>
                <w:rtl w:val="0"/>
              </w:rPr>
              <w:t xml:space="preserve">0.69</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F">
            <w:pPr>
              <w:widowControl w:val="0"/>
              <w:spacing w:line="240" w:lineRule="auto"/>
              <w:jc w:val="center"/>
              <w:rPr/>
            </w:pPr>
            <w:r w:rsidDel="00000000" w:rsidR="00000000" w:rsidRPr="00000000">
              <w:rPr>
                <w:rtl w:val="0"/>
              </w:rPr>
              <w:t xml:space="preserve">2.69</w:t>
            </w:r>
          </w:p>
        </w:tc>
      </w:tr>
      <w:t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spacing w:line="240" w:lineRule="auto"/>
              <w:rPr/>
            </w:pPr>
            <w:r w:rsidDel="00000000" w:rsidR="00000000" w:rsidRPr="00000000">
              <w:rPr>
                <w:rtl w:val="0"/>
              </w:rPr>
              <w:t xml:space="preserve">Mandelbrot</w:t>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spacing w:line="240" w:lineRule="auto"/>
              <w:jc w:val="center"/>
              <w:rPr>
                <w:b w:val="1"/>
              </w:rPr>
            </w:pPr>
            <w:r w:rsidDel="00000000" w:rsidR="00000000" w:rsidRPr="00000000">
              <w:rPr>
                <w:rtl w:val="0"/>
              </w:rPr>
              <w:t xml:space="preserve">&lt; 0.0001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spacing w:line="240" w:lineRule="auto"/>
              <w:jc w:val="center"/>
              <w:rPr/>
            </w:pPr>
            <w:r w:rsidDel="00000000" w:rsidR="00000000" w:rsidRPr="00000000">
              <w:rPr>
                <w:rtl w:val="0"/>
              </w:rPr>
              <w:t xml:space="preserve">0.0051</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spacing w:line="240" w:lineRule="auto"/>
              <w:jc w:val="cente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spacing w:line="240" w:lineRule="auto"/>
              <w:jc w:val="center"/>
              <w:rPr/>
            </w:pPr>
            <w:r w:rsidDel="00000000" w:rsidR="00000000" w:rsidRPr="00000000">
              <w:rPr>
                <w:rtl w:val="0"/>
              </w:rPr>
              <w:t xml:space="preserve">0.13</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spacing w:line="240" w:lineRule="auto"/>
              <w:jc w:val="center"/>
              <w:rPr/>
            </w:pPr>
            <w:r w:rsidDel="00000000" w:rsidR="00000000" w:rsidRPr="00000000">
              <w:rPr>
                <w:rtl w:val="0"/>
              </w:rPr>
              <w:t xml:space="preserve">3.51</w:t>
            </w:r>
          </w:p>
        </w:tc>
      </w:tr>
      <w:t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6">
            <w:pPr>
              <w:widowControl w:val="0"/>
              <w:spacing w:line="240" w:lineRule="auto"/>
              <w:rPr>
                <w:b w:val="1"/>
              </w:rPr>
            </w:pPr>
            <w:r w:rsidDel="00000000" w:rsidR="00000000" w:rsidRPr="00000000">
              <w:rPr>
                <w:b w:val="1"/>
                <w:rtl w:val="0"/>
              </w:rPr>
              <w:t xml:space="preserve">Zipf</w:t>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spacing w:line="240" w:lineRule="auto"/>
              <w:jc w:val="center"/>
              <w:rPr/>
            </w:pPr>
            <w:r w:rsidDel="00000000" w:rsidR="00000000" w:rsidRPr="00000000">
              <w:rPr>
                <w:rtl w:val="0"/>
              </w:rPr>
              <w:t xml:space="preserve">&lt; 0.0001</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8">
            <w:pPr>
              <w:widowControl w:val="0"/>
              <w:spacing w:line="240" w:lineRule="auto"/>
              <w:jc w:val="center"/>
              <w:rPr/>
            </w:pPr>
            <w:r w:rsidDel="00000000" w:rsidR="00000000" w:rsidRPr="00000000">
              <w:rPr>
                <w:rtl w:val="0"/>
              </w:rPr>
              <w:t xml:space="preserve">0.0271</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9">
            <w:pPr>
              <w:widowControl w:val="0"/>
              <w:spacing w:line="240" w:lineRule="auto"/>
              <w:jc w:val="center"/>
              <w:rPr>
                <w:b w:val="1"/>
              </w:rPr>
            </w:pPr>
            <w:r w:rsidDel="00000000" w:rsidR="00000000" w:rsidRPr="00000000">
              <w:rPr>
                <w:b w:val="1"/>
                <w:rtl w:val="0"/>
              </w:rPr>
              <w:t xml:space="preserve">0.9809</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A">
            <w:pPr>
              <w:widowControl w:val="0"/>
              <w:spacing w:line="240" w:lineRule="auto"/>
              <w:jc w:val="cente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B">
            <w:pPr>
              <w:widowControl w:val="0"/>
              <w:spacing w:line="240" w:lineRule="auto"/>
              <w:jc w:val="center"/>
              <w:rPr/>
            </w:pPr>
            <w:r w:rsidDel="00000000" w:rsidR="00000000" w:rsidRPr="00000000">
              <w:rPr>
                <w:rtl w:val="0"/>
              </w:rPr>
              <w:t xml:space="preserve">3.38</w:t>
            </w:r>
          </w:p>
        </w:tc>
      </w:tr>
      <w:tr>
        <w:tc>
          <w:tcPr>
            <w:tcBorders>
              <w:top w:color="000000" w:space="0" w:sz="0" w:val="nil"/>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spacing w:line="240" w:lineRule="auto"/>
              <w:rPr/>
            </w:pPr>
            <w:r w:rsidDel="00000000" w:rsidR="00000000" w:rsidRPr="00000000">
              <w:rPr>
                <w:rtl w:val="0"/>
              </w:rPr>
              <w:t xml:space="preserve">Null</w:t>
            </w:r>
          </w:p>
        </w:tc>
        <w:tc>
          <w:tcPr>
            <w:tcBorders>
              <w:top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spacing w:line="240" w:lineRule="auto"/>
              <w:jc w:val="center"/>
              <w:rPr/>
            </w:pPr>
            <w:r w:rsidDel="00000000" w:rsidR="00000000" w:rsidRPr="00000000">
              <w:rPr>
                <w:rtl w:val="0"/>
              </w:rPr>
              <w:t xml:space="preserve">0.0025</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E">
            <w:pPr>
              <w:widowControl w:val="0"/>
              <w:spacing w:line="240" w:lineRule="auto"/>
              <w:jc w:val="center"/>
              <w:rPr/>
            </w:pPr>
            <w:r w:rsidDel="00000000" w:rsidR="00000000" w:rsidRPr="00000000">
              <w:rPr>
                <w:rtl w:val="0"/>
              </w:rPr>
              <w:t xml:space="preserve">&lt; 0.0001</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F">
            <w:pPr>
              <w:widowControl w:val="0"/>
              <w:spacing w:line="240" w:lineRule="auto"/>
              <w:jc w:val="center"/>
              <w:rPr/>
            </w:pPr>
            <w:r w:rsidDel="00000000" w:rsidR="00000000" w:rsidRPr="00000000">
              <w:rPr>
                <w:rtl w:val="0"/>
              </w:rPr>
              <w:t xml:space="preserve">&lt; 0.0001</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0">
            <w:pPr>
              <w:widowControl w:val="0"/>
              <w:spacing w:line="240" w:lineRule="auto"/>
              <w:jc w:val="center"/>
              <w:rPr/>
            </w:pPr>
            <w:r w:rsidDel="00000000" w:rsidR="00000000" w:rsidRPr="00000000">
              <w:rPr>
                <w:rtl w:val="0"/>
              </w:rPr>
              <w:t xml:space="preserve">&lt; 0.0001</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spacing w:line="240" w:lineRule="auto"/>
              <w:jc w:val="center"/>
              <w:rPr/>
            </w:pPr>
            <w:r w:rsidDel="00000000" w:rsidR="00000000" w:rsidRPr="00000000">
              <w:rPr>
                <w:rtl w:val="0"/>
              </w:rPr>
            </w:r>
          </w:p>
        </w:tc>
      </w:tr>
    </w:tbl>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br w:type="page"/>
      </w:r>
      <w:r w:rsidDel="00000000" w:rsidR="00000000" w:rsidRPr="00000000">
        <w:rPr>
          <w:rtl w:val="0"/>
        </w:rPr>
      </w:r>
    </w:p>
    <w:p w:rsidR="00000000" w:rsidDel="00000000" w:rsidP="00000000" w:rsidRDefault="00000000" w:rsidRPr="00000000" w14:paraId="000000D4">
      <w:pPr>
        <w:rPr/>
      </w:pPr>
      <w:r w:rsidDel="00000000" w:rsidR="00000000" w:rsidRPr="00000000">
        <w:rPr>
          <w:b w:val="1"/>
          <w:rtl w:val="0"/>
        </w:rPr>
        <w:t xml:space="preserve">Supplementary Table 4:</w:t>
      </w:r>
      <w:r w:rsidDel="00000000" w:rsidR="00000000" w:rsidRPr="00000000">
        <w:rPr>
          <w:rtl w:val="0"/>
        </w:rPr>
        <w:t xml:space="preserve"> </w:t>
      </w:r>
      <w:r w:rsidDel="00000000" w:rsidR="00000000" w:rsidRPr="00000000">
        <w:rPr>
          <w:rtl w:val="0"/>
        </w:rPr>
        <w:t xml:space="preserve">Permutation test (999 permutations) for a </w:t>
      </w:r>
      <w:r w:rsidDel="00000000" w:rsidR="00000000" w:rsidRPr="00000000">
        <w:rPr>
          <w:color w:val="1c1e29"/>
          <w:rtl w:val="0"/>
        </w:rPr>
        <w:t xml:space="preserve">canonical correspondence analysis of the effect of temperature treatment, sponge color morph and their interaction on the composition of the microbiome of </w:t>
      </w:r>
      <w:r w:rsidDel="00000000" w:rsidR="00000000" w:rsidRPr="00000000">
        <w:rPr>
          <w:i w:val="1"/>
          <w:color w:val="1c1e29"/>
          <w:rtl w:val="0"/>
        </w:rPr>
        <w:t xml:space="preserve">Lendenfeldia chondrodes</w:t>
      </w:r>
      <w:r w:rsidDel="00000000" w:rsidR="00000000" w:rsidRPr="00000000">
        <w:rPr>
          <w:color w:val="1c1e29"/>
          <w:rtl w:val="0"/>
        </w:rPr>
        <w:t xml:space="preserve">. Terms added sequentially, first to last. For this analysis, counts were corrected using the bacterial load of each sample and OTUs with less than 50 counts were removed from the analysis.</w:t>
      </w:r>
      <w:r w:rsidDel="00000000" w:rsidR="00000000" w:rsidRPr="00000000">
        <w:rPr>
          <w:rtl w:val="0"/>
        </w:rPr>
      </w:r>
    </w:p>
    <w:p w:rsidR="00000000" w:rsidDel="00000000" w:rsidP="00000000" w:rsidRDefault="00000000" w:rsidRPr="00000000" w14:paraId="000000D5">
      <w:pPr>
        <w:widowControl w:val="0"/>
        <w:rPr/>
      </w:pPr>
      <w:r w:rsidDel="00000000" w:rsidR="00000000" w:rsidRPr="00000000">
        <w:rPr>
          <w:rtl w:val="0"/>
        </w:rPr>
      </w:r>
    </w:p>
    <w:tbl>
      <w:tblPr>
        <w:tblStyle w:val="Table8"/>
        <w:tblW w:w="9015.0" w:type="dxa"/>
        <w:jc w:val="left"/>
        <w:tblInd w:w="100.0" w:type="pct"/>
        <w:tblLayout w:type="fixed"/>
        <w:tblLook w:val="0600"/>
      </w:tblPr>
      <w:tblGrid>
        <w:gridCol w:w="3750"/>
        <w:gridCol w:w="930"/>
        <w:gridCol w:w="1875"/>
        <w:gridCol w:w="1005"/>
        <w:gridCol w:w="1455"/>
        <w:tblGridChange w:id="0">
          <w:tblGrid>
            <w:gridCol w:w="3750"/>
            <w:gridCol w:w="930"/>
            <w:gridCol w:w="1875"/>
            <w:gridCol w:w="1005"/>
            <w:gridCol w:w="1455"/>
          </w:tblGrid>
        </w:tblGridChange>
      </w:tblGrid>
      <w:tr>
        <w:tc>
          <w:tcPr>
            <w:tcBorders>
              <w:top w:color="000000" w:space="0" w:sz="8" w:val="single"/>
              <w:bottom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6">
            <w:pPr>
              <w:widowControl w:val="0"/>
              <w:spacing w:line="240" w:lineRule="auto"/>
              <w:rPr/>
            </w:pPr>
            <w:r w:rsidDel="00000000" w:rsidR="00000000" w:rsidRPr="00000000">
              <w:rPr>
                <w:rtl w:val="0"/>
              </w:rPr>
            </w:r>
          </w:p>
        </w:tc>
        <w:tc>
          <w:tcPr>
            <w:tcBorders>
              <w:top w:color="000000" w:space="0" w:sz="8" w:val="single"/>
              <w:bottom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7">
            <w:pPr>
              <w:widowControl w:val="0"/>
              <w:spacing w:line="240" w:lineRule="auto"/>
              <w:jc w:val="center"/>
              <w:rPr/>
            </w:pPr>
            <w:r w:rsidDel="00000000" w:rsidR="00000000" w:rsidRPr="00000000">
              <w:rPr>
                <w:rtl w:val="0"/>
              </w:rPr>
              <w:t xml:space="preserve">Df</w:t>
            </w:r>
          </w:p>
        </w:tc>
        <w:tc>
          <w:tcPr>
            <w:tcBorders>
              <w:top w:color="000000" w:space="0" w:sz="8" w:val="single"/>
              <w:bottom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8">
            <w:pPr>
              <w:widowControl w:val="0"/>
              <w:spacing w:line="240" w:lineRule="auto"/>
              <w:jc w:val="center"/>
              <w:rPr/>
            </w:pPr>
            <w:r w:rsidDel="00000000" w:rsidR="00000000" w:rsidRPr="00000000">
              <w:rPr>
                <w:rtl w:val="0"/>
              </w:rPr>
              <w:t xml:space="preserve">Chi-Square</w:t>
            </w:r>
          </w:p>
        </w:tc>
        <w:tc>
          <w:tcPr>
            <w:tcBorders>
              <w:top w:color="000000" w:space="0" w:sz="8" w:val="single"/>
              <w:bottom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9">
            <w:pPr>
              <w:widowControl w:val="0"/>
              <w:spacing w:line="240" w:lineRule="auto"/>
              <w:jc w:val="center"/>
              <w:rPr/>
            </w:pPr>
            <w:r w:rsidDel="00000000" w:rsidR="00000000" w:rsidRPr="00000000">
              <w:rPr>
                <w:rtl w:val="0"/>
              </w:rPr>
              <w:t xml:space="preserve">F</w:t>
            </w:r>
          </w:p>
        </w:tc>
        <w:tc>
          <w:tcPr>
            <w:tcBorders>
              <w:top w:color="000000" w:space="0" w:sz="8" w:val="single"/>
              <w:bottom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A">
            <w:pPr>
              <w:widowControl w:val="0"/>
              <w:spacing w:line="240" w:lineRule="auto"/>
              <w:jc w:val="center"/>
              <w:rPr/>
            </w:pPr>
            <w:r w:rsidDel="00000000" w:rsidR="00000000" w:rsidRPr="00000000">
              <w:rPr>
                <w:rtl w:val="0"/>
              </w:rPr>
              <w:t xml:space="preserve">Pr(&gt;F)</w:t>
            </w:r>
          </w:p>
        </w:tc>
      </w:tr>
      <w:tr>
        <w:trPr>
          <w:trHeight w:val="460" w:hRule="atLeast"/>
        </w:trPr>
        <w:tc>
          <w:tcPr>
            <w:tcBorders>
              <w:top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B">
            <w:pPr>
              <w:widowControl w:val="0"/>
              <w:spacing w:line="240" w:lineRule="auto"/>
              <w:rPr/>
            </w:pPr>
            <w:r w:rsidDel="00000000" w:rsidR="00000000" w:rsidRPr="00000000">
              <w:rPr>
                <w:rtl w:val="0"/>
              </w:rPr>
              <w:t xml:space="preserve">Treatment</w:t>
            </w:r>
          </w:p>
        </w:tc>
        <w:tc>
          <w:tcPr>
            <w:tcBorders>
              <w:top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spacing w:line="240" w:lineRule="auto"/>
              <w:jc w:val="center"/>
              <w:rPr/>
            </w:pPr>
            <w:r w:rsidDel="00000000" w:rsidR="00000000" w:rsidRPr="00000000">
              <w:rPr>
                <w:rtl w:val="0"/>
              </w:rPr>
              <w:t xml:space="preserve">1</w:t>
            </w:r>
          </w:p>
        </w:tc>
        <w:tc>
          <w:tcPr>
            <w:tcBorders>
              <w:top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spacing w:line="240" w:lineRule="auto"/>
              <w:jc w:val="center"/>
              <w:rPr/>
            </w:pPr>
            <w:r w:rsidDel="00000000" w:rsidR="00000000" w:rsidRPr="00000000">
              <w:rPr>
                <w:rtl w:val="0"/>
              </w:rPr>
              <w:t xml:space="preserve">0.36522</w:t>
            </w:r>
          </w:p>
        </w:tc>
        <w:tc>
          <w:tcPr>
            <w:tcBorders>
              <w:top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E">
            <w:pPr>
              <w:widowControl w:val="0"/>
              <w:spacing w:line="240" w:lineRule="auto"/>
              <w:jc w:val="center"/>
              <w:rPr/>
            </w:pPr>
            <w:r w:rsidDel="00000000" w:rsidR="00000000" w:rsidRPr="00000000">
              <w:rPr>
                <w:rtl w:val="0"/>
              </w:rPr>
              <w:t xml:space="preserve">7.9291</w:t>
            </w:r>
          </w:p>
        </w:tc>
        <w:tc>
          <w:tcPr>
            <w:tcBorders>
              <w:top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F">
            <w:pPr>
              <w:widowControl w:val="0"/>
              <w:spacing w:line="240" w:lineRule="auto"/>
              <w:jc w:val="center"/>
              <w:rPr/>
            </w:pPr>
            <w:r w:rsidDel="00000000" w:rsidR="00000000" w:rsidRPr="00000000">
              <w:rPr>
                <w:rtl w:val="0"/>
              </w:rPr>
              <w:t xml:space="preserve">0.001</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240" w:lineRule="auto"/>
              <w:rPr/>
            </w:pPr>
            <w:r w:rsidDel="00000000" w:rsidR="00000000" w:rsidRPr="00000000">
              <w:rPr>
                <w:rtl w:val="0"/>
              </w:rPr>
              <w:t xml:space="preserve">Color morph</w:t>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widowControl w:val="0"/>
              <w:spacing w:line="240" w:lineRule="auto"/>
              <w:jc w:val="center"/>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widowControl w:val="0"/>
              <w:spacing w:line="240" w:lineRule="auto"/>
              <w:jc w:val="center"/>
              <w:rPr/>
            </w:pPr>
            <w:r w:rsidDel="00000000" w:rsidR="00000000" w:rsidRPr="00000000">
              <w:rPr>
                <w:rtl w:val="0"/>
              </w:rPr>
              <w:t xml:space="preserve">0.20193</w:t>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widowControl w:val="0"/>
              <w:spacing w:line="240" w:lineRule="auto"/>
              <w:jc w:val="center"/>
              <w:rPr/>
            </w:pPr>
            <w:r w:rsidDel="00000000" w:rsidR="00000000" w:rsidRPr="00000000">
              <w:rPr>
                <w:rtl w:val="0"/>
              </w:rPr>
              <w:t xml:space="preserve">4.3840</w:t>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spacing w:line="240" w:lineRule="auto"/>
              <w:jc w:val="center"/>
              <w:rPr/>
            </w:pPr>
            <w:r w:rsidDel="00000000" w:rsidR="00000000" w:rsidRPr="00000000">
              <w:rPr>
                <w:rtl w:val="0"/>
              </w:rPr>
              <w:t xml:space="preserve">0.002</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E5">
            <w:pPr>
              <w:widowControl w:val="0"/>
              <w:spacing w:line="240" w:lineRule="auto"/>
              <w:rPr/>
            </w:pPr>
            <w:r w:rsidDel="00000000" w:rsidR="00000000" w:rsidRPr="00000000">
              <w:rPr>
                <w:rtl w:val="0"/>
              </w:rPr>
              <w:t xml:space="preserve">Treatment x Color morph</w:t>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spacing w:line="240" w:lineRule="auto"/>
              <w:jc w:val="center"/>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widowControl w:val="0"/>
              <w:spacing w:line="240" w:lineRule="auto"/>
              <w:jc w:val="center"/>
              <w:rPr/>
            </w:pPr>
            <w:r w:rsidDel="00000000" w:rsidR="00000000" w:rsidRPr="00000000">
              <w:rPr>
                <w:rtl w:val="0"/>
              </w:rPr>
              <w:t xml:space="preserve">0.09383</w:t>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widowControl w:val="0"/>
              <w:spacing w:line="240" w:lineRule="auto"/>
              <w:jc w:val="center"/>
              <w:rPr/>
            </w:pPr>
            <w:r w:rsidDel="00000000" w:rsidR="00000000" w:rsidRPr="00000000">
              <w:rPr>
                <w:rtl w:val="0"/>
              </w:rPr>
              <w:t xml:space="preserve">2.0370</w:t>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widowControl w:val="0"/>
              <w:spacing w:line="240" w:lineRule="auto"/>
              <w:jc w:val="center"/>
              <w:rPr/>
            </w:pPr>
            <w:r w:rsidDel="00000000" w:rsidR="00000000" w:rsidRPr="00000000">
              <w:rPr>
                <w:rtl w:val="0"/>
              </w:rPr>
              <w:t xml:space="preserve">0.071</w:t>
            </w:r>
          </w:p>
        </w:tc>
      </w:tr>
      <w:tr>
        <w:tc>
          <w:tcPr>
            <w:tcBorders>
              <w:bottom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A">
            <w:pPr>
              <w:widowControl w:val="0"/>
              <w:spacing w:line="240" w:lineRule="auto"/>
              <w:rPr/>
            </w:pPr>
            <w:r w:rsidDel="00000000" w:rsidR="00000000" w:rsidRPr="00000000">
              <w:rPr>
                <w:rtl w:val="0"/>
              </w:rPr>
              <w:t xml:space="preserve">Residual</w:t>
            </w:r>
          </w:p>
        </w:tc>
        <w:tc>
          <w:tcPr>
            <w:tcBorders>
              <w:bottom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spacing w:line="240" w:lineRule="auto"/>
              <w:jc w:val="center"/>
              <w:rPr/>
            </w:pPr>
            <w:r w:rsidDel="00000000" w:rsidR="00000000" w:rsidRPr="00000000">
              <w:rPr>
                <w:rtl w:val="0"/>
              </w:rPr>
              <w:t xml:space="preserve">12</w:t>
            </w:r>
          </w:p>
        </w:tc>
        <w:tc>
          <w:tcPr>
            <w:tcBorders>
              <w:bottom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spacing w:line="240" w:lineRule="auto"/>
              <w:jc w:val="center"/>
              <w:rPr/>
            </w:pPr>
            <w:r w:rsidDel="00000000" w:rsidR="00000000" w:rsidRPr="00000000">
              <w:rPr>
                <w:rtl w:val="0"/>
              </w:rPr>
              <w:t xml:space="preserve">0.55273</w:t>
            </w:r>
          </w:p>
        </w:tc>
        <w:tc>
          <w:tcPr>
            <w:tcBorders>
              <w:bottom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D">
            <w:pPr>
              <w:widowControl w:val="0"/>
              <w:spacing w:line="240" w:lineRule="auto"/>
              <w:jc w:val="center"/>
              <w:rPr/>
            </w:pPr>
            <w:r w:rsidDel="00000000" w:rsidR="00000000" w:rsidRPr="00000000">
              <w:rPr>
                <w:rtl w:val="0"/>
              </w:rPr>
            </w:r>
          </w:p>
        </w:tc>
        <w:tc>
          <w:tcPr>
            <w:tcBorders>
              <w:bottom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E">
            <w:pPr>
              <w:widowControl w:val="0"/>
              <w:spacing w:line="240" w:lineRule="auto"/>
              <w:jc w:val="center"/>
              <w:rPr/>
            </w:pPr>
            <w:r w:rsidDel="00000000" w:rsidR="00000000" w:rsidRPr="00000000">
              <w:rPr>
                <w:rtl w:val="0"/>
              </w:rPr>
            </w:r>
          </w:p>
        </w:tc>
      </w:tr>
    </w:tbl>
    <w:p w:rsidR="00000000" w:rsidDel="00000000" w:rsidP="00000000" w:rsidRDefault="00000000" w:rsidRPr="00000000" w14:paraId="000000EF">
      <w:pPr>
        <w:widowControl w:val="0"/>
        <w:rPr/>
      </w:pPr>
      <w:r w:rsidDel="00000000" w:rsidR="00000000" w:rsidRPr="00000000">
        <w:rPr>
          <w:rtl w:val="0"/>
        </w:rPr>
      </w:r>
    </w:p>
    <w:p w:rsidR="00000000" w:rsidDel="00000000" w:rsidP="00000000" w:rsidRDefault="00000000" w:rsidRPr="00000000" w14:paraId="000000F0">
      <w:pPr>
        <w:widowControl w:val="0"/>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r>
    </w:p>
    <w:sectPr>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