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E8D6A" w14:textId="28C76809" w:rsidR="00785D73" w:rsidRDefault="00785D73" w:rsidP="00785D73">
      <w:pPr>
        <w:spacing w:line="360" w:lineRule="auto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>Supplementary material 4</w:t>
      </w:r>
    </w:p>
    <w:p w14:paraId="7013FEEF" w14:textId="77777777" w:rsidR="00785D73" w:rsidRDefault="00785D73" w:rsidP="00785D73">
      <w:pPr>
        <w:spacing w:line="360" w:lineRule="auto"/>
        <w:jc w:val="center"/>
        <w:rPr>
          <w:rFonts w:ascii="Arial" w:hAnsi="Arial" w:cs="Arial"/>
          <w:b/>
          <w:sz w:val="28"/>
          <w:lang w:val="en-US"/>
        </w:rPr>
      </w:pPr>
      <w:r w:rsidRPr="007356F0">
        <w:rPr>
          <w:rFonts w:ascii="Arial" w:hAnsi="Arial" w:cs="Arial"/>
          <w:b/>
          <w:sz w:val="28"/>
          <w:lang w:val="en-US"/>
        </w:rPr>
        <w:t>Elevated atmospheric CO</w:t>
      </w:r>
      <w:r w:rsidRPr="007356F0">
        <w:rPr>
          <w:rFonts w:ascii="Arial" w:hAnsi="Arial" w:cs="Arial"/>
          <w:b/>
          <w:sz w:val="28"/>
          <w:vertAlign w:val="subscript"/>
          <w:lang w:val="en-US"/>
        </w:rPr>
        <w:t>2</w:t>
      </w:r>
      <w:r w:rsidRPr="007356F0">
        <w:rPr>
          <w:rFonts w:ascii="Arial" w:hAnsi="Arial" w:cs="Arial"/>
          <w:b/>
          <w:sz w:val="28"/>
          <w:lang w:val="en-US"/>
        </w:rPr>
        <w:t xml:space="preserve"> modifies mostly the act</w:t>
      </w:r>
      <w:bookmarkStart w:id="0" w:name="_GoBack"/>
      <w:bookmarkEnd w:id="0"/>
      <w:r w:rsidRPr="007356F0">
        <w:rPr>
          <w:rFonts w:ascii="Arial" w:hAnsi="Arial" w:cs="Arial"/>
          <w:b/>
          <w:sz w:val="28"/>
          <w:lang w:val="en-US"/>
        </w:rPr>
        <w:t>ive rhizosphere soil microbiome in the Giessen FACE experiment</w:t>
      </w:r>
    </w:p>
    <w:p w14:paraId="4A281873" w14:textId="7C764D21" w:rsidR="00785D73" w:rsidRPr="0003775D" w:rsidRDefault="00A7680A" w:rsidP="00785D73">
      <w:pPr>
        <w:spacing w:line="360" w:lineRule="auto"/>
        <w:jc w:val="center"/>
        <w:rPr>
          <w:rFonts w:ascii="Arial" w:hAnsi="Arial" w:cs="Arial"/>
          <w:sz w:val="24"/>
          <w:lang w:val="en-US"/>
        </w:rPr>
      </w:pPr>
      <w:r w:rsidRPr="00A7680A">
        <w:rPr>
          <w:rFonts w:ascii="Arial" w:hAnsi="Arial" w:cs="Arial"/>
          <w:sz w:val="24"/>
          <w:lang w:val="en-US"/>
        </w:rPr>
        <w:t>David Rosado-Porto, Stefan Ratering, Massimiliano Cardinale, Corinna Maisinger, Gerald Moser, Marianna Deppe, Christoph Müller, Sylvia Schnell</w:t>
      </w:r>
      <w:r w:rsidRPr="00A7680A" w:rsidDel="00A7680A">
        <w:rPr>
          <w:rFonts w:ascii="Arial" w:hAnsi="Arial" w:cs="Arial"/>
          <w:sz w:val="24"/>
          <w:lang w:val="en-US"/>
        </w:rPr>
        <w:t xml:space="preserve"> </w:t>
      </w:r>
    </w:p>
    <w:p w14:paraId="7CC789D2" w14:textId="291BCEA8" w:rsidR="0009736E" w:rsidRPr="009A5CBC" w:rsidRDefault="00C84199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520A5BF1" wp14:editId="692DFEDD">
            <wp:simplePos x="0" y="0"/>
            <wp:positionH relativeFrom="column">
              <wp:posOffset>-456565</wp:posOffset>
            </wp:positionH>
            <wp:positionV relativeFrom="paragraph">
              <wp:posOffset>110357</wp:posOffset>
            </wp:positionV>
            <wp:extent cx="4258265" cy="5985273"/>
            <wp:effectExtent l="0" t="0" r="952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265" cy="5985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F357A" w14:textId="561C47ED" w:rsidR="008E023F" w:rsidRPr="009A5CBC" w:rsidRDefault="005D6C08" w:rsidP="003A0029">
      <w:pPr>
        <w:jc w:val="both"/>
        <w:rPr>
          <w:rFonts w:ascii="Arial" w:hAnsi="Arial" w:cs="Arial"/>
          <w:lang w:val="en-US"/>
        </w:rPr>
      </w:pPr>
      <w:r w:rsidRPr="009A5CBC">
        <w:rPr>
          <w:rFonts w:ascii="Arial" w:hAnsi="Arial" w:cs="Arial"/>
          <w:b/>
          <w:lang w:val="en-US"/>
        </w:rPr>
        <w:t>Figure S4.1</w:t>
      </w:r>
      <w:r w:rsidR="008E023F" w:rsidRPr="009A5CBC">
        <w:rPr>
          <w:rFonts w:ascii="Arial" w:hAnsi="Arial" w:cs="Arial"/>
          <w:lang w:val="en-US"/>
        </w:rPr>
        <w:t>. Principal Components Analysis (PCA) of Enzyme Commission number‘s (EC number) predicted metagenome, calculated based on Aitchison community dissimilarity distance matrix  of (a) rhizosphere soils from ambient and elevated CO</w:t>
      </w:r>
      <w:r w:rsidR="008E023F" w:rsidRPr="00753869">
        <w:rPr>
          <w:rFonts w:ascii="Arial" w:hAnsi="Arial" w:cs="Arial"/>
          <w:vertAlign w:val="subscript"/>
          <w:lang w:val="en-US"/>
        </w:rPr>
        <w:t>2</w:t>
      </w:r>
      <w:r w:rsidR="008E023F" w:rsidRPr="009A5CBC">
        <w:rPr>
          <w:rFonts w:ascii="Arial" w:hAnsi="Arial" w:cs="Arial"/>
          <w:lang w:val="en-US"/>
        </w:rPr>
        <w:t xml:space="preserve"> rings and (b) bulk soils from ambient and elevated CO</w:t>
      </w:r>
      <w:r w:rsidR="008E023F" w:rsidRPr="00753869">
        <w:rPr>
          <w:rFonts w:ascii="Arial" w:hAnsi="Arial" w:cs="Arial"/>
          <w:vertAlign w:val="subscript"/>
          <w:lang w:val="en-US"/>
        </w:rPr>
        <w:t>2</w:t>
      </w:r>
      <w:r w:rsidR="008E023F" w:rsidRPr="009A5CBC">
        <w:rPr>
          <w:rFonts w:ascii="Arial" w:hAnsi="Arial" w:cs="Arial"/>
          <w:lang w:val="en-US"/>
        </w:rPr>
        <w:t xml:space="preserve"> rings. A, ambient CO</w:t>
      </w:r>
      <w:r w:rsidR="008E023F" w:rsidRPr="00753869">
        <w:rPr>
          <w:rFonts w:ascii="Arial" w:hAnsi="Arial" w:cs="Arial"/>
          <w:vertAlign w:val="subscript"/>
          <w:lang w:val="en-US"/>
        </w:rPr>
        <w:t>2</w:t>
      </w:r>
      <w:r w:rsidR="008E023F" w:rsidRPr="009A5CBC">
        <w:rPr>
          <w:rFonts w:ascii="Arial" w:hAnsi="Arial" w:cs="Arial"/>
          <w:lang w:val="en-US"/>
        </w:rPr>
        <w:t xml:space="preserve"> rings; E, elevated CO</w:t>
      </w:r>
      <w:r w:rsidR="008E023F" w:rsidRPr="00753869">
        <w:rPr>
          <w:rFonts w:ascii="Arial" w:hAnsi="Arial" w:cs="Arial"/>
          <w:vertAlign w:val="subscript"/>
          <w:lang w:val="en-US"/>
        </w:rPr>
        <w:t>2</w:t>
      </w:r>
      <w:r w:rsidR="008E023F" w:rsidRPr="009A5CBC">
        <w:rPr>
          <w:rFonts w:ascii="Arial" w:hAnsi="Arial" w:cs="Arial"/>
          <w:lang w:val="en-US"/>
        </w:rPr>
        <w:t xml:space="preserve"> rings; aCO</w:t>
      </w:r>
      <w:r w:rsidR="008E023F" w:rsidRPr="00753869">
        <w:rPr>
          <w:rFonts w:ascii="Arial" w:hAnsi="Arial" w:cs="Arial"/>
          <w:vertAlign w:val="subscript"/>
          <w:lang w:val="en-US"/>
        </w:rPr>
        <w:t>2</w:t>
      </w:r>
      <w:r w:rsidR="008E023F" w:rsidRPr="009A5CBC">
        <w:rPr>
          <w:rFonts w:ascii="Arial" w:hAnsi="Arial" w:cs="Arial"/>
          <w:lang w:val="en-US"/>
        </w:rPr>
        <w:t>, ambient CO</w:t>
      </w:r>
      <w:r w:rsidR="008E023F" w:rsidRPr="00753869">
        <w:rPr>
          <w:rFonts w:ascii="Arial" w:hAnsi="Arial" w:cs="Arial"/>
          <w:vertAlign w:val="subscript"/>
          <w:lang w:val="en-US"/>
        </w:rPr>
        <w:t>2</w:t>
      </w:r>
      <w:r w:rsidR="008E023F" w:rsidRPr="009A5CBC">
        <w:rPr>
          <w:rFonts w:ascii="Arial" w:hAnsi="Arial" w:cs="Arial"/>
          <w:lang w:val="en-US"/>
        </w:rPr>
        <w:t xml:space="preserve"> conditions; eCO</w:t>
      </w:r>
      <w:r w:rsidR="008E023F" w:rsidRPr="00753869">
        <w:rPr>
          <w:rFonts w:ascii="Arial" w:hAnsi="Arial" w:cs="Arial"/>
          <w:vertAlign w:val="subscript"/>
          <w:lang w:val="en-US"/>
        </w:rPr>
        <w:t>2</w:t>
      </w:r>
      <w:r w:rsidR="008E023F" w:rsidRPr="009A5CBC">
        <w:rPr>
          <w:rFonts w:ascii="Arial" w:hAnsi="Arial" w:cs="Arial"/>
          <w:lang w:val="en-US"/>
        </w:rPr>
        <w:t>, elevated CO</w:t>
      </w:r>
      <w:r w:rsidR="008E023F" w:rsidRPr="00753869">
        <w:rPr>
          <w:rFonts w:ascii="Arial" w:hAnsi="Arial" w:cs="Arial"/>
          <w:vertAlign w:val="subscript"/>
          <w:lang w:val="en-US"/>
        </w:rPr>
        <w:t>2</w:t>
      </w:r>
      <w:r w:rsidR="008E023F" w:rsidRPr="009A5CBC">
        <w:rPr>
          <w:rFonts w:ascii="Arial" w:hAnsi="Arial" w:cs="Arial"/>
          <w:lang w:val="en-US"/>
        </w:rPr>
        <w:t xml:space="preserve"> conditions.</w:t>
      </w:r>
    </w:p>
    <w:p w14:paraId="12B34A49" w14:textId="6BD8074E" w:rsidR="008E023F" w:rsidRPr="009A5CBC" w:rsidRDefault="008E023F">
      <w:pPr>
        <w:rPr>
          <w:rFonts w:ascii="Arial" w:hAnsi="Arial" w:cs="Arial"/>
          <w:lang w:val="en-US"/>
        </w:rPr>
      </w:pPr>
    </w:p>
    <w:p w14:paraId="03359882" w14:textId="77777777" w:rsidR="008E023F" w:rsidRPr="009A5CBC" w:rsidRDefault="008E023F">
      <w:pPr>
        <w:rPr>
          <w:rFonts w:ascii="Arial" w:hAnsi="Arial" w:cs="Arial"/>
          <w:lang w:val="en-US"/>
        </w:rPr>
      </w:pPr>
    </w:p>
    <w:p w14:paraId="3A28595E" w14:textId="45E0ACE2" w:rsidR="008E023F" w:rsidRPr="009A5CBC" w:rsidRDefault="008E023F">
      <w:pPr>
        <w:rPr>
          <w:rFonts w:ascii="Arial" w:hAnsi="Arial" w:cs="Arial"/>
          <w:lang w:val="en-US"/>
        </w:rPr>
      </w:pPr>
    </w:p>
    <w:p w14:paraId="38F93016" w14:textId="4247497A" w:rsidR="008E023F" w:rsidRPr="009A5CBC" w:rsidRDefault="008E023F">
      <w:pPr>
        <w:rPr>
          <w:rFonts w:ascii="Arial" w:hAnsi="Arial" w:cs="Arial"/>
          <w:lang w:val="en-US"/>
        </w:rPr>
      </w:pPr>
    </w:p>
    <w:p w14:paraId="4AB68AAB" w14:textId="77777777" w:rsidR="008E023F" w:rsidRPr="009A5CBC" w:rsidRDefault="008E023F">
      <w:pPr>
        <w:rPr>
          <w:rFonts w:ascii="Arial" w:hAnsi="Arial" w:cs="Arial"/>
          <w:lang w:val="en-US"/>
        </w:rPr>
      </w:pPr>
    </w:p>
    <w:p w14:paraId="57F29152" w14:textId="77777777" w:rsidR="008E023F" w:rsidRPr="009A5CBC" w:rsidRDefault="008E023F">
      <w:pPr>
        <w:rPr>
          <w:rFonts w:ascii="Arial" w:hAnsi="Arial" w:cs="Arial"/>
          <w:lang w:val="en-US"/>
        </w:rPr>
      </w:pPr>
    </w:p>
    <w:p w14:paraId="0FBDD068" w14:textId="77777777" w:rsidR="008E023F" w:rsidRPr="009A5CBC" w:rsidRDefault="008E023F">
      <w:pPr>
        <w:rPr>
          <w:rFonts w:ascii="Arial" w:hAnsi="Arial" w:cs="Arial"/>
          <w:lang w:val="en-US"/>
        </w:rPr>
      </w:pPr>
    </w:p>
    <w:p w14:paraId="7FF0E28B" w14:textId="77777777" w:rsidR="008E023F" w:rsidRPr="009A5CBC" w:rsidRDefault="008E023F">
      <w:pPr>
        <w:rPr>
          <w:rFonts w:ascii="Arial" w:hAnsi="Arial" w:cs="Arial"/>
          <w:lang w:val="en-US"/>
        </w:rPr>
      </w:pPr>
    </w:p>
    <w:p w14:paraId="2557AB55" w14:textId="77777777" w:rsidR="00DA76D7" w:rsidRDefault="00DA76D7" w:rsidP="00DA76D7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2F54AAB4" w14:textId="77777777" w:rsidR="00DA76D7" w:rsidRDefault="00DA76D7" w:rsidP="00DA76D7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E259886" w14:textId="1FC61AFB" w:rsidR="00DA76D7" w:rsidRDefault="00DA76D7" w:rsidP="00DA76D7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359446A" w14:textId="23F92C3C" w:rsidR="00DA76D7" w:rsidRDefault="00DA76D7" w:rsidP="00DA76D7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2A27A62" w14:textId="589DC573" w:rsidR="00DA76D7" w:rsidRDefault="00DA76D7" w:rsidP="00DA76D7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4373EE0" w14:textId="379F1F4F" w:rsidR="00DA76D7" w:rsidRPr="009A5CBC" w:rsidRDefault="00DA76D7" w:rsidP="00DA76D7">
      <w:pPr>
        <w:jc w:val="both"/>
        <w:rPr>
          <w:rFonts w:ascii="Arial" w:hAnsi="Arial" w:cs="Arial"/>
          <w:sz w:val="24"/>
          <w:szCs w:val="24"/>
          <w:lang w:val="en-US"/>
        </w:rPr>
      </w:pPr>
      <w:r w:rsidRPr="009A5CBC">
        <w:rPr>
          <w:rFonts w:ascii="Arial" w:hAnsi="Arial" w:cs="Arial"/>
          <w:b/>
          <w:sz w:val="24"/>
          <w:szCs w:val="24"/>
          <w:lang w:val="en-US"/>
        </w:rPr>
        <w:lastRenderedPageBreak/>
        <w:t>Tab S4.</w:t>
      </w:r>
      <w:r w:rsidRPr="009A5CBC">
        <w:rPr>
          <w:rFonts w:ascii="Arial" w:hAnsi="Arial" w:cs="Arial"/>
          <w:sz w:val="24"/>
          <w:szCs w:val="24"/>
          <w:lang w:val="en-US"/>
        </w:rPr>
        <w:t xml:space="preserve"> Beta diversity p-values of Permutational Multivariate Analysis of Variance Using Distance Matrices of predicted functional metagenome from Gi-FACE’s rhizosphere and bulk soils, calculated based on Aitchison community dissimilarity distance matrix.</w:t>
      </w:r>
    </w:p>
    <w:tbl>
      <w:tblPr>
        <w:tblStyle w:val="Gitternetztabelle1hell"/>
        <w:tblW w:w="1018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559"/>
        <w:gridCol w:w="1427"/>
        <w:gridCol w:w="1438"/>
        <w:gridCol w:w="1671"/>
        <w:gridCol w:w="1394"/>
      </w:tblGrid>
      <w:tr w:rsidR="00DA76D7" w:rsidRPr="009A5CBC" w14:paraId="7E7A23D8" w14:textId="77777777" w:rsidTr="00EE0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noWrap/>
            <w:hideMark/>
          </w:tcPr>
          <w:p w14:paraId="5673BFC3" w14:textId="77777777" w:rsidR="00DA76D7" w:rsidRPr="009A5CBC" w:rsidRDefault="00DA76D7" w:rsidP="00EE0F04">
            <w:pPr>
              <w:jc w:val="center"/>
              <w:textAlignment w:val="center"/>
              <w:rPr>
                <w:rFonts w:ascii="Arial" w:eastAsia="Times New Roman" w:hAnsi="Arial" w:cs="Arial"/>
                <w:bCs w:val="0"/>
                <w:color w:val="000000"/>
                <w:kern w:val="24"/>
                <w:sz w:val="20"/>
                <w:szCs w:val="20"/>
                <w:lang w:val="en-US"/>
              </w:rPr>
            </w:pPr>
            <w:r w:rsidRPr="009A5CBC">
              <w:rPr>
                <w:rFonts w:ascii="Arial" w:eastAsia="Times New Roman" w:hAnsi="Arial" w:cs="Arial"/>
                <w:bCs w:val="0"/>
                <w:color w:val="000000"/>
                <w:kern w:val="24"/>
                <w:sz w:val="20"/>
                <w:szCs w:val="20"/>
                <w:lang w:val="en-US"/>
              </w:rPr>
              <w:t>Factor</w:t>
            </w:r>
          </w:p>
        </w:tc>
        <w:tc>
          <w:tcPr>
            <w:tcW w:w="4404" w:type="dxa"/>
            <w:gridSpan w:val="3"/>
            <w:noWrap/>
            <w:hideMark/>
          </w:tcPr>
          <w:p w14:paraId="31907202" w14:textId="77777777" w:rsidR="00DA76D7" w:rsidRPr="009A5CBC" w:rsidRDefault="00DA76D7" w:rsidP="00EE0F04">
            <w:pPr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/>
              </w:rPr>
            </w:pPr>
            <w:r w:rsidRPr="009A5CBC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/>
              </w:rPr>
              <w:t>Rhizosphere soil</w:t>
            </w:r>
          </w:p>
        </w:tc>
        <w:tc>
          <w:tcPr>
            <w:tcW w:w="4503" w:type="dxa"/>
            <w:gridSpan w:val="3"/>
            <w:noWrap/>
          </w:tcPr>
          <w:p w14:paraId="0D728C39" w14:textId="77777777" w:rsidR="00DA76D7" w:rsidRPr="009A5CBC" w:rsidRDefault="00DA76D7" w:rsidP="00EE0F04">
            <w:pPr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/>
              </w:rPr>
            </w:pPr>
            <w:r w:rsidRPr="009A5CBC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/>
              </w:rPr>
              <w:t>Bulk soil</w:t>
            </w:r>
          </w:p>
        </w:tc>
      </w:tr>
      <w:tr w:rsidR="00DA76D7" w:rsidRPr="009A5CBC" w14:paraId="21B764B5" w14:textId="77777777" w:rsidTr="00B266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</w:tcPr>
          <w:p w14:paraId="2EBE1E10" w14:textId="77777777" w:rsidR="00DA76D7" w:rsidRPr="009A5CBC" w:rsidRDefault="00DA76D7" w:rsidP="00EE0F04">
            <w:pPr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4E942ABF" w14:textId="77777777" w:rsidR="00DA76D7" w:rsidRPr="009A5CBC" w:rsidRDefault="00DA76D7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9A5CBC">
              <w:rPr>
                <w:rFonts w:ascii="Arial" w:hAnsi="Arial" w:cs="Arial"/>
                <w:sz w:val="20"/>
                <w:szCs w:val="20"/>
                <w:lang w:val="en-US"/>
              </w:rPr>
              <w:t>EC number</w:t>
            </w:r>
          </w:p>
        </w:tc>
        <w:tc>
          <w:tcPr>
            <w:tcW w:w="1559" w:type="dxa"/>
          </w:tcPr>
          <w:p w14:paraId="2538C08C" w14:textId="77777777" w:rsidR="00DA76D7" w:rsidRPr="009A5CBC" w:rsidRDefault="00DA76D7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9A5CBC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>KEGG Orthology</w:t>
            </w:r>
          </w:p>
        </w:tc>
        <w:tc>
          <w:tcPr>
            <w:tcW w:w="1427" w:type="dxa"/>
          </w:tcPr>
          <w:p w14:paraId="0D3F8890" w14:textId="77777777" w:rsidR="00DA76D7" w:rsidRDefault="00DA76D7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03B7">
              <w:rPr>
                <w:rFonts w:ascii="Arial" w:hAnsi="Arial" w:cs="Arial"/>
                <w:sz w:val="20"/>
                <w:szCs w:val="20"/>
                <w:lang w:val="en-US"/>
              </w:rPr>
              <w:t>MetaCyc</w:t>
            </w:r>
          </w:p>
          <w:p w14:paraId="5966BDA6" w14:textId="77777777" w:rsidR="00DA76D7" w:rsidRPr="009A5CBC" w:rsidRDefault="00DA76D7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Pathway</w:t>
            </w:r>
          </w:p>
        </w:tc>
        <w:tc>
          <w:tcPr>
            <w:tcW w:w="1438" w:type="dxa"/>
          </w:tcPr>
          <w:p w14:paraId="55867221" w14:textId="77777777" w:rsidR="00DA76D7" w:rsidRPr="009A5CBC" w:rsidRDefault="00DA76D7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9A5CBC">
              <w:rPr>
                <w:rFonts w:ascii="Arial" w:hAnsi="Arial" w:cs="Arial"/>
                <w:sz w:val="20"/>
                <w:szCs w:val="20"/>
                <w:lang w:val="en-US"/>
              </w:rPr>
              <w:t>EC number</w:t>
            </w:r>
          </w:p>
        </w:tc>
        <w:tc>
          <w:tcPr>
            <w:tcW w:w="1671" w:type="dxa"/>
          </w:tcPr>
          <w:p w14:paraId="21D53A40" w14:textId="77777777" w:rsidR="00DA76D7" w:rsidRPr="009A5CBC" w:rsidRDefault="00DA76D7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9A5CBC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>KEGG Orthology</w:t>
            </w:r>
          </w:p>
        </w:tc>
        <w:tc>
          <w:tcPr>
            <w:tcW w:w="1394" w:type="dxa"/>
          </w:tcPr>
          <w:p w14:paraId="0C287010" w14:textId="77777777" w:rsidR="00DA76D7" w:rsidRDefault="00DA76D7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03B7">
              <w:rPr>
                <w:rFonts w:ascii="Arial" w:hAnsi="Arial" w:cs="Arial"/>
                <w:sz w:val="20"/>
                <w:szCs w:val="20"/>
                <w:lang w:val="en-US"/>
              </w:rPr>
              <w:t>MetaCyc</w:t>
            </w:r>
          </w:p>
          <w:p w14:paraId="065FBBE1" w14:textId="77777777" w:rsidR="00DA76D7" w:rsidRPr="009A5CBC" w:rsidRDefault="00DA76D7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Pathway</w:t>
            </w:r>
          </w:p>
        </w:tc>
      </w:tr>
      <w:tr w:rsidR="00DA76D7" w:rsidRPr="009A5CBC" w14:paraId="32B1E4FD" w14:textId="77777777" w:rsidTr="00B26686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39F2F8D" w14:textId="77777777" w:rsidR="00DA76D7" w:rsidRPr="009A5CBC" w:rsidRDefault="00DA76D7" w:rsidP="00EE0F04">
            <w:pPr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/>
              </w:rPr>
              <w:t>Block</w:t>
            </w:r>
          </w:p>
        </w:tc>
        <w:tc>
          <w:tcPr>
            <w:tcW w:w="1418" w:type="dxa"/>
          </w:tcPr>
          <w:p w14:paraId="5CEFE5C0" w14:textId="304C20E8" w:rsidR="00DA76D7" w:rsidRPr="009A5CBC" w:rsidRDefault="00C66A93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>0.005</w:t>
            </w:r>
            <w:r w:rsidR="00DA76D7" w:rsidRPr="009A5CBC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 xml:space="preserve"> **</w:t>
            </w:r>
          </w:p>
        </w:tc>
        <w:tc>
          <w:tcPr>
            <w:tcW w:w="1559" w:type="dxa"/>
          </w:tcPr>
          <w:p w14:paraId="7A4DD30F" w14:textId="7755E5F7" w:rsidR="00DA76D7" w:rsidRPr="009A5CBC" w:rsidRDefault="00C66A93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>0.019 *</w:t>
            </w:r>
          </w:p>
        </w:tc>
        <w:tc>
          <w:tcPr>
            <w:tcW w:w="1427" w:type="dxa"/>
          </w:tcPr>
          <w:p w14:paraId="16A6DE43" w14:textId="411F5482" w:rsidR="00DA76D7" w:rsidRPr="009A5CBC" w:rsidRDefault="00C66A93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C66A93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>0.022 *</w:t>
            </w:r>
          </w:p>
        </w:tc>
        <w:tc>
          <w:tcPr>
            <w:tcW w:w="1438" w:type="dxa"/>
          </w:tcPr>
          <w:p w14:paraId="1AA974E7" w14:textId="08C484A4" w:rsidR="00DA76D7" w:rsidRPr="009A5CBC" w:rsidRDefault="00C66A93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>0.197</w:t>
            </w:r>
          </w:p>
        </w:tc>
        <w:tc>
          <w:tcPr>
            <w:tcW w:w="1671" w:type="dxa"/>
          </w:tcPr>
          <w:p w14:paraId="71F67D1C" w14:textId="011D1C21" w:rsidR="00DA76D7" w:rsidRPr="009A5CBC" w:rsidRDefault="00C66A93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>0.179</w:t>
            </w:r>
          </w:p>
        </w:tc>
        <w:tc>
          <w:tcPr>
            <w:tcW w:w="1394" w:type="dxa"/>
          </w:tcPr>
          <w:p w14:paraId="182A880C" w14:textId="0DFE4B25" w:rsidR="00DA76D7" w:rsidRPr="009A5CBC" w:rsidRDefault="00C66A93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C66A93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>0.317</w:t>
            </w:r>
          </w:p>
        </w:tc>
      </w:tr>
      <w:tr w:rsidR="00DA76D7" w:rsidRPr="009A5CBC" w14:paraId="2024E902" w14:textId="77777777" w:rsidTr="00B2668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DAA9353" w14:textId="77777777" w:rsidR="00DA76D7" w:rsidRPr="009A5CBC" w:rsidRDefault="00DA76D7" w:rsidP="00EE0F04">
            <w:pPr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/>
              </w:rPr>
            </w:pPr>
            <w:r w:rsidRPr="009A5CBC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/>
              </w:rPr>
              <w:t>Ring</w:t>
            </w:r>
          </w:p>
        </w:tc>
        <w:tc>
          <w:tcPr>
            <w:tcW w:w="1418" w:type="dxa"/>
          </w:tcPr>
          <w:p w14:paraId="43E2DA0D" w14:textId="77777777" w:rsidR="00DA76D7" w:rsidRPr="009A5CBC" w:rsidRDefault="00DA76D7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9A5CBC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>0.001 ***</w:t>
            </w:r>
          </w:p>
        </w:tc>
        <w:tc>
          <w:tcPr>
            <w:tcW w:w="1559" w:type="dxa"/>
          </w:tcPr>
          <w:p w14:paraId="70D40B26" w14:textId="087DC3D5" w:rsidR="00DA76D7" w:rsidRPr="009A5CBC" w:rsidRDefault="00C66A93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>0.002 **</w:t>
            </w:r>
          </w:p>
        </w:tc>
        <w:tc>
          <w:tcPr>
            <w:tcW w:w="1427" w:type="dxa"/>
          </w:tcPr>
          <w:p w14:paraId="11BC9643" w14:textId="54C757DB" w:rsidR="00DA76D7" w:rsidRPr="009A5CBC" w:rsidRDefault="00C66A93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C66A93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>0.005 **</w:t>
            </w:r>
          </w:p>
        </w:tc>
        <w:tc>
          <w:tcPr>
            <w:tcW w:w="1438" w:type="dxa"/>
          </w:tcPr>
          <w:p w14:paraId="0ADD39B9" w14:textId="3AC10F72" w:rsidR="00DA76D7" w:rsidRPr="009A5CBC" w:rsidRDefault="00C66A93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>0.011 *</w:t>
            </w:r>
          </w:p>
        </w:tc>
        <w:tc>
          <w:tcPr>
            <w:tcW w:w="1671" w:type="dxa"/>
          </w:tcPr>
          <w:p w14:paraId="63FC1638" w14:textId="0E72B44D" w:rsidR="00DA76D7" w:rsidRPr="009A5CBC" w:rsidRDefault="00C66A93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>0.05 *</w:t>
            </w:r>
          </w:p>
        </w:tc>
        <w:tc>
          <w:tcPr>
            <w:tcW w:w="1394" w:type="dxa"/>
          </w:tcPr>
          <w:p w14:paraId="58ED3C08" w14:textId="21BE98CE" w:rsidR="00DA76D7" w:rsidRPr="009A5CBC" w:rsidRDefault="00C66A93" w:rsidP="00EE0F04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C66A93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val="en-US"/>
              </w:rPr>
              <w:t>0.342</w:t>
            </w:r>
          </w:p>
        </w:tc>
      </w:tr>
    </w:tbl>
    <w:p w14:paraId="31F8801D" w14:textId="3F80BE39" w:rsidR="00DA76D7" w:rsidRPr="009A5CBC" w:rsidRDefault="00DA76D7" w:rsidP="00DA76D7">
      <w:pPr>
        <w:rPr>
          <w:rFonts w:ascii="Arial" w:hAnsi="Arial" w:cs="Arial"/>
          <w:lang w:val="en-US"/>
        </w:rPr>
      </w:pPr>
      <w:r w:rsidRPr="009A5CBC">
        <w:rPr>
          <w:rFonts w:ascii="Arial" w:hAnsi="Arial" w:cs="Arial"/>
          <w:lang w:val="en-US"/>
        </w:rPr>
        <w:t xml:space="preserve">Significance codes:  0.0001 ‘***’ , 0.001 ‘**’ , 0.01 ‘*’ , 0.05 ‘.’. </w:t>
      </w:r>
    </w:p>
    <w:p w14:paraId="572FFA9C" w14:textId="7C719359" w:rsidR="008E023F" w:rsidRPr="009A5CBC" w:rsidRDefault="00C84199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400EC7F0" wp14:editId="108F29F3">
            <wp:simplePos x="0" y="0"/>
            <wp:positionH relativeFrom="column">
              <wp:posOffset>-507129</wp:posOffset>
            </wp:positionH>
            <wp:positionV relativeFrom="paragraph">
              <wp:posOffset>139345</wp:posOffset>
            </wp:positionV>
            <wp:extent cx="4217670" cy="5987415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670" cy="598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E2649" w14:textId="42E01E3B" w:rsidR="008E023F" w:rsidRPr="009A5CBC" w:rsidRDefault="008E023F">
      <w:pPr>
        <w:rPr>
          <w:rFonts w:ascii="Arial" w:hAnsi="Arial" w:cs="Arial"/>
          <w:lang w:val="en-US"/>
        </w:rPr>
      </w:pPr>
    </w:p>
    <w:p w14:paraId="08B10F47" w14:textId="43107B8A" w:rsidR="008E023F" w:rsidRPr="00B26686" w:rsidRDefault="005D6C08" w:rsidP="003A0029">
      <w:pPr>
        <w:jc w:val="both"/>
        <w:rPr>
          <w:rFonts w:ascii="Arial" w:hAnsi="Arial" w:cs="Arial"/>
          <w:lang w:val="en-US"/>
        </w:rPr>
      </w:pPr>
      <w:r w:rsidRPr="00B26686">
        <w:rPr>
          <w:rFonts w:ascii="Arial" w:hAnsi="Arial" w:cs="Arial"/>
          <w:b/>
          <w:lang w:val="en-US"/>
        </w:rPr>
        <w:t>Figure S4.2</w:t>
      </w:r>
      <w:r w:rsidR="008E023F" w:rsidRPr="00B26686">
        <w:rPr>
          <w:rFonts w:ascii="Arial" w:hAnsi="Arial" w:cs="Arial"/>
          <w:b/>
          <w:lang w:val="en-US"/>
        </w:rPr>
        <w:t>.</w:t>
      </w:r>
      <w:r w:rsidR="008E023F" w:rsidRPr="00B26686">
        <w:rPr>
          <w:rFonts w:ascii="Arial" w:hAnsi="Arial" w:cs="Arial"/>
          <w:lang w:val="en-US"/>
        </w:rPr>
        <w:t xml:space="preserve"> Principal Components Analysis (PCA) of KEGG Orthology (KO) for molecular functions predicted metagenome, calculated based on Aitchison community dissimilarity distance matrix of (a) rhizosphere soils from ambient and elevated CO</w:t>
      </w:r>
      <w:r w:rsidR="008E023F" w:rsidRPr="00B26686">
        <w:rPr>
          <w:rFonts w:ascii="Arial" w:hAnsi="Arial" w:cs="Arial"/>
          <w:vertAlign w:val="subscript"/>
          <w:lang w:val="en-US"/>
        </w:rPr>
        <w:t>2</w:t>
      </w:r>
      <w:r w:rsidR="008E023F" w:rsidRPr="00B26686">
        <w:rPr>
          <w:rFonts w:ascii="Arial" w:hAnsi="Arial" w:cs="Arial"/>
          <w:lang w:val="en-US"/>
        </w:rPr>
        <w:t xml:space="preserve"> rings and (b) bulk soils from ambient and elevated CO</w:t>
      </w:r>
      <w:r w:rsidR="008E023F" w:rsidRPr="00B26686">
        <w:rPr>
          <w:rFonts w:ascii="Arial" w:hAnsi="Arial" w:cs="Arial"/>
          <w:vertAlign w:val="subscript"/>
          <w:lang w:val="en-US"/>
        </w:rPr>
        <w:t>2</w:t>
      </w:r>
      <w:r w:rsidR="008E023F" w:rsidRPr="00B26686">
        <w:rPr>
          <w:rFonts w:ascii="Arial" w:hAnsi="Arial" w:cs="Arial"/>
          <w:lang w:val="en-US"/>
        </w:rPr>
        <w:t xml:space="preserve"> rings. A, ambient CO</w:t>
      </w:r>
      <w:r w:rsidR="008E023F" w:rsidRPr="00B26686">
        <w:rPr>
          <w:rFonts w:ascii="Arial" w:hAnsi="Arial" w:cs="Arial"/>
          <w:vertAlign w:val="subscript"/>
          <w:lang w:val="en-US"/>
        </w:rPr>
        <w:t>2</w:t>
      </w:r>
      <w:r w:rsidR="008E023F" w:rsidRPr="00B26686">
        <w:rPr>
          <w:rFonts w:ascii="Arial" w:hAnsi="Arial" w:cs="Arial"/>
          <w:lang w:val="en-US"/>
        </w:rPr>
        <w:t xml:space="preserve"> rings; E, elevated CO</w:t>
      </w:r>
      <w:r w:rsidR="008E023F" w:rsidRPr="00B26686">
        <w:rPr>
          <w:rFonts w:ascii="Arial" w:hAnsi="Arial" w:cs="Arial"/>
          <w:vertAlign w:val="subscript"/>
          <w:lang w:val="en-US"/>
        </w:rPr>
        <w:t>2</w:t>
      </w:r>
      <w:r w:rsidR="008E023F" w:rsidRPr="00B26686">
        <w:rPr>
          <w:rFonts w:ascii="Arial" w:hAnsi="Arial" w:cs="Arial"/>
          <w:lang w:val="en-US"/>
        </w:rPr>
        <w:t xml:space="preserve"> rings; aCO</w:t>
      </w:r>
      <w:r w:rsidR="008E023F" w:rsidRPr="00B26686">
        <w:rPr>
          <w:rFonts w:ascii="Arial" w:hAnsi="Arial" w:cs="Arial"/>
          <w:vertAlign w:val="subscript"/>
          <w:lang w:val="en-US"/>
        </w:rPr>
        <w:t>2</w:t>
      </w:r>
      <w:r w:rsidR="008E023F" w:rsidRPr="00B26686">
        <w:rPr>
          <w:rFonts w:ascii="Arial" w:hAnsi="Arial" w:cs="Arial"/>
          <w:lang w:val="en-US"/>
        </w:rPr>
        <w:t>, ambient CO</w:t>
      </w:r>
      <w:r w:rsidR="008E023F" w:rsidRPr="00B26686">
        <w:rPr>
          <w:rFonts w:ascii="Arial" w:hAnsi="Arial" w:cs="Arial"/>
          <w:vertAlign w:val="subscript"/>
          <w:lang w:val="en-US"/>
        </w:rPr>
        <w:t>2</w:t>
      </w:r>
      <w:r w:rsidR="008E023F" w:rsidRPr="00B26686">
        <w:rPr>
          <w:rFonts w:ascii="Arial" w:hAnsi="Arial" w:cs="Arial"/>
          <w:lang w:val="en-US"/>
        </w:rPr>
        <w:t xml:space="preserve"> conditions; eCO</w:t>
      </w:r>
      <w:r w:rsidR="008E023F" w:rsidRPr="00B26686">
        <w:rPr>
          <w:rFonts w:ascii="Arial" w:hAnsi="Arial" w:cs="Arial"/>
          <w:vertAlign w:val="subscript"/>
          <w:lang w:val="en-US"/>
        </w:rPr>
        <w:t>2</w:t>
      </w:r>
      <w:r w:rsidR="008E023F" w:rsidRPr="00B26686">
        <w:rPr>
          <w:rFonts w:ascii="Arial" w:hAnsi="Arial" w:cs="Arial"/>
          <w:lang w:val="en-US"/>
        </w:rPr>
        <w:t>, elevated CO</w:t>
      </w:r>
      <w:r w:rsidR="008E023F" w:rsidRPr="00B26686">
        <w:rPr>
          <w:rFonts w:ascii="Arial" w:hAnsi="Arial" w:cs="Arial"/>
          <w:vertAlign w:val="subscript"/>
          <w:lang w:val="en-US"/>
        </w:rPr>
        <w:t>2</w:t>
      </w:r>
      <w:r w:rsidR="008E023F" w:rsidRPr="00B26686">
        <w:rPr>
          <w:rFonts w:ascii="Arial" w:hAnsi="Arial" w:cs="Arial"/>
          <w:lang w:val="en-US"/>
        </w:rPr>
        <w:t xml:space="preserve"> conditions.</w:t>
      </w:r>
    </w:p>
    <w:p w14:paraId="53D9615E" w14:textId="095AFFF0" w:rsidR="003C03B7" w:rsidRDefault="003C03B7" w:rsidP="008E023F">
      <w:pPr>
        <w:rPr>
          <w:rFonts w:ascii="Arial" w:hAnsi="Arial" w:cs="Arial"/>
          <w:lang w:val="en-US"/>
        </w:rPr>
      </w:pPr>
    </w:p>
    <w:p w14:paraId="5579347B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25DF2AA7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7D740595" w14:textId="3F4B7A4E" w:rsidR="003C03B7" w:rsidRDefault="003C03B7" w:rsidP="008E023F">
      <w:pPr>
        <w:rPr>
          <w:rFonts w:ascii="Arial" w:hAnsi="Arial" w:cs="Arial"/>
          <w:lang w:val="en-US"/>
        </w:rPr>
      </w:pPr>
    </w:p>
    <w:p w14:paraId="670718D1" w14:textId="57109860" w:rsidR="003C03B7" w:rsidRDefault="003C03B7" w:rsidP="008E023F">
      <w:pPr>
        <w:rPr>
          <w:rFonts w:ascii="Arial" w:hAnsi="Arial" w:cs="Arial"/>
          <w:lang w:val="en-US"/>
        </w:rPr>
      </w:pPr>
    </w:p>
    <w:p w14:paraId="164FF527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147C89E0" w14:textId="511E78BA" w:rsidR="003C03B7" w:rsidRDefault="003C03B7" w:rsidP="008E023F">
      <w:pPr>
        <w:rPr>
          <w:rFonts w:ascii="Arial" w:hAnsi="Arial" w:cs="Arial"/>
          <w:lang w:val="en-US"/>
        </w:rPr>
      </w:pPr>
    </w:p>
    <w:p w14:paraId="08C20C67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17627D79" w14:textId="3FE10C49" w:rsidR="003C03B7" w:rsidRDefault="003C03B7" w:rsidP="008E023F">
      <w:pPr>
        <w:rPr>
          <w:rFonts w:ascii="Arial" w:hAnsi="Arial" w:cs="Arial"/>
          <w:lang w:val="en-US"/>
        </w:rPr>
      </w:pPr>
    </w:p>
    <w:p w14:paraId="38744B52" w14:textId="7FC31942" w:rsidR="003C03B7" w:rsidRDefault="003C03B7" w:rsidP="008E023F">
      <w:pPr>
        <w:rPr>
          <w:rFonts w:ascii="Arial" w:hAnsi="Arial" w:cs="Arial"/>
          <w:lang w:val="en-US"/>
        </w:rPr>
      </w:pPr>
    </w:p>
    <w:p w14:paraId="47C5BC49" w14:textId="007B1BD7" w:rsidR="003C03B7" w:rsidRDefault="003C03B7" w:rsidP="008E023F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de-DE"/>
        </w:rPr>
        <w:lastRenderedPageBreak/>
        <w:drawing>
          <wp:anchor distT="0" distB="0" distL="114300" distR="114300" simplePos="0" relativeHeight="251662336" behindDoc="0" locked="0" layoutInCell="1" allowOverlap="1" wp14:anchorId="01A797A3" wp14:editId="2881BEFB">
            <wp:simplePos x="0" y="0"/>
            <wp:positionH relativeFrom="column">
              <wp:posOffset>-464185</wp:posOffset>
            </wp:positionH>
            <wp:positionV relativeFrom="paragraph">
              <wp:posOffset>0</wp:posOffset>
            </wp:positionV>
            <wp:extent cx="4403725" cy="6172200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25" cy="617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81AC83" w14:textId="4F736D8B" w:rsidR="003C03B7" w:rsidRDefault="003C03B7" w:rsidP="003A0029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Figure S4.3</w:t>
      </w:r>
      <w:r w:rsidRPr="009A5CBC">
        <w:rPr>
          <w:rFonts w:ascii="Arial" w:hAnsi="Arial" w:cs="Arial"/>
          <w:b/>
          <w:lang w:val="en-US"/>
        </w:rPr>
        <w:t>.</w:t>
      </w:r>
      <w:r w:rsidRPr="009A5CBC">
        <w:rPr>
          <w:rFonts w:ascii="Arial" w:hAnsi="Arial" w:cs="Arial"/>
          <w:lang w:val="en-US"/>
        </w:rPr>
        <w:t xml:space="preserve"> Principal Components Analysis (PCA) of </w:t>
      </w:r>
      <w:r w:rsidRPr="003C03B7">
        <w:rPr>
          <w:rFonts w:ascii="Arial" w:hAnsi="Arial" w:cs="Arial"/>
          <w:sz w:val="24"/>
          <w:lang w:val="en-US"/>
        </w:rPr>
        <w:t>MetaCyc</w:t>
      </w:r>
      <w:r w:rsidRPr="009A5CBC">
        <w:rPr>
          <w:rFonts w:ascii="Arial" w:hAnsi="Arial" w:cs="Arial"/>
          <w:lang w:val="en-US"/>
        </w:rPr>
        <w:t xml:space="preserve"> </w:t>
      </w:r>
      <w:r w:rsidRPr="003C03B7">
        <w:rPr>
          <w:rFonts w:ascii="Arial" w:hAnsi="Arial" w:cs="Arial"/>
          <w:lang w:val="en-US"/>
        </w:rPr>
        <w:t>Metabolic Pathway</w:t>
      </w:r>
      <w:r>
        <w:rPr>
          <w:rFonts w:ascii="Arial" w:hAnsi="Arial" w:cs="Arial"/>
          <w:lang w:val="en-US"/>
        </w:rPr>
        <w:t xml:space="preserve">s of the </w:t>
      </w:r>
      <w:r w:rsidRPr="003C03B7">
        <w:rPr>
          <w:rFonts w:ascii="Arial" w:hAnsi="Arial" w:cs="Arial"/>
          <w:lang w:val="en-US"/>
        </w:rPr>
        <w:t xml:space="preserve"> </w:t>
      </w:r>
      <w:r w:rsidRPr="009A5CBC">
        <w:rPr>
          <w:rFonts w:ascii="Arial" w:hAnsi="Arial" w:cs="Arial"/>
          <w:lang w:val="en-US"/>
        </w:rPr>
        <w:t>predicted metagenome, calculated based on Aitchison community dissimilarity distance matrix of (a) rhizosphere soils from ambient and elevated CO</w:t>
      </w:r>
      <w:r w:rsidRPr="00753869">
        <w:rPr>
          <w:rFonts w:ascii="Arial" w:hAnsi="Arial" w:cs="Arial"/>
          <w:vertAlign w:val="subscript"/>
          <w:lang w:val="en-US"/>
        </w:rPr>
        <w:t>2</w:t>
      </w:r>
      <w:r w:rsidRPr="009A5CBC">
        <w:rPr>
          <w:rFonts w:ascii="Arial" w:hAnsi="Arial" w:cs="Arial"/>
          <w:lang w:val="en-US"/>
        </w:rPr>
        <w:t xml:space="preserve"> rings and (b) bulk soils from ambient and elevated CO</w:t>
      </w:r>
      <w:r w:rsidRPr="00753869">
        <w:rPr>
          <w:rFonts w:ascii="Arial" w:hAnsi="Arial" w:cs="Arial"/>
          <w:vertAlign w:val="subscript"/>
          <w:lang w:val="en-US"/>
        </w:rPr>
        <w:t>2</w:t>
      </w:r>
      <w:r w:rsidRPr="009A5CBC">
        <w:rPr>
          <w:rFonts w:ascii="Arial" w:hAnsi="Arial" w:cs="Arial"/>
          <w:lang w:val="en-US"/>
        </w:rPr>
        <w:t xml:space="preserve"> rings. A, ambient CO</w:t>
      </w:r>
      <w:r w:rsidRPr="00753869">
        <w:rPr>
          <w:rFonts w:ascii="Arial" w:hAnsi="Arial" w:cs="Arial"/>
          <w:vertAlign w:val="subscript"/>
          <w:lang w:val="en-US"/>
        </w:rPr>
        <w:t>2</w:t>
      </w:r>
      <w:r w:rsidRPr="009A5CBC">
        <w:rPr>
          <w:rFonts w:ascii="Arial" w:hAnsi="Arial" w:cs="Arial"/>
          <w:lang w:val="en-US"/>
        </w:rPr>
        <w:t xml:space="preserve"> rings; E, elevated CO</w:t>
      </w:r>
      <w:r w:rsidRPr="00753869">
        <w:rPr>
          <w:rFonts w:ascii="Arial" w:hAnsi="Arial" w:cs="Arial"/>
          <w:vertAlign w:val="subscript"/>
          <w:lang w:val="en-US"/>
        </w:rPr>
        <w:t>2</w:t>
      </w:r>
      <w:r w:rsidRPr="009A5CBC">
        <w:rPr>
          <w:rFonts w:ascii="Arial" w:hAnsi="Arial" w:cs="Arial"/>
          <w:lang w:val="en-US"/>
        </w:rPr>
        <w:t xml:space="preserve"> rings; aCO</w:t>
      </w:r>
      <w:r w:rsidRPr="00753869">
        <w:rPr>
          <w:rFonts w:ascii="Arial" w:hAnsi="Arial" w:cs="Arial"/>
          <w:vertAlign w:val="subscript"/>
          <w:lang w:val="en-US"/>
        </w:rPr>
        <w:t>2</w:t>
      </w:r>
      <w:r w:rsidRPr="009A5CBC">
        <w:rPr>
          <w:rFonts w:ascii="Arial" w:hAnsi="Arial" w:cs="Arial"/>
          <w:lang w:val="en-US"/>
        </w:rPr>
        <w:t>, ambient CO</w:t>
      </w:r>
      <w:r w:rsidRPr="00753869">
        <w:rPr>
          <w:rFonts w:ascii="Arial" w:hAnsi="Arial" w:cs="Arial"/>
          <w:vertAlign w:val="subscript"/>
          <w:lang w:val="en-US"/>
        </w:rPr>
        <w:t>2</w:t>
      </w:r>
      <w:r w:rsidRPr="009A5CBC">
        <w:rPr>
          <w:rFonts w:ascii="Arial" w:hAnsi="Arial" w:cs="Arial"/>
          <w:lang w:val="en-US"/>
        </w:rPr>
        <w:t xml:space="preserve"> conditions; eCO</w:t>
      </w:r>
      <w:r w:rsidRPr="00753869">
        <w:rPr>
          <w:rFonts w:ascii="Arial" w:hAnsi="Arial" w:cs="Arial"/>
          <w:vertAlign w:val="subscript"/>
          <w:lang w:val="en-US"/>
        </w:rPr>
        <w:t>2</w:t>
      </w:r>
      <w:r w:rsidRPr="009A5CBC">
        <w:rPr>
          <w:rFonts w:ascii="Arial" w:hAnsi="Arial" w:cs="Arial"/>
          <w:lang w:val="en-US"/>
        </w:rPr>
        <w:t>, elevated CO</w:t>
      </w:r>
      <w:r w:rsidRPr="00753869">
        <w:rPr>
          <w:rFonts w:ascii="Arial" w:hAnsi="Arial" w:cs="Arial"/>
          <w:vertAlign w:val="subscript"/>
          <w:lang w:val="en-US"/>
        </w:rPr>
        <w:t>2</w:t>
      </w:r>
      <w:r w:rsidRPr="009A5CBC">
        <w:rPr>
          <w:rFonts w:ascii="Arial" w:hAnsi="Arial" w:cs="Arial"/>
          <w:lang w:val="en-US"/>
        </w:rPr>
        <w:t xml:space="preserve"> conditions.</w:t>
      </w:r>
    </w:p>
    <w:p w14:paraId="0B407B62" w14:textId="3B3C5357" w:rsidR="003C03B7" w:rsidRDefault="003C03B7" w:rsidP="008E023F">
      <w:pPr>
        <w:rPr>
          <w:rFonts w:ascii="Arial" w:hAnsi="Arial" w:cs="Arial"/>
          <w:lang w:val="en-US"/>
        </w:rPr>
      </w:pPr>
    </w:p>
    <w:p w14:paraId="43CA154D" w14:textId="2D2102A2" w:rsidR="003C03B7" w:rsidRDefault="003C03B7" w:rsidP="008E023F">
      <w:pPr>
        <w:rPr>
          <w:rFonts w:ascii="Arial" w:hAnsi="Arial" w:cs="Arial"/>
          <w:lang w:val="en-US"/>
        </w:rPr>
      </w:pPr>
    </w:p>
    <w:p w14:paraId="3A9FF561" w14:textId="3FF56B9C" w:rsidR="003C03B7" w:rsidRDefault="003C03B7" w:rsidP="008E023F">
      <w:pPr>
        <w:rPr>
          <w:rFonts w:ascii="Arial" w:hAnsi="Arial" w:cs="Arial"/>
          <w:lang w:val="en-US"/>
        </w:rPr>
      </w:pPr>
    </w:p>
    <w:p w14:paraId="25954BE1" w14:textId="7E6FFC0E" w:rsidR="003C03B7" w:rsidRDefault="003C03B7" w:rsidP="008E023F">
      <w:pPr>
        <w:rPr>
          <w:rFonts w:ascii="Arial" w:hAnsi="Arial" w:cs="Arial"/>
          <w:lang w:val="en-US"/>
        </w:rPr>
      </w:pPr>
    </w:p>
    <w:p w14:paraId="6B8CAEB5" w14:textId="753BF50B" w:rsidR="003C03B7" w:rsidRDefault="003C03B7" w:rsidP="008E023F">
      <w:pPr>
        <w:rPr>
          <w:rFonts w:ascii="Arial" w:hAnsi="Arial" w:cs="Arial"/>
          <w:lang w:val="en-US"/>
        </w:rPr>
      </w:pPr>
    </w:p>
    <w:p w14:paraId="0F1749E5" w14:textId="5E3686C1" w:rsidR="003C03B7" w:rsidRDefault="003C03B7" w:rsidP="008E023F">
      <w:pPr>
        <w:rPr>
          <w:rFonts w:ascii="Arial" w:hAnsi="Arial" w:cs="Arial"/>
          <w:lang w:val="en-US"/>
        </w:rPr>
      </w:pPr>
    </w:p>
    <w:p w14:paraId="0B7A9EA7" w14:textId="5A087B00" w:rsidR="003C03B7" w:rsidRDefault="003C03B7" w:rsidP="008E023F">
      <w:pPr>
        <w:rPr>
          <w:rFonts w:ascii="Arial" w:hAnsi="Arial" w:cs="Arial"/>
          <w:lang w:val="en-US"/>
        </w:rPr>
      </w:pPr>
    </w:p>
    <w:p w14:paraId="7A251294" w14:textId="2CC3B983" w:rsidR="003C03B7" w:rsidRDefault="003C03B7" w:rsidP="008E023F">
      <w:pPr>
        <w:rPr>
          <w:rFonts w:ascii="Arial" w:hAnsi="Arial" w:cs="Arial"/>
          <w:lang w:val="en-US"/>
        </w:rPr>
      </w:pPr>
    </w:p>
    <w:p w14:paraId="7B46B485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62883CCA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1F90EF92" w14:textId="24C99DF0" w:rsidR="003C03B7" w:rsidRDefault="003C03B7" w:rsidP="008E023F">
      <w:pPr>
        <w:rPr>
          <w:rFonts w:ascii="Arial" w:hAnsi="Arial" w:cs="Arial"/>
          <w:lang w:val="en-US"/>
        </w:rPr>
      </w:pPr>
    </w:p>
    <w:p w14:paraId="164373E1" w14:textId="263EA259" w:rsidR="003C03B7" w:rsidRDefault="003C03B7" w:rsidP="008E023F">
      <w:pPr>
        <w:rPr>
          <w:rFonts w:ascii="Arial" w:hAnsi="Arial" w:cs="Arial"/>
          <w:lang w:val="en-US"/>
        </w:rPr>
      </w:pPr>
    </w:p>
    <w:p w14:paraId="34C14F4A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770B8779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105912A3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442CBD6C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036BB9A5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56BDA783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44D02BC0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012B3274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713B4D7A" w14:textId="77777777" w:rsidR="003C03B7" w:rsidRDefault="003C03B7" w:rsidP="008E023F">
      <w:pPr>
        <w:rPr>
          <w:rFonts w:ascii="Arial" w:hAnsi="Arial" w:cs="Arial"/>
          <w:lang w:val="en-US"/>
        </w:rPr>
      </w:pPr>
    </w:p>
    <w:p w14:paraId="5622DAEF" w14:textId="77777777" w:rsidR="00785D73" w:rsidRDefault="00785D73" w:rsidP="008E023F">
      <w:pPr>
        <w:rPr>
          <w:rFonts w:ascii="Arial" w:hAnsi="Arial" w:cs="Arial"/>
          <w:lang w:val="en-US"/>
        </w:rPr>
        <w:sectPr w:rsidR="00785D73" w:rsidSect="003C03B7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0C7C933C" w14:textId="3CECABFC" w:rsidR="00F87814" w:rsidRPr="009A5CBC" w:rsidRDefault="00DA76D7" w:rsidP="00FC528D">
      <w:pPr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noProof/>
          <w:lang w:eastAsia="de-DE"/>
        </w:rPr>
        <w:lastRenderedPageBreak/>
        <w:drawing>
          <wp:anchor distT="0" distB="0" distL="114300" distR="114300" simplePos="0" relativeHeight="251663360" behindDoc="1" locked="0" layoutInCell="1" allowOverlap="1" wp14:anchorId="78AE8150" wp14:editId="74964E1D">
            <wp:simplePos x="0" y="0"/>
            <wp:positionH relativeFrom="column">
              <wp:posOffset>194310</wp:posOffset>
            </wp:positionH>
            <wp:positionV relativeFrom="paragraph">
              <wp:posOffset>132</wp:posOffset>
            </wp:positionV>
            <wp:extent cx="8650509" cy="6589442"/>
            <wp:effectExtent l="0" t="0" r="0" b="1905"/>
            <wp:wrapThrough wrapText="bothSides">
              <wp:wrapPolygon edited="0">
                <wp:start x="333" y="0"/>
                <wp:lineTo x="333" y="1062"/>
                <wp:lineTo x="95" y="1374"/>
                <wp:lineTo x="95" y="1624"/>
                <wp:lineTo x="333" y="2061"/>
                <wp:lineTo x="333" y="10428"/>
                <wp:lineTo x="7183" y="11053"/>
                <wp:lineTo x="333" y="11115"/>
                <wp:lineTo x="333" y="12052"/>
                <wp:lineTo x="95" y="12427"/>
                <wp:lineTo x="95" y="12614"/>
                <wp:lineTo x="333" y="13051"/>
                <wp:lineTo x="333" y="21544"/>
                <wp:lineTo x="11036" y="21544"/>
                <wp:lineTo x="10989" y="11178"/>
                <wp:lineTo x="10798" y="11053"/>
                <wp:lineTo x="21549" y="10428"/>
                <wp:lineTo x="21549" y="0"/>
                <wp:lineTo x="333" y="0"/>
              </wp:wrapPolygon>
            </wp:wrapThrough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0509" cy="6589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D73" w:rsidRPr="00785D73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3E9E22C" wp14:editId="587A0322">
                <wp:simplePos x="0" y="0"/>
                <wp:positionH relativeFrom="column">
                  <wp:posOffset>4653280</wp:posOffset>
                </wp:positionH>
                <wp:positionV relativeFrom="paragraph">
                  <wp:posOffset>3813175</wp:posOffset>
                </wp:positionV>
                <wp:extent cx="4189730" cy="1924335"/>
                <wp:effectExtent l="0" t="0" r="127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30" cy="192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9DC3B" w14:textId="284C2DC2" w:rsidR="00785D73" w:rsidRPr="009F1CDD" w:rsidRDefault="00785D73" w:rsidP="00785D73">
                            <w:pPr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9F1CDD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Figure S4.4.</w:t>
                            </w:r>
                            <w:r w:rsidRPr="009F1CDD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Differential abundances of predicted metagenome of rhizosphere soil under elevated and ambient CO</w:t>
                            </w:r>
                            <w:r w:rsidRPr="009F1CDD">
                              <w:rPr>
                                <w:rFonts w:ascii="Arial" w:hAnsi="Arial" w:cs="Arial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9F1CDD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of (a) Enzyme Commission number‘s (EC number); (b) KEGG Orthology (KO) for molecular functions; (c) MetaCyc pathways with Aldex2 using centered log ratio (clr) transformation and the geometric mean abundance of all features; red points indicate significantly different features after Welch's t-test and Benjamini-Hochberg correction with an alpha threshold &lt;0.1.</w:t>
                            </w:r>
                          </w:p>
                          <w:p w14:paraId="3693F964" w14:textId="0DE9DE6C" w:rsidR="00785D73" w:rsidRDefault="00785D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9E22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6.4pt;margin-top:300.25pt;width:329.9pt;height:151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" stroked="f">
                <v:textbox>
                  <w:txbxContent>
                    <w:p w14:paraId="55A9DC3B" w14:textId="284C2DC2" w:rsidR="00785D73" w:rsidRPr="009F1CDD" w:rsidRDefault="00785D73" w:rsidP="00785D73">
                      <w:pPr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  <w:r w:rsidRPr="009F1CDD">
                        <w:rPr>
                          <w:rFonts w:ascii="Arial" w:hAnsi="Arial" w:cs="Arial"/>
                          <w:b/>
                          <w:lang w:val="en-US"/>
                        </w:rPr>
                        <w:t>Figure S4.4.</w:t>
                      </w:r>
                      <w:r w:rsidRPr="009F1CDD">
                        <w:rPr>
                          <w:rFonts w:ascii="Arial" w:hAnsi="Arial" w:cs="Arial"/>
                          <w:lang w:val="en-US"/>
                        </w:rPr>
                        <w:t xml:space="preserve"> Differential abundances of predicted metagenome of rhizosphere soil under elevated and ambient CO</w:t>
                      </w:r>
                      <w:r w:rsidRPr="009F1CDD">
                        <w:rPr>
                          <w:rFonts w:ascii="Arial" w:hAnsi="Arial" w:cs="Arial"/>
                          <w:vertAlign w:val="subscript"/>
                          <w:lang w:val="en-US"/>
                        </w:rPr>
                        <w:t>2</w:t>
                      </w:r>
                      <w:r w:rsidRPr="009F1CDD">
                        <w:rPr>
                          <w:rFonts w:ascii="Arial" w:hAnsi="Arial" w:cs="Arial"/>
                          <w:lang w:val="en-US"/>
                        </w:rPr>
                        <w:t xml:space="preserve"> of (a) Enzyme Commission number‘s (EC number); (b) KEGG </w:t>
                      </w:r>
                      <w:proofErr w:type="spellStart"/>
                      <w:r w:rsidRPr="009F1CDD">
                        <w:rPr>
                          <w:rFonts w:ascii="Arial" w:hAnsi="Arial" w:cs="Arial"/>
                          <w:lang w:val="en-US"/>
                        </w:rPr>
                        <w:t>Orthology</w:t>
                      </w:r>
                      <w:proofErr w:type="spellEnd"/>
                      <w:r w:rsidRPr="009F1CDD">
                        <w:rPr>
                          <w:rFonts w:ascii="Arial" w:hAnsi="Arial" w:cs="Arial"/>
                          <w:lang w:val="en-US"/>
                        </w:rPr>
                        <w:t xml:space="preserve"> (KO) for molecular functions; (c) MetaCyc pathways with Aldex2 using centered log ratio (</w:t>
                      </w:r>
                      <w:proofErr w:type="spellStart"/>
                      <w:r w:rsidRPr="009F1CDD">
                        <w:rPr>
                          <w:rFonts w:ascii="Arial" w:hAnsi="Arial" w:cs="Arial"/>
                          <w:lang w:val="en-US"/>
                        </w:rPr>
                        <w:t>clr</w:t>
                      </w:r>
                      <w:proofErr w:type="spellEnd"/>
                      <w:r w:rsidRPr="009F1CDD">
                        <w:rPr>
                          <w:rFonts w:ascii="Arial" w:hAnsi="Arial" w:cs="Arial"/>
                          <w:lang w:val="en-US"/>
                        </w:rPr>
                        <w:t>) transformation and the geometric mean abundance of all features; red points indicate significantly different feature</w:t>
                      </w:r>
                      <w:bookmarkStart w:id="1" w:name="_GoBack"/>
                      <w:bookmarkEnd w:id="1"/>
                      <w:r w:rsidRPr="009F1CDD">
                        <w:rPr>
                          <w:rFonts w:ascii="Arial" w:hAnsi="Arial" w:cs="Arial"/>
                          <w:lang w:val="en-US"/>
                        </w:rPr>
                        <w:t xml:space="preserve">s after Welch's t-test and </w:t>
                      </w:r>
                      <w:proofErr w:type="spellStart"/>
                      <w:r w:rsidRPr="009F1CDD">
                        <w:rPr>
                          <w:rFonts w:ascii="Arial" w:hAnsi="Arial" w:cs="Arial"/>
                          <w:lang w:val="en-US"/>
                        </w:rPr>
                        <w:t>Benjamini</w:t>
                      </w:r>
                      <w:proofErr w:type="spellEnd"/>
                      <w:r w:rsidRPr="009F1CDD">
                        <w:rPr>
                          <w:rFonts w:ascii="Arial" w:hAnsi="Arial" w:cs="Arial"/>
                          <w:lang w:val="en-US"/>
                        </w:rPr>
                        <w:t>-Hochberg correction with an alpha threshold &lt;0.1.</w:t>
                      </w:r>
                    </w:p>
                    <w:p w14:paraId="3693F964" w14:textId="0DE9DE6C" w:rsidR="00785D73" w:rsidRDefault="00785D73"/>
                  </w:txbxContent>
                </v:textbox>
                <w10:wrap type="square"/>
              </v:shape>
            </w:pict>
          </mc:Fallback>
        </mc:AlternateContent>
      </w:r>
    </w:p>
    <w:sectPr w:rsidR="00F87814" w:rsidRPr="009A5CBC" w:rsidSect="00785D73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5668F" w16cex:dateUtc="2020-08-05T15:10:00Z"/>
  <w16cex:commentExtensible w16cex:durableId="22D566D0" w16cex:dateUtc="2020-08-05T15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5889F8F" w16cid:durableId="22D5668F"/>
  <w16cid:commentId w16cid:paraId="42A4A18D" w16cid:durableId="22D566D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3F"/>
    <w:rsid w:val="0009736E"/>
    <w:rsid w:val="00163539"/>
    <w:rsid w:val="00295E50"/>
    <w:rsid w:val="00391623"/>
    <w:rsid w:val="003A0029"/>
    <w:rsid w:val="003C03B7"/>
    <w:rsid w:val="004F77C3"/>
    <w:rsid w:val="005273B8"/>
    <w:rsid w:val="005D6C08"/>
    <w:rsid w:val="00753869"/>
    <w:rsid w:val="00785D73"/>
    <w:rsid w:val="00845A2F"/>
    <w:rsid w:val="008C521A"/>
    <w:rsid w:val="008D719D"/>
    <w:rsid w:val="008E023F"/>
    <w:rsid w:val="009A5CBC"/>
    <w:rsid w:val="009B02AA"/>
    <w:rsid w:val="009F1CDD"/>
    <w:rsid w:val="00A449FC"/>
    <w:rsid w:val="00A7680A"/>
    <w:rsid w:val="00AE0505"/>
    <w:rsid w:val="00B26686"/>
    <w:rsid w:val="00BD1B32"/>
    <w:rsid w:val="00C66A93"/>
    <w:rsid w:val="00C84199"/>
    <w:rsid w:val="00CF1831"/>
    <w:rsid w:val="00DA76D7"/>
    <w:rsid w:val="00F1315D"/>
    <w:rsid w:val="00F326FB"/>
    <w:rsid w:val="00F87814"/>
    <w:rsid w:val="00FC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F5D1"/>
  <w15:chartTrackingRefBased/>
  <w15:docId w15:val="{616F7610-D50E-4221-870F-2F964A9A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Listentabelle2Akzent1">
    <w:name w:val="List Table 2 Accent 1"/>
    <w:basedOn w:val="NormaleTabelle"/>
    <w:uiPriority w:val="47"/>
    <w:rsid w:val="004F77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enraster">
    <w:name w:val="Table Grid"/>
    <w:basedOn w:val="NormaleTabelle"/>
    <w:uiPriority w:val="39"/>
    <w:rsid w:val="004F7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09736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5273B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3B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73B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3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73B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7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73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C0C5E-EEDC-4EA0-B02E-9743C92B4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20</cp:revision>
  <dcterms:created xsi:type="dcterms:W3CDTF">2020-08-12T11:30:00Z</dcterms:created>
  <dcterms:modified xsi:type="dcterms:W3CDTF">2021-01-27T13:40:00Z</dcterms:modified>
</cp:coreProperties>
</file>