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Table S1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Sequence identity of abundant aquatic ASVs to database sequences.</w:t>
      </w:r>
    </w:p>
    <w:tbl>
      <w:tblPr>
        <w:tblStyle w:val="Table1"/>
        <w:tblW w:w="9075.0" w:type="dxa"/>
        <w:jc w:val="left"/>
        <w:tblInd w:w="100.0" w:type="pct"/>
        <w:tblBorders>
          <w:top w:color="00000a" w:space="0" w:sz="7" w:val="single"/>
          <w:left w:color="00000a" w:space="0" w:sz="7" w:val="single"/>
          <w:bottom w:color="00000a" w:space="0" w:sz="7" w:val="single"/>
          <w:right w:color="00000a" w:space="0" w:sz="7" w:val="single"/>
          <w:insideH w:color="00000a" w:space="0" w:sz="7" w:val="single"/>
          <w:insideV w:color="00000a" w:space="0" w:sz="7" w:val="single"/>
        </w:tblBorders>
        <w:tblLayout w:type="fixed"/>
        <w:tblLook w:val="0600"/>
      </w:tblPr>
      <w:tblGrid>
        <w:gridCol w:w="3825"/>
        <w:gridCol w:w="2760"/>
        <w:gridCol w:w="1410"/>
        <w:gridCol w:w="1080"/>
        <w:tblGridChange w:id="0">
          <w:tblGrid>
            <w:gridCol w:w="3825"/>
            <w:gridCol w:w="2760"/>
            <w:gridCol w:w="1410"/>
            <w:gridCol w:w="1080"/>
          </w:tblGrid>
        </w:tblGridChange>
      </w:tblGrid>
      <w:tr>
        <w:trPr>
          <w:cantSplit w:val="0"/>
          <w:trHeight w:val="825" w:hRule="atLeast"/>
          <w:tblHeader w:val="0"/>
        </w:trPr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rtl w:val="0"/>
              </w:rPr>
              <w:t xml:space="preserve">ASV</w:t>
            </w:r>
          </w:p>
        </w:tc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spacing w:line="240" w:lineRule="auto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rtl w:val="0"/>
              </w:rPr>
              <w:t xml:space="preserve">Taxonomic affiliation</w:t>
            </w:r>
          </w:p>
        </w:tc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rtl w:val="0"/>
              </w:rPr>
              <w:t xml:space="preserve">Genbank Accession</w:t>
            </w:r>
          </w:p>
        </w:tc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rtl w:val="0"/>
              </w:rPr>
              <w:t xml:space="preserve">Identity (%)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333c4bef102ebd8c41d9f3012937a8ef</w:t>
            </w:r>
          </w:p>
        </w:tc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Verrucomicrobia</w:t>
            </w:r>
          </w:p>
        </w:tc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MH112360</w:t>
            </w:r>
          </w:p>
        </w:tc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98.9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d459c6a805c8512605fef8656ca0bf9a</w:t>
            </w:r>
          </w:p>
        </w:tc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Verrucomicrobia</w:t>
            </w:r>
          </w:p>
        </w:tc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FJ694301</w:t>
            </w:r>
          </w:p>
        </w:tc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98.3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9fcd6a2538aa25223fb828d5fffa26e9</w:t>
            </w:r>
          </w:p>
        </w:tc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Sphingomonas</w:t>
            </w:r>
          </w:p>
        </w:tc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MZ976831</w:t>
            </w:r>
          </w:p>
        </w:tc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c7de82d60809c2abae1ff7c61adedfec</w:t>
            </w:r>
          </w:p>
        </w:tc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Flavobacteria (genome)</w:t>
            </w:r>
          </w:p>
        </w:tc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AP025185</w:t>
            </w:r>
          </w:p>
        </w:tc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878cc93048466edf82856c4cf5e20517</w:t>
            </w:r>
          </w:p>
        </w:tc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Beta-proteobacteria</w:t>
            </w:r>
          </w:p>
        </w:tc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FJ694257</w:t>
            </w:r>
          </w:p>
        </w:tc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4bba88bb794faeb8486f292406ea2641</w:t>
            </w:r>
          </w:p>
        </w:tc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Gemmobacter (genome)</w:t>
            </w:r>
          </w:p>
        </w:tc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CP028918</w:t>
            </w:r>
          </w:p>
        </w:tc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1b24e60fca2c1ce5d0e34cab586c4537</w:t>
            </w:r>
          </w:p>
        </w:tc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Polaromonas</w:t>
            </w:r>
          </w:p>
        </w:tc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MT067339</w:t>
            </w:r>
          </w:p>
        </w:tc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1ceb504a01db919823bd7d01b5699038</w:t>
            </w:r>
          </w:p>
        </w:tc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Polynucelobacter (genome)</w:t>
            </w:r>
          </w:p>
        </w:tc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CP028942</w:t>
            </w:r>
          </w:p>
        </w:tc>
        <w:tc>
          <w:tcPr>
            <w:tcBorders>
              <w:top w:color="ffffff" w:space="0" w:sz="7" w:val="single"/>
              <w:left w:color="ffffff" w:space="0" w:sz="7" w:val="single"/>
              <w:bottom w:color="ffffff" w:space="0" w:sz="7" w:val="single"/>
              <w:right w:color="ffffff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026">
      <w:pPr>
        <w:spacing w:before="24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