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9.png" ContentType="image/png"/>
  <Override PartName="/word/media/image13.png" ContentType="image/png"/>
  <Override PartName="/word/media/image8.png" ContentType="image/png"/>
  <Override PartName="/word/media/image12.png" ContentType="image/png"/>
  <Override PartName="/word/media/image7.png" ContentType="image/png"/>
  <Override PartName="/word/media/image18.png" ContentType="image/png"/>
  <Override PartName="/word/media/image17.png" ContentType="image/png"/>
  <Override PartName="/word/media/image16.png" ContentType="image/png"/>
  <Override PartName="/word/media/image15.png" ContentType="image/png"/>
  <Override PartName="/word/media/image14.png" ContentType="image/png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10.png" ContentType="image/png"/>
  <Override PartName="/word/media/image6.png" ContentType="image/png"/>
  <Override PartName="/word/media/image11.png" ContentType="image/png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Onormal"/>
        <w:spacing w:lineRule="auto" w:line="360"/>
        <w:rPr>
          <w:rFonts w:ascii="Arial" w:hAnsi="Arial"/>
          <w:sz w:val="32"/>
          <w:szCs w:val="32"/>
        </w:rPr>
      </w:pPr>
      <w:r>
        <w:rPr>
          <w:rFonts w:ascii="Arial" w:hAnsi="Arial"/>
          <w:b/>
          <w:sz w:val="32"/>
          <w:szCs w:val="32"/>
          <w:highlight w:val="white"/>
        </w:rPr>
        <w:t>Supplementary Material</w:t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</w:rPr>
      </w:pPr>
      <w:r>
        <w:rPr>
          <w:rFonts w:ascii="Arial" w:hAnsi="Arial"/>
          <w:b/>
          <w:sz w:val="32"/>
          <w:szCs w:val="32"/>
        </w:rPr>
        <w:t>Distinct and temporally stable assembly mechanisms shape bacterial and fungal communities in vineyard soils</w:t>
      </w:r>
    </w:p>
    <w:p>
      <w:pPr>
        <w:pStyle w:val="LOnormal"/>
        <w:spacing w:lineRule="auto" w:line="360"/>
        <w:rPr>
          <w:rFonts w:ascii="Arial" w:hAnsi="Arial"/>
          <w:b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</w:r>
    </w:p>
    <w:p>
      <w:pPr>
        <w:sectPr>
          <w:type w:val="nextPage"/>
          <w:pgSz w:w="11906" w:h="16838"/>
          <w:pgMar w:left="1134" w:right="1134" w:header="0" w:top="1134" w:footer="0" w:bottom="1134" w:gutter="0"/>
          <w:pgNumType w:fmt="decimal"/>
          <w:formProt w:val="false"/>
          <w:textDirection w:val="lrTb"/>
          <w:docGrid w:type="default" w:linePitch="100" w:charSpace="0"/>
        </w:sect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i/>
          <w:highlight w:val="white"/>
        </w:rPr>
        <w:t>Stefano Larsen; Davide Albanese; James Stegen;  Pietro Franceschi; E. Coller; Roberto Zanzotti; Claudio Ioriatti; Erika Stefani; Massimo Pindo; Alessandro Cestaro; Claudio Donati</w:t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/>
      </w:pPr>
      <w:r>
        <w:rPr>
          <w:rFonts w:ascii="Arial" w:hAnsi="Arial"/>
          <w:b/>
          <w:sz w:val="22"/>
          <w:szCs w:val="22"/>
          <w:highlight w:val="white"/>
        </w:rPr>
        <w:t>Tab. S1</w:t>
      </w:r>
      <w:r>
        <w:rPr>
          <w:rFonts w:ascii="Arial" w:hAnsi="Arial"/>
          <w:sz w:val="22"/>
          <w:szCs w:val="22"/>
          <w:highlight w:val="white"/>
        </w:rPr>
        <w:t xml:space="preserve"> - Mean and standard deviation of the main physico-chemical properties of the soil in the vineyard samples </w:t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2141855"/>
            <wp:effectExtent l="0" t="0" r="0" b="0"/>
            <wp:wrapSquare wrapText="largest"/>
            <wp:docPr id="1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141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Onormal"/>
        <w:spacing w:lineRule="auto" w:line="360"/>
        <w:rPr>
          <w:rFonts w:ascii="Arial" w:hAnsi="Arial"/>
          <w:b/>
          <w:b/>
          <w:sz w:val="20"/>
          <w:szCs w:val="20"/>
          <w:highlight w:val="white"/>
        </w:rPr>
      </w:pPr>
      <w:r>
        <w:rPr>
          <w:rFonts w:ascii="Arial" w:hAnsi="Arial"/>
          <w:b/>
          <w:sz w:val="20"/>
          <w:szCs w:val="20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b/>
          <w:sz w:val="22"/>
          <w:szCs w:val="22"/>
          <w:highlight w:val="white"/>
        </w:rPr>
        <w:t>Tab. S2</w:t>
      </w:r>
      <w:r>
        <w:rPr>
          <w:rFonts w:ascii="Arial" w:hAnsi="Arial"/>
          <w:sz w:val="22"/>
          <w:szCs w:val="22"/>
          <w:highlight w:val="white"/>
        </w:rPr>
        <w:t xml:space="preserve"> - Mean and standard deviation of the main physico-chemical properties of the soil in the </w:t>
      </w:r>
      <w:r>
        <w:rPr>
          <w:rFonts w:eastAsia="Noto Serif CJK SC" w:cs="Lohit Devanagari" w:ascii="Arial" w:hAnsi="Arial"/>
          <w:color w:val="auto"/>
          <w:kern w:val="2"/>
          <w:sz w:val="22"/>
          <w:szCs w:val="22"/>
          <w:highlight w:val="white"/>
          <w:lang w:val="en-GB" w:eastAsia="zh-CN" w:bidi="hi-IN"/>
        </w:rPr>
        <w:t>grassland</w:t>
      </w:r>
      <w:r>
        <w:rPr>
          <w:rFonts w:ascii="Arial" w:hAnsi="Arial"/>
          <w:sz w:val="22"/>
          <w:szCs w:val="22"/>
          <w:highlight w:val="white"/>
        </w:rPr>
        <w:t xml:space="preserve"> samples </w:t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2131060"/>
            <wp:effectExtent l="0" t="0" r="0" b="0"/>
            <wp:wrapSquare wrapText="largest"/>
            <wp:docPr id="2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131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b/>
          <w:bCs/>
          <w:highlight w:val="white"/>
        </w:rPr>
        <w:t xml:space="preserve">Tab. S3 </w:t>
      </w:r>
      <w:r>
        <w:rPr>
          <w:rFonts w:ascii="Arial" w:hAnsi="Arial"/>
          <w:highlight w:val="white"/>
        </w:rPr>
        <w:t>– Climatic variables for the ten study vineyards in the two years of observation</w:t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  <w:drawing>
          <wp:anchor behindDoc="0" distT="0" distB="0" distL="0" distR="0" simplePos="0" locked="0" layoutInCell="1" allowOverlap="1" relativeHeight="5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810250" cy="3409950"/>
            <wp:effectExtent l="0" t="0" r="0" b="0"/>
            <wp:wrapSquare wrapText="largest"/>
            <wp:docPr id="3" name="Imag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5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  <w:highlight w:val="white"/>
        </w:rPr>
        <w:t>Tab. S4</w:t>
      </w:r>
      <w:r>
        <w:rPr>
          <w:rFonts w:ascii="Arial" w:hAnsi="Arial"/>
          <w:sz w:val="22"/>
          <w:szCs w:val="22"/>
          <w:highlight w:val="white"/>
        </w:rPr>
        <w:t xml:space="preserve"> - Parameters from the neutral and binomial model fitting SVs occurrence based on relative abundance in the metacommunity.</w:t>
      </w:r>
    </w:p>
    <w:p>
      <w:pPr>
        <w:pStyle w:val="LOnormal"/>
        <w:spacing w:lineRule="auto" w:line="360"/>
        <w:rPr>
          <w:rFonts w:ascii="Arial" w:hAnsi="Arial"/>
        </w:rPr>
      </w:pPr>
      <w:r>
        <w:rPr/>
        <w:drawing>
          <wp:inline distT="0" distB="0" distL="0" distR="0">
            <wp:extent cx="5186680" cy="1134110"/>
            <wp:effectExtent l="0" t="0" r="0" b="0"/>
            <wp:docPr id="4" name="image16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6.png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6680" cy="113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i w:val="false"/>
          <w:i w:val="false"/>
          <w:highlight w:val="white"/>
        </w:rPr>
      </w:pPr>
      <w:r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198110" cy="6497955"/>
            <wp:effectExtent l="0" t="0" r="0" b="0"/>
            <wp:wrapTopAndBottom/>
            <wp:docPr id="5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005" t="4986" r="10014" b="199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110" cy="6497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bCs/>
          <w:i w:val="false"/>
          <w:iCs w:val="false"/>
          <w:highlight w:val="white"/>
        </w:rPr>
        <w:t>F</w:t>
      </w:r>
      <w:r>
        <w:rPr>
          <w:rFonts w:ascii="Arial" w:hAnsi="Arial"/>
          <w:b/>
          <w:bCs/>
          <w:i w:val="false"/>
          <w:iCs w:val="false"/>
          <w:highlight w:val="white"/>
        </w:rPr>
        <w:t xml:space="preserve">ig. S1 </w:t>
      </w:r>
      <w:r>
        <w:rPr>
          <w:rFonts w:ascii="Arial" w:hAnsi="Arial"/>
          <w:i w:val="false"/>
          <w:iCs w:val="false"/>
          <w:highlight w:val="white"/>
        </w:rPr>
        <w:t>– Map of the study area, showing the ten vineyards (red dots with code number) within the Trentino Province, north-east Italy (A), and with respect to the four locations (B).</w:t>
      </w:r>
    </w:p>
    <w:p>
      <w:pPr>
        <w:pStyle w:val="LOnormal"/>
        <w:spacing w:lineRule="auto" w:line="360"/>
        <w:rPr>
          <w:rFonts w:ascii="Arial" w:hAnsi="Arial"/>
          <w:i/>
          <w:i/>
          <w:highlight w:val="white"/>
        </w:rPr>
      </w:pPr>
      <w:r>
        <w:rPr>
          <w:rFonts w:ascii="Arial" w:hAnsi="Arial"/>
          <w:i/>
          <w:highlight w:val="white"/>
        </w:rPr>
      </w:r>
    </w:p>
    <w:p>
      <w:pPr>
        <w:pStyle w:val="LOnormal"/>
        <w:spacing w:lineRule="auto" w:line="360"/>
        <w:rPr>
          <w:rFonts w:ascii="Arial" w:hAnsi="Arial"/>
          <w:i/>
          <w:i/>
          <w:highlight w:val="white"/>
        </w:rPr>
      </w:pPr>
      <w:r>
        <w:rPr>
          <w:rFonts w:ascii="Arial" w:hAnsi="Arial"/>
          <w:i/>
          <w:highlight w:val="white"/>
        </w:rPr>
      </w:r>
    </w:p>
    <w:p>
      <w:pPr>
        <w:pStyle w:val="LOnormal"/>
        <w:spacing w:lineRule="auto" w:line="360"/>
        <w:rPr>
          <w:rFonts w:ascii="Arial" w:hAnsi="Arial"/>
          <w:i/>
          <w:i/>
          <w:highlight w:val="white"/>
        </w:rPr>
      </w:pPr>
      <w:r>
        <w:rPr>
          <w:rFonts w:ascii="Arial" w:hAnsi="Arial"/>
          <w:i/>
          <w:highlight w:val="white"/>
        </w:rPr>
      </w:r>
    </w:p>
    <w:p>
      <w:pPr>
        <w:pStyle w:val="LOnormal"/>
        <w:spacing w:lineRule="auto" w:line="360"/>
        <w:rPr>
          <w:rFonts w:ascii="Arial" w:hAnsi="Arial"/>
          <w:i/>
          <w:i/>
          <w:highlight w:val="white"/>
        </w:rPr>
      </w:pPr>
      <w:r>
        <w:rPr>
          <w:rFonts w:ascii="Arial" w:hAnsi="Arial"/>
          <w:i/>
          <w:highlight w:val="white"/>
        </w:rPr>
      </w:r>
    </w:p>
    <w:p>
      <w:pPr>
        <w:pStyle w:val="LOnormal"/>
        <w:spacing w:lineRule="auto" w:line="360"/>
        <w:rPr>
          <w:rFonts w:ascii="Arial" w:hAnsi="Arial"/>
          <w:i/>
          <w:i/>
          <w:highlight w:val="white"/>
        </w:rPr>
      </w:pPr>
      <w:r>
        <w:rPr>
          <w:rFonts w:ascii="Arial" w:hAnsi="Arial"/>
          <w:i/>
          <w:highlight w:val="white"/>
        </w:rPr>
      </w:r>
    </w:p>
    <w:p>
      <w:pPr>
        <w:pStyle w:val="LOnormal"/>
        <w:spacing w:lineRule="auto" w:line="360"/>
        <w:rPr>
          <w:rFonts w:ascii="Arial" w:hAnsi="Arial"/>
          <w:i/>
          <w:i/>
          <w:highlight w:val="white"/>
        </w:rPr>
      </w:pPr>
      <w:r>
        <w:rPr>
          <w:rFonts w:ascii="Arial" w:hAnsi="Arial"/>
          <w:i/>
          <w:highlight w:val="white"/>
        </w:rPr>
      </w:r>
    </w:p>
    <w:p>
      <w:pPr>
        <w:pStyle w:val="LOnormal"/>
        <w:spacing w:lineRule="auto" w:line="360"/>
        <w:rPr>
          <w:rFonts w:ascii="Arial" w:hAnsi="Arial"/>
          <w:i/>
          <w:i/>
          <w:highlight w:val="white"/>
        </w:rPr>
      </w:pPr>
      <w:r>
        <w:rPr>
          <w:rFonts w:ascii="Arial" w:hAnsi="Arial"/>
          <w:i/>
          <w:highlight w:val="white"/>
        </w:rPr>
      </w:r>
    </w:p>
    <w:p>
      <w:pPr>
        <w:pStyle w:val="LOnormal"/>
        <w:spacing w:lineRule="auto" w:line="360"/>
        <w:rPr>
          <w:rFonts w:ascii="Arial" w:hAnsi="Arial"/>
          <w:i/>
          <w:i/>
          <w:highlight w:val="white"/>
        </w:rPr>
      </w:pPr>
      <w:r>
        <w:rPr>
          <w:rFonts w:ascii="Arial" w:hAnsi="Arial"/>
          <w:i/>
          <w:highlight w:val="white"/>
        </w:rPr>
      </w:r>
    </w:p>
    <w:p>
      <w:pPr>
        <w:pStyle w:val="LOnormal"/>
        <w:spacing w:lineRule="auto" w:line="360"/>
        <w:rPr>
          <w:rFonts w:ascii="Arial" w:hAnsi="Arial"/>
          <w:i/>
          <w:i/>
          <w:highlight w:val="white"/>
        </w:rPr>
      </w:pPr>
      <w:r>
        <w:rPr>
          <w:rFonts w:ascii="Arial" w:hAnsi="Arial"/>
          <w:i/>
          <w:highlight w:val="white"/>
        </w:rPr>
      </w:r>
    </w:p>
    <w:p>
      <w:pPr>
        <w:pStyle w:val="LOnormal"/>
        <w:spacing w:lineRule="auto" w:line="360"/>
        <w:rPr>
          <w:rFonts w:ascii="Arial" w:hAnsi="Arial"/>
          <w:i/>
          <w:i/>
          <w:highlight w:val="white"/>
        </w:rPr>
      </w:pPr>
      <w:r>
        <w:rPr>
          <w:rFonts w:ascii="Arial" w:hAnsi="Arial"/>
          <w:i/>
          <w:highlight w:val="white"/>
        </w:rPr>
        <w:drawing>
          <wp:anchor behindDoc="0" distT="0" distB="0" distL="0" distR="0" simplePos="0" locked="0" layoutInCell="1" allowOverlap="1" relativeHeight="19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4892675" cy="6929755"/>
            <wp:effectExtent l="0" t="0" r="0" b="0"/>
            <wp:wrapTopAndBottom/>
            <wp:docPr id="6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0014" t="4986" r="10014" b="149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675" cy="6929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Onormal"/>
        <w:spacing w:lineRule="auto" w:line="360"/>
        <w:rPr>
          <w:rFonts w:ascii="Arial" w:hAnsi="Arial"/>
          <w:i/>
          <w:i/>
          <w:highlight w:val="white"/>
        </w:rPr>
      </w:pPr>
      <w:r>
        <w:rPr>
          <w:rFonts w:ascii="Arial" w:hAnsi="Arial"/>
          <w:b/>
          <w:bCs/>
          <w:i w:val="false"/>
          <w:iCs w:val="false"/>
          <w:highlight w:val="white"/>
        </w:rPr>
        <w:t>Fig. S2</w:t>
      </w:r>
      <w:r>
        <w:rPr>
          <w:rFonts w:ascii="Arial" w:hAnsi="Arial"/>
          <w:i w:val="false"/>
          <w:iCs w:val="false"/>
          <w:highlight w:val="white"/>
        </w:rPr>
        <w:t xml:space="preserve"> – PcoA plane based on the Bray-Curtis distances of log-transformed SVs abundances for Bacteria &amp; Archea and Fungi. Locations and wine variety are shown.</w:t>
      </w:r>
    </w:p>
    <w:p>
      <w:pPr>
        <w:pStyle w:val="LOnormal"/>
        <w:spacing w:lineRule="auto" w:line="360"/>
        <w:rPr>
          <w:rFonts w:ascii="Arial" w:hAnsi="Arial"/>
          <w:i/>
          <w:i/>
          <w:highlight w:val="white"/>
        </w:rPr>
      </w:pPr>
      <w:r>
        <w:rPr>
          <w:rFonts w:ascii="Arial" w:hAnsi="Arial"/>
          <w:i/>
          <w:highlight w:val="white"/>
        </w:rPr>
      </w:r>
    </w:p>
    <w:p>
      <w:pPr>
        <w:pStyle w:val="LOnormal"/>
        <w:spacing w:lineRule="auto" w:line="360"/>
        <w:rPr>
          <w:rFonts w:ascii="Arial" w:hAnsi="Arial"/>
          <w:i/>
          <w:i/>
          <w:highlight w:val="white"/>
        </w:rPr>
      </w:pPr>
      <w:r>
        <w:rPr>
          <w:rFonts w:ascii="Arial" w:hAnsi="Arial"/>
          <w:i/>
          <w:highlight w:val="white"/>
        </w:rPr>
      </w:r>
    </w:p>
    <w:p>
      <w:pPr>
        <w:pStyle w:val="LOnormal"/>
        <w:spacing w:lineRule="auto" w:line="360"/>
        <w:rPr>
          <w:rFonts w:ascii="Arial" w:hAnsi="Arial"/>
          <w:i/>
          <w:i/>
          <w:highlight w:val="white"/>
        </w:rPr>
      </w:pPr>
      <w:r>
        <w:rPr>
          <w:rFonts w:ascii="Arial" w:hAnsi="Arial"/>
          <w:i/>
          <w:highlight w:val="white"/>
        </w:rPr>
      </w:r>
    </w:p>
    <w:p>
      <w:pPr>
        <w:pStyle w:val="LOnormal"/>
        <w:spacing w:lineRule="auto" w:line="360"/>
        <w:rPr>
          <w:rFonts w:ascii="Arial" w:hAnsi="Arial"/>
          <w:i/>
          <w:i/>
          <w:highlight w:val="white"/>
        </w:rPr>
      </w:pPr>
      <w:r>
        <w:rPr>
          <w:rFonts w:ascii="Arial" w:hAnsi="Arial"/>
          <w:i/>
          <w:highlight w:val="white"/>
        </w:rPr>
      </w:r>
    </w:p>
    <w:p>
      <w:pPr>
        <w:pStyle w:val="LOnormal"/>
        <w:spacing w:lineRule="auto" w:line="360"/>
        <w:rPr>
          <w:rFonts w:ascii="Arial" w:hAnsi="Arial"/>
          <w:i/>
          <w:i/>
          <w:highlight w:val="white"/>
        </w:rPr>
      </w:pPr>
      <w:r>
        <w:rPr>
          <w:rFonts w:ascii="Arial" w:hAnsi="Arial"/>
          <w:i/>
          <w:highlight w:val="white"/>
        </w:rPr>
      </w:r>
    </w:p>
    <w:p>
      <w:pPr>
        <w:pStyle w:val="LOnormal"/>
        <w:spacing w:lineRule="auto" w:line="360"/>
        <w:rPr>
          <w:rFonts w:ascii="Arial" w:hAnsi="Arial"/>
          <w:i/>
          <w:i/>
          <w:highlight w:val="white"/>
        </w:rPr>
      </w:pPr>
      <w:r>
        <w:rPr>
          <w:rFonts w:ascii="Arial" w:hAnsi="Arial"/>
          <w:i/>
          <w:highlight w:val="white"/>
        </w:rPr>
      </w:r>
    </w:p>
    <w:p>
      <w:pPr>
        <w:pStyle w:val="LOnormal"/>
        <w:spacing w:lineRule="auto" w:line="360"/>
        <w:rPr>
          <w:rFonts w:ascii="Arial" w:hAnsi="Arial"/>
          <w:i/>
          <w:i/>
          <w:highlight w:val="white"/>
        </w:rPr>
      </w:pPr>
      <w:r>
        <w:rPr>
          <w:rFonts w:ascii="Arial" w:hAnsi="Arial"/>
          <w:i/>
          <w:highlight w:val="white"/>
        </w:rPr>
      </w:r>
    </w:p>
    <w:p>
      <w:pPr>
        <w:pStyle w:val="LOnormal"/>
        <w:spacing w:lineRule="auto" w:line="360"/>
        <w:rPr>
          <w:rFonts w:ascii="Arial" w:hAnsi="Arial"/>
        </w:rPr>
      </w:pPr>
      <w:r>
        <w:rPr/>
        <w:drawing>
          <wp:inline distT="0" distB="0" distL="0" distR="0">
            <wp:extent cx="4887595" cy="3863975"/>
            <wp:effectExtent l="0" t="0" r="0" b="0"/>
            <wp:docPr id="7" name="image8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8.png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386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Onormal"/>
        <w:spacing w:lineRule="auto" w:line="360"/>
        <w:rPr>
          <w:rFonts w:ascii="Arial" w:hAnsi="Arial"/>
          <w:i/>
          <w:i/>
          <w:highlight w:val="white"/>
        </w:rPr>
      </w:pPr>
      <w:r>
        <w:rPr>
          <w:rFonts w:ascii="Arial" w:hAnsi="Arial"/>
          <w:i/>
          <w:highlight w:val="white"/>
        </w:rPr>
      </w:r>
    </w:p>
    <w:p>
      <w:pPr>
        <w:pStyle w:val="LOnormal"/>
        <w:spacing w:lineRule="auto" w:line="360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  <w:highlight w:val="white"/>
        </w:rPr>
        <w:t xml:space="preserve">Fig. S3 - </w:t>
      </w:r>
      <w:r>
        <w:rPr>
          <w:rFonts w:ascii="Arial" w:hAnsi="Arial"/>
          <w:sz w:val="22"/>
          <w:szCs w:val="22"/>
          <w:highlight w:val="white"/>
        </w:rPr>
        <w:t>USDA textural classification of the analysed soil samples</w:t>
      </w:r>
    </w:p>
    <w:p>
      <w:pPr>
        <w:pStyle w:val="LOnormal"/>
        <w:spacing w:lineRule="auto" w:line="360"/>
        <w:rPr>
          <w:rFonts w:ascii="Arial" w:hAnsi="Arial"/>
          <w:i/>
          <w:i/>
          <w:highlight w:val="white"/>
        </w:rPr>
      </w:pPr>
      <w:r>
        <w:rPr>
          <w:rFonts w:ascii="Arial" w:hAnsi="Arial"/>
          <w:i/>
          <w:highlight w:val="white"/>
        </w:rPr>
      </w:r>
    </w:p>
    <w:p>
      <w:pPr>
        <w:pStyle w:val="LOnormal"/>
        <w:spacing w:lineRule="auto" w:line="360"/>
        <w:rPr>
          <w:rFonts w:ascii="Arial" w:hAnsi="Arial"/>
          <w:i/>
          <w:i/>
          <w:highlight w:val="white"/>
        </w:rPr>
      </w:pPr>
      <w:r>
        <w:rPr>
          <w:rFonts w:ascii="Arial" w:hAnsi="Arial"/>
          <w:i/>
          <w:highlight w:val="white"/>
        </w:rPr>
      </w:r>
    </w:p>
    <w:p>
      <w:pPr>
        <w:pStyle w:val="LOnormal"/>
        <w:spacing w:lineRule="auto" w:line="360"/>
        <w:rPr>
          <w:rFonts w:ascii="Arial" w:hAnsi="Arial"/>
          <w:i/>
          <w:i/>
          <w:highlight w:val="white"/>
        </w:rPr>
      </w:pPr>
      <w:r>
        <w:rPr>
          <w:rFonts w:ascii="Arial" w:hAnsi="Arial"/>
          <w:i/>
          <w:highlight w:val="white"/>
        </w:rPr>
      </w:r>
    </w:p>
    <w:p>
      <w:pPr>
        <w:pStyle w:val="LOnormal"/>
        <w:spacing w:lineRule="auto" w:line="360"/>
        <w:rPr>
          <w:rFonts w:ascii="Arial" w:hAnsi="Arial"/>
          <w:i/>
          <w:i/>
          <w:highlight w:val="white"/>
        </w:rPr>
      </w:pPr>
      <w:r>
        <w:rPr>
          <w:rFonts w:ascii="Arial" w:hAnsi="Arial"/>
          <w:i/>
          <w:highlight w:val="white"/>
        </w:rPr>
      </w:r>
    </w:p>
    <w:p>
      <w:pPr>
        <w:pStyle w:val="LOnormal"/>
        <w:spacing w:lineRule="auto" w:line="360"/>
        <w:rPr>
          <w:rFonts w:ascii="Arial" w:hAnsi="Arial"/>
          <w:i/>
          <w:i/>
          <w:highlight w:val="white"/>
        </w:rPr>
      </w:pPr>
      <w:r>
        <w:rPr>
          <w:rFonts w:ascii="Arial" w:hAnsi="Arial"/>
          <w:i/>
          <w:highlight w:val="white"/>
        </w:rPr>
      </w:r>
    </w:p>
    <w:p>
      <w:pPr>
        <w:pStyle w:val="LOnormal"/>
        <w:spacing w:lineRule="auto" w:line="360"/>
        <w:rPr>
          <w:rFonts w:ascii="Arial" w:hAnsi="Arial"/>
          <w:i/>
          <w:i/>
          <w:highlight w:val="white"/>
        </w:rPr>
      </w:pPr>
      <w:r>
        <w:rPr>
          <w:rFonts w:ascii="Arial" w:hAnsi="Arial"/>
          <w:i/>
          <w:highlight w:val="white"/>
        </w:rPr>
      </w:r>
    </w:p>
    <w:p>
      <w:pPr>
        <w:pStyle w:val="LOnormal"/>
        <w:spacing w:lineRule="auto" w:line="360"/>
        <w:rPr>
          <w:rFonts w:ascii="Arial" w:hAnsi="Arial"/>
          <w:i/>
          <w:i/>
          <w:highlight w:val="white"/>
        </w:rPr>
      </w:pPr>
      <w:r>
        <w:rPr>
          <w:rFonts w:ascii="Arial" w:hAnsi="Arial"/>
          <w:i/>
          <w:highlight w:val="white"/>
        </w:rPr>
      </w:r>
    </w:p>
    <w:p>
      <w:pPr>
        <w:pStyle w:val="LOnormal"/>
        <w:spacing w:lineRule="auto" w:line="360"/>
        <w:rPr>
          <w:rFonts w:ascii="Arial" w:hAnsi="Arial"/>
          <w:i/>
          <w:i/>
          <w:highlight w:val="white"/>
        </w:rPr>
      </w:pPr>
      <w:r>
        <w:rPr>
          <w:rFonts w:ascii="Arial" w:hAnsi="Arial"/>
          <w:i/>
          <w:highlight w:val="white"/>
        </w:rPr>
      </w:r>
    </w:p>
    <w:p>
      <w:pPr>
        <w:pStyle w:val="LOnormal"/>
        <w:spacing w:lineRule="auto" w:line="360"/>
        <w:rPr>
          <w:rFonts w:ascii="Arial" w:hAnsi="Arial"/>
          <w:i/>
          <w:i/>
          <w:highlight w:val="white"/>
        </w:rPr>
      </w:pPr>
      <w:r>
        <w:rPr>
          <w:rFonts w:ascii="Arial" w:hAnsi="Arial"/>
          <w:i/>
          <w:highlight w:val="white"/>
        </w:rPr>
      </w:r>
    </w:p>
    <w:p>
      <w:pPr>
        <w:pStyle w:val="LOnormal"/>
        <w:spacing w:lineRule="auto" w:line="360"/>
        <w:rPr>
          <w:rFonts w:ascii="Arial" w:hAnsi="Arial"/>
          <w:i/>
          <w:i/>
          <w:highlight w:val="white"/>
        </w:rPr>
      </w:pPr>
      <w:r>
        <w:rPr>
          <w:rFonts w:ascii="Arial" w:hAnsi="Arial"/>
          <w:i/>
          <w:highlight w:val="white"/>
        </w:rPr>
      </w:r>
    </w:p>
    <w:p>
      <w:pPr>
        <w:pStyle w:val="LOnormal"/>
        <w:spacing w:lineRule="auto" w:line="360"/>
        <w:rPr>
          <w:rFonts w:ascii="Arial" w:hAnsi="Arial"/>
          <w:i/>
          <w:i/>
          <w:highlight w:val="white"/>
        </w:rPr>
      </w:pPr>
      <w:r>
        <w:rPr>
          <w:rFonts w:ascii="Arial" w:hAnsi="Arial"/>
          <w:i/>
          <w:highlight w:val="white"/>
        </w:rPr>
      </w:r>
    </w:p>
    <w:p>
      <w:pPr>
        <w:pStyle w:val="LOnormal"/>
        <w:spacing w:lineRule="auto" w:line="360"/>
        <w:rPr>
          <w:rFonts w:ascii="Arial" w:hAnsi="Arial"/>
          <w:i/>
          <w:i/>
          <w:highlight w:val="white"/>
        </w:rPr>
      </w:pPr>
      <w:r>
        <w:rPr>
          <w:rFonts w:ascii="Arial" w:hAnsi="Arial"/>
          <w:i/>
          <w:highlight w:val="white"/>
        </w:rPr>
      </w:r>
    </w:p>
    <w:p>
      <w:pPr>
        <w:pStyle w:val="LOnormal"/>
        <w:spacing w:lineRule="auto" w:line="360"/>
        <w:rPr>
          <w:rFonts w:ascii="Arial" w:hAnsi="Arial"/>
          <w:i/>
          <w:i/>
          <w:highlight w:val="white"/>
        </w:rPr>
      </w:pPr>
      <w:r>
        <w:rPr>
          <w:rFonts w:ascii="Arial" w:hAnsi="Arial"/>
          <w:i/>
          <w:highlight w:val="white"/>
        </w:rPr>
      </w:r>
    </w:p>
    <w:p>
      <w:pPr>
        <w:pStyle w:val="LOnormal"/>
        <w:spacing w:lineRule="auto" w:line="360"/>
        <w:rPr>
          <w:rFonts w:ascii="Arial" w:hAnsi="Arial"/>
          <w:i/>
          <w:i/>
          <w:highlight w:val="white"/>
        </w:rPr>
      </w:pPr>
      <w:r>
        <w:rPr>
          <w:rFonts w:ascii="Arial" w:hAnsi="Arial"/>
          <w:i/>
          <w:highlight w:val="white"/>
        </w:rPr>
      </w:r>
    </w:p>
    <w:p>
      <w:pPr>
        <w:pStyle w:val="LOnormal"/>
        <w:spacing w:lineRule="auto" w:line="360"/>
        <w:rPr>
          <w:rFonts w:ascii="Arial" w:hAnsi="Arial"/>
          <w:i/>
          <w:i/>
          <w:highlight w:val="white"/>
        </w:rPr>
      </w:pPr>
      <w:r>
        <w:rPr>
          <w:rFonts w:ascii="Arial" w:hAnsi="Arial"/>
          <w:i/>
          <w:highlight w:val="white"/>
        </w:rPr>
      </w:r>
    </w:p>
    <w:p>
      <w:pPr>
        <w:pStyle w:val="LOnormal"/>
        <w:spacing w:lineRule="auto" w:line="360"/>
        <w:rPr>
          <w:rFonts w:ascii="Arial" w:hAnsi="Arial"/>
          <w:i/>
          <w:i/>
          <w:highlight w:val="white"/>
        </w:rPr>
      </w:pPr>
      <w:r>
        <w:rPr>
          <w:rFonts w:ascii="Arial" w:hAnsi="Arial"/>
          <w:i/>
          <w:highlight w:val="white"/>
        </w:rPr>
      </w:r>
    </w:p>
    <w:p>
      <w:pPr>
        <w:pStyle w:val="LOnormal"/>
        <w:spacing w:lineRule="auto" w:line="360"/>
        <w:rPr>
          <w:rFonts w:ascii="Arial" w:hAnsi="Arial"/>
          <w:i/>
          <w:i/>
          <w:highlight w:val="white"/>
        </w:rPr>
      </w:pPr>
      <w:r>
        <w:rPr>
          <w:rFonts w:ascii="Arial" w:hAnsi="Arial"/>
          <w:i/>
          <w:highlight w:val="white"/>
        </w:rPr>
      </w:r>
    </w:p>
    <w:p>
      <w:pPr>
        <w:pStyle w:val="LOnormal"/>
        <w:widowControl w:val="false"/>
        <w:spacing w:lineRule="auto" w:line="360"/>
        <w:rPr>
          <w:rFonts w:ascii="Arial" w:hAnsi="Arial"/>
          <w:sz w:val="22"/>
          <w:szCs w:val="22"/>
        </w:rPr>
      </w:pPr>
      <w:r>
        <w:drawing>
          <wp:anchor behindDoc="0" distT="0" distB="0" distL="0" distR="0" simplePos="0" locked="0" layoutInCell="1" allowOverlap="1" relativeHeight="6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4892675" cy="6066155"/>
            <wp:effectExtent l="0" t="0" r="0" b="0"/>
            <wp:wrapTopAndBottom/>
            <wp:docPr id="8" name="Image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0014" t="4986" r="10014" b="249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675" cy="6066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bCs/>
          <w:i w:val="false"/>
          <w:iCs w:val="false"/>
          <w:sz w:val="22"/>
          <w:szCs w:val="22"/>
          <w:highlight w:val="white"/>
        </w:rPr>
        <w:t>F</w:t>
      </w:r>
      <w:r>
        <w:rPr>
          <w:rFonts w:ascii="Arial" w:hAnsi="Arial"/>
          <w:b/>
          <w:bCs/>
          <w:i w:val="false"/>
          <w:iCs w:val="false"/>
          <w:sz w:val="22"/>
          <w:szCs w:val="22"/>
          <w:highlight w:val="white"/>
        </w:rPr>
        <w:t xml:space="preserve">ig. S4 </w:t>
      </w:r>
      <w:r>
        <w:rPr>
          <w:rFonts w:ascii="Arial" w:hAnsi="Arial"/>
          <w:i w:val="false"/>
          <w:iCs w:val="false"/>
          <w:sz w:val="22"/>
          <w:szCs w:val="22"/>
          <w:highlight w:val="white"/>
        </w:rPr>
        <w:t>– Pairwise Bray-Curtis distance between samples across the scales of the study, in comparison to distances between different sequencing runs of the same sample (‘Diff.Batche’). Batch effect was estimated by r</w:t>
      </w:r>
      <w:r>
        <w:rPr>
          <w:rFonts w:ascii="Arial" w:hAnsi="Arial"/>
          <w:i w:val="false"/>
          <w:iCs w:val="false"/>
          <w:sz w:val="22"/>
          <w:szCs w:val="22"/>
          <w:highlight w:val="white"/>
          <w:lang w:val="en-GB" w:eastAsia="zh-CN" w:bidi="hi-IN"/>
        </w:rPr>
        <w:t>e-sequencing 10 samples from 2017 and 10 from 2018, one for each location, in a single sequencing run.</w:t>
      </w:r>
    </w:p>
    <w:p>
      <w:pPr>
        <w:pStyle w:val="LOnormal"/>
        <w:spacing w:lineRule="auto" w:line="360"/>
        <w:rPr>
          <w:rFonts w:ascii="Arial" w:hAnsi="Arial"/>
          <w:i/>
          <w:i/>
          <w:highlight w:val="white"/>
        </w:rPr>
      </w:pPr>
      <w:r>
        <w:rPr>
          <w:rFonts w:ascii="Arial" w:hAnsi="Arial"/>
          <w:i/>
          <w:highlight w:val="white"/>
        </w:rPr>
      </w:r>
    </w:p>
    <w:p>
      <w:pPr>
        <w:pStyle w:val="LOnormal"/>
        <w:spacing w:lineRule="auto" w:line="360"/>
        <w:rPr>
          <w:rFonts w:ascii="Arial" w:hAnsi="Arial"/>
          <w:i/>
          <w:i/>
          <w:highlight w:val="white"/>
        </w:rPr>
      </w:pPr>
      <w:r>
        <w:rPr>
          <w:rFonts w:ascii="Arial" w:hAnsi="Arial"/>
          <w:i/>
          <w:highlight w:val="white"/>
        </w:rPr>
      </w:r>
    </w:p>
    <w:p>
      <w:pPr>
        <w:pStyle w:val="LOnormal"/>
        <w:spacing w:lineRule="auto" w:line="360"/>
        <w:rPr>
          <w:rFonts w:ascii="Arial" w:hAnsi="Arial"/>
          <w:i/>
          <w:i/>
          <w:highlight w:val="white"/>
        </w:rPr>
      </w:pPr>
      <w:r>
        <w:rPr>
          <w:rFonts w:ascii="Arial" w:hAnsi="Arial"/>
          <w:i/>
          <w:highlight w:val="white"/>
        </w:rPr>
      </w:r>
    </w:p>
    <w:p>
      <w:pPr>
        <w:pStyle w:val="LOnormal"/>
        <w:spacing w:lineRule="auto" w:line="360"/>
        <w:rPr>
          <w:rFonts w:ascii="Arial" w:hAnsi="Arial"/>
          <w:i/>
          <w:i/>
          <w:highlight w:val="white"/>
        </w:rPr>
      </w:pPr>
      <w:r>
        <w:rPr>
          <w:rFonts w:ascii="Arial" w:hAnsi="Arial"/>
          <w:i/>
          <w:highlight w:val="white"/>
        </w:rPr>
      </w:r>
    </w:p>
    <w:p>
      <w:pPr>
        <w:pStyle w:val="LOnormal"/>
        <w:spacing w:lineRule="auto" w:line="360"/>
        <w:rPr>
          <w:rFonts w:ascii="Arial" w:hAnsi="Arial"/>
          <w:i/>
          <w:i/>
          <w:highlight w:val="white"/>
        </w:rPr>
      </w:pPr>
      <w:r>
        <w:rPr>
          <w:rFonts w:ascii="Arial" w:hAnsi="Arial"/>
          <w:i/>
          <w:highlight w:val="white"/>
        </w:rPr>
      </w:r>
    </w:p>
    <w:p>
      <w:pPr>
        <w:pStyle w:val="LOnormal"/>
        <w:spacing w:lineRule="auto" w:line="360"/>
        <w:rPr>
          <w:rFonts w:ascii="Arial" w:hAnsi="Arial"/>
          <w:i/>
          <w:i/>
          <w:highlight w:val="white"/>
        </w:rPr>
      </w:pPr>
      <w:r>
        <w:rPr>
          <w:rFonts w:ascii="Arial" w:hAnsi="Arial"/>
          <w:i/>
          <w:highlight w:val="white"/>
        </w:rPr>
      </w:r>
    </w:p>
    <w:tbl>
      <w:tblPr>
        <w:tblStyle w:val="Table2"/>
        <w:tblW w:w="9029" w:type="dxa"/>
        <w:jc w:val="left"/>
        <w:tblInd w:w="100" w:type="dxa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4514"/>
        <w:gridCol w:w="4514"/>
      </w:tblGrid>
      <w:tr>
        <w:trPr/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spacing w:lineRule="auto" w:line="360"/>
              <w:rPr>
                <w:rFonts w:ascii="Arial" w:hAnsi="Arial"/>
              </w:rPr>
            </w:pPr>
            <w:r>
              <w:rPr/>
              <w:drawing>
                <wp:inline distT="0" distB="0" distL="0" distR="0">
                  <wp:extent cx="2724150" cy="2184400"/>
                  <wp:effectExtent l="0" t="0" r="0" b="0"/>
                  <wp:docPr id="9" name="image4.png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0" cy="218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rPr>
                <w:rFonts w:ascii="Arial" w:hAnsi="Arial"/>
              </w:rPr>
            </w:pPr>
            <w:r>
              <w:rPr/>
              <w:drawing>
                <wp:inline distT="0" distB="0" distL="0" distR="0">
                  <wp:extent cx="2724150" cy="2184400"/>
                  <wp:effectExtent l="0" t="0" r="0" b="0"/>
                  <wp:docPr id="10" name="image13.png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0" cy="218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LOnormal"/>
        <w:spacing w:lineRule="auto" w:line="360"/>
        <w:rPr>
          <w:rFonts w:ascii="Arial" w:hAnsi="Arial"/>
          <w:b/>
          <w:b/>
          <w:i/>
          <w:i/>
          <w:highlight w:val="white"/>
        </w:rPr>
      </w:pPr>
      <w:r>
        <w:rPr>
          <w:rFonts w:ascii="Arial" w:hAnsi="Arial"/>
          <w:b/>
          <w:i/>
          <w:highlight w:val="white"/>
        </w:rPr>
      </w:r>
    </w:p>
    <w:p>
      <w:pPr>
        <w:pStyle w:val="LOnormal"/>
        <w:spacing w:lineRule="auto" w:line="360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  <w:highlight w:val="white"/>
        </w:rPr>
        <w:t>Fig. S5</w:t>
      </w:r>
      <w:r>
        <w:rPr>
          <w:rFonts w:ascii="Arial" w:hAnsi="Arial"/>
          <w:sz w:val="22"/>
          <w:szCs w:val="22"/>
          <w:highlight w:val="white"/>
        </w:rPr>
        <w:t xml:space="preserve"> - Principal Component Analysis biplot of the measured soil physical-chemical parameters. AWC=Average water content. Org = Organic matter content.</w:t>
      </w:r>
    </w:p>
    <w:p>
      <w:pPr>
        <w:pStyle w:val="LOnormal"/>
        <w:spacing w:lineRule="auto" w:line="360"/>
        <w:rPr>
          <w:rFonts w:ascii="Arial" w:hAnsi="Arial"/>
          <w:sz w:val="22"/>
          <w:szCs w:val="22"/>
          <w:highlight w:val="white"/>
        </w:rPr>
      </w:pPr>
      <w:r>
        <w:rPr>
          <w:rFonts w:ascii="Arial" w:hAnsi="Arial"/>
          <w:sz w:val="22"/>
          <w:szCs w:val="22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sz w:val="22"/>
          <w:szCs w:val="22"/>
          <w:highlight w:val="white"/>
        </w:rPr>
      </w:pPr>
      <w:r>
        <w:rPr>
          <w:rFonts w:ascii="Arial" w:hAnsi="Arial"/>
          <w:sz w:val="22"/>
          <w:szCs w:val="22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widowControl w:val="false"/>
        <w:spacing w:lineRule="auto" w:line="360"/>
        <w:rPr>
          <w:rFonts w:ascii="Arial" w:hAnsi="Arial"/>
        </w:rPr>
      </w:pPr>
      <w:r>
        <w:rPr/>
        <w:drawing>
          <wp:inline distT="0" distB="0" distL="0" distR="0">
            <wp:extent cx="4365625" cy="6548120"/>
            <wp:effectExtent l="0" t="0" r="0" b="0"/>
            <wp:docPr id="11" name="image17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7.png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5625" cy="654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widowControl w:val="false"/>
        <w:spacing w:lineRule="auto" w:line="360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  <w:highlight w:val="white"/>
        </w:rPr>
        <w:t xml:space="preserve">Fig. S6 </w:t>
      </w:r>
      <w:r>
        <w:rPr>
          <w:rFonts w:ascii="Arial" w:hAnsi="Arial"/>
          <w:sz w:val="22"/>
          <w:szCs w:val="22"/>
          <w:highlight w:val="white"/>
        </w:rPr>
        <w:t>a) Accumulated amount of rain and b) mean daily temperature measured in four meteorological stations located close to the vineyards. Correspondence between the stations and the locations are as follows: Station 1 - Ala; Station2 -Besagno/Mori; Station 3 - S. Felice; Station 4 - Besagno. For each vineyard, soil sampling was performed on the last day of the series.</w:t>
      </w:r>
    </w:p>
    <w:p>
      <w:pPr>
        <w:pStyle w:val="LOnormal"/>
        <w:widowControl w:val="false"/>
        <w:spacing w:lineRule="auto" w:line="36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LOnormal"/>
        <w:widowControl w:val="false"/>
        <w:spacing w:lineRule="auto" w:line="36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LOnormal"/>
        <w:widowControl w:val="false"/>
        <w:spacing w:lineRule="auto" w:line="36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LOnormal"/>
        <w:widowControl w:val="false"/>
        <w:spacing w:lineRule="auto" w:line="36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LOnormal"/>
        <w:widowControl w:val="false"/>
        <w:spacing w:lineRule="auto" w:line="36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LOnormal"/>
        <w:widowControl w:val="false"/>
        <w:spacing w:lineRule="auto" w:line="36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LOnormal"/>
        <w:widowControl w:val="false"/>
        <w:spacing w:lineRule="auto" w:line="36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LOnormal"/>
        <w:widowControl w:val="false"/>
        <w:spacing w:lineRule="auto" w:line="36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LOnormal"/>
        <w:widowControl w:val="false"/>
        <w:spacing w:lineRule="auto" w:line="36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tbl>
      <w:tblPr>
        <w:tblStyle w:val="Table3"/>
        <w:tblW w:w="9029" w:type="dxa"/>
        <w:jc w:val="left"/>
        <w:tblInd w:w="100" w:type="dxa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9029"/>
      </w:tblGrid>
      <w:tr>
        <w:trPr/>
        <w:tc>
          <w:tcPr>
            <w:tcW w:w="9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rPr>
                <w:rFonts w:ascii="Arial" w:hAnsi="Arial"/>
              </w:rPr>
            </w:pPr>
            <w:r>
              <w:rPr/>
              <w:drawing>
                <wp:inline distT="0" distB="0" distL="0" distR="0">
                  <wp:extent cx="4648835" cy="2319655"/>
                  <wp:effectExtent l="0" t="0" r="0" b="0"/>
                  <wp:docPr id="12" name="image1.png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835" cy="2319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9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rPr>
                <w:rFonts w:ascii="Arial" w:hAnsi="Arial"/>
              </w:rPr>
            </w:pPr>
            <w:r>
              <w:rPr/>
              <w:drawing>
                <wp:inline distT="0" distB="0" distL="0" distR="0">
                  <wp:extent cx="4678680" cy="2313305"/>
                  <wp:effectExtent l="0" t="0" r="0" b="0"/>
                  <wp:docPr id="13" name="image2.png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8680" cy="2313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  <w:highlight w:val="white"/>
        </w:rPr>
        <w:t xml:space="preserve">Fig. S7 </w:t>
      </w:r>
      <w:r>
        <w:rPr>
          <w:rFonts w:ascii="Arial" w:hAnsi="Arial"/>
          <w:sz w:val="22"/>
          <w:szCs w:val="22"/>
          <w:highlight w:val="white"/>
        </w:rPr>
        <w:t>- dbRDA biplots for Bacteria &amp; archea and Fungi. The top 5 environmental parameters were included as identified by the BioEnv procedure each year.</w:t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</w:rPr>
      </w:pPr>
      <w:r>
        <w:rPr>
          <w:rFonts w:ascii="Arial" w:hAnsi="Arial"/>
        </w:rPr>
        <w:drawing>
          <wp:anchor behindDoc="0" distT="0" distB="0" distL="0" distR="0" simplePos="0" locked="0" layoutInCell="1" allowOverlap="1" relativeHeight="8">
            <wp:simplePos x="0" y="0"/>
            <wp:positionH relativeFrom="column">
              <wp:posOffset>193675</wp:posOffset>
            </wp:positionH>
            <wp:positionV relativeFrom="paragraph">
              <wp:posOffset>295275</wp:posOffset>
            </wp:positionV>
            <wp:extent cx="5265420" cy="7019925"/>
            <wp:effectExtent l="0" t="0" r="0" b="0"/>
            <wp:wrapTopAndBottom/>
            <wp:docPr id="14" name="Image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" descr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  <w:highlight w:val="white"/>
        </w:rPr>
        <w:t>Fig. S8</w:t>
      </w:r>
      <w:r>
        <w:rPr>
          <w:rFonts w:ascii="Arial" w:hAnsi="Arial"/>
          <w:sz w:val="22"/>
          <w:szCs w:val="22"/>
          <w:highlight w:val="white"/>
        </w:rPr>
        <w:t xml:space="preserve"> - Comparison of Genus relative abundance between the two years of study across all paired samples. Colours indicate the most abundant Phyla. Dashed line shows the 1:1 relationship.</w:t>
      </w:r>
    </w:p>
    <w:p>
      <w:pPr>
        <w:pStyle w:val="LOnormal"/>
        <w:spacing w:lineRule="auto" w:line="360"/>
        <w:rPr>
          <w:rFonts w:ascii="Arial" w:hAnsi="Arial"/>
          <w:sz w:val="22"/>
          <w:szCs w:val="22"/>
          <w:highlight w:val="white"/>
        </w:rPr>
      </w:pPr>
      <w:r>
        <w:rPr>
          <w:rFonts w:ascii="Arial" w:hAnsi="Arial"/>
          <w:sz w:val="22"/>
          <w:szCs w:val="22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</w:rPr>
      </w:pPr>
      <w:r>
        <w:rPr>
          <w:rFonts w:ascii="Arial" w:hAnsi="Arial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</w:rPr>
      </w:pPr>
      <w:r>
        <w:rPr>
          <w:rFonts w:ascii="Arial" w:hAnsi="Arial"/>
        </w:rPr>
        <w:drawing>
          <wp:anchor behindDoc="0" distT="0" distB="0" distL="0" distR="0" simplePos="0" locked="0" layoutInCell="1" allowOverlap="1" relativeHeight="7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3776980"/>
            <wp:effectExtent l="0" t="0" r="0" b="0"/>
            <wp:wrapTopAndBottom/>
            <wp:docPr id="15" name="Image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7" descr="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776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Onormal"/>
        <w:spacing w:lineRule="auto" w:line="360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  <w:highlight w:val="white"/>
        </w:rPr>
        <w:t>Fig. S9</w:t>
      </w:r>
      <w:r>
        <w:rPr>
          <w:rFonts w:ascii="Arial" w:hAnsi="Arial"/>
          <w:sz w:val="22"/>
          <w:szCs w:val="22"/>
          <w:highlight w:val="white"/>
        </w:rPr>
        <w:t xml:space="preserve"> - Relative abundance of SVs that, within a given sample, were observed exclusively in one year or in both years.</w:t>
      </w:r>
    </w:p>
    <w:p>
      <w:pPr>
        <w:pStyle w:val="LOnormal"/>
        <w:spacing w:lineRule="auto" w:line="360"/>
        <w:rPr>
          <w:rFonts w:ascii="Arial" w:hAnsi="Arial"/>
          <w:sz w:val="22"/>
          <w:szCs w:val="22"/>
          <w:highlight w:val="white"/>
        </w:rPr>
      </w:pPr>
      <w:r>
        <w:rPr>
          <w:rFonts w:ascii="Arial" w:hAnsi="Arial"/>
          <w:sz w:val="22"/>
          <w:szCs w:val="22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</w:rPr>
      </w:pPr>
      <w:r>
        <w:rPr/>
        <w:drawing>
          <wp:inline distT="0" distB="0" distL="0" distR="0">
            <wp:extent cx="5731510" cy="3683000"/>
            <wp:effectExtent l="0" t="0" r="0" b="0"/>
            <wp:docPr id="16" name="image14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4.png" descr="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83000"/>
                    </a:xfrm>
                    <a:prstGeom prst="rect">
                      <a:avLst/>
                    </a:prstGeom>
                    <a:ln w="635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LOnormal"/>
        <w:spacing w:lineRule="auto" w:line="360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  <w:highlight w:val="white"/>
        </w:rPr>
        <w:t>Fig. S10</w:t>
      </w:r>
      <w:r>
        <w:rPr>
          <w:rFonts w:ascii="Arial" w:hAnsi="Arial"/>
          <w:sz w:val="22"/>
          <w:szCs w:val="22"/>
          <w:highlight w:val="white"/>
        </w:rPr>
        <w:t xml:space="preserve"> -  A) pairwise Jaccard distance between samples for bacteria &amp; archea and fungi across the scales of the study (i.e. between local replicates, years, land use, vineyards and locations). Each comparison is calculated by first ‘fixing’ the other scales. </w:t>
      </w:r>
      <w:r>
        <w:rPr>
          <w:rFonts w:ascii="Arial" w:hAnsi="Arial"/>
          <w:i/>
          <w:sz w:val="22"/>
          <w:szCs w:val="22"/>
          <w:highlight w:val="white"/>
        </w:rPr>
        <w:t xml:space="preserve"> </w:t>
      </w:r>
      <w:r>
        <w:rPr>
          <w:rFonts w:ascii="Arial" w:hAnsi="Arial"/>
          <w:sz w:val="22"/>
          <w:szCs w:val="22"/>
          <w:highlight w:val="white"/>
        </w:rPr>
        <w:t xml:space="preserve">B) Relationship between fungal and bacterial pairwise Jaccard distances for each scale of the study. Thin grey line shows the hypothetical 1:1 relationship. </w:t>
      </w:r>
    </w:p>
    <w:p>
      <w:pPr>
        <w:pStyle w:val="LOnormal"/>
        <w:spacing w:lineRule="auto" w:line="360"/>
        <w:rPr>
          <w:rFonts w:ascii="Arial" w:hAnsi="Arial"/>
          <w:sz w:val="22"/>
          <w:szCs w:val="22"/>
          <w:highlight w:val="white"/>
        </w:rPr>
      </w:pPr>
      <w:r>
        <w:rPr>
          <w:rFonts w:ascii="Arial" w:hAnsi="Arial"/>
          <w:sz w:val="22"/>
          <w:szCs w:val="22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tbl>
      <w:tblPr>
        <w:tblStyle w:val="Table4"/>
        <w:tblW w:w="9029" w:type="dxa"/>
        <w:jc w:val="left"/>
        <w:tblInd w:w="100" w:type="dxa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9029"/>
      </w:tblGrid>
      <w:tr>
        <w:trPr/>
        <w:tc>
          <w:tcPr>
            <w:tcW w:w="9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rPr>
                <w:rFonts w:ascii="Arial" w:hAnsi="Arial"/>
              </w:rPr>
            </w:pPr>
            <w:r>
              <w:rPr>
                <w:rFonts w:ascii="Arial" w:hAnsi="Arial"/>
                <w:highlight w:val="white"/>
              </w:rPr>
              <w:t>Bacteria &amp; Archea</w:t>
            </w:r>
          </w:p>
          <w:p>
            <w:pPr>
              <w:pStyle w:val="LOnormal"/>
              <w:spacing w:lineRule="auto" w:line="360"/>
              <w:rPr>
                <w:rFonts w:ascii="Arial" w:hAnsi="Arial"/>
              </w:rPr>
            </w:pPr>
            <w:r>
              <w:rPr/>
              <w:drawing>
                <wp:inline distT="0" distB="0" distL="0" distR="0">
                  <wp:extent cx="4968875" cy="3188970"/>
                  <wp:effectExtent l="0" t="0" r="0" b="0"/>
                  <wp:docPr id="17" name="image10.png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1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8875" cy="3188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9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rPr>
                <w:rFonts w:ascii="Arial" w:hAnsi="Arial"/>
              </w:rPr>
            </w:pPr>
            <w:r>
              <w:rPr>
                <w:rFonts w:ascii="Arial" w:hAnsi="Arial"/>
                <w:highlight w:val="white"/>
              </w:rPr>
              <w:t>Fungi</w:t>
            </w:r>
          </w:p>
          <w:p>
            <w:pPr>
              <w:pStyle w:val="LOnormal"/>
              <w:spacing w:lineRule="auto" w:line="360"/>
              <w:rPr>
                <w:rFonts w:ascii="Arial" w:hAnsi="Arial"/>
              </w:rPr>
            </w:pPr>
            <w:r>
              <w:rPr/>
              <w:drawing>
                <wp:inline distT="0" distB="0" distL="0" distR="0">
                  <wp:extent cx="4975225" cy="3075305"/>
                  <wp:effectExtent l="0" t="0" r="0" b="0"/>
                  <wp:docPr id="18" name="image7.png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5225" cy="3075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LOnormal"/>
        <w:spacing w:lineRule="auto" w:line="360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</w:r>
    </w:p>
    <w:p>
      <w:pPr>
        <w:pStyle w:val="LOnormal"/>
        <w:spacing w:lineRule="auto" w:line="360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  <w:highlight w:val="white"/>
        </w:rPr>
        <w:t>Fig.S11</w:t>
      </w:r>
      <w:r>
        <w:rPr>
          <w:rFonts w:ascii="Arial" w:hAnsi="Arial"/>
          <w:sz w:val="22"/>
          <w:szCs w:val="22"/>
          <w:highlight w:val="white"/>
        </w:rPr>
        <w:t xml:space="preserve"> - Mantel correlograms between bacterial (top) and fungal (bottom) phylogenetic distance and niche distance based on soil abiotic variables. For a given variable, niche distance between taxa was measured as the absolute difference in their niche value, defined as the abundance-weighted mean of the environmental parameters where the species was present. Filled squares indicate significant Mantel correlation (p value &lt; 0.05). Phylogenetic distances of bacteria and fungi were normalised to range between 0 and 1.</w:t>
      </w:r>
    </w:p>
    <w:sectPr>
      <w:type w:val="nextPage"/>
      <w:pgSz w:w="11906" w:h="16838"/>
      <w:pgMar w:left="1134" w:right="1134" w:header="0" w:top="1134" w:footer="0" w:bottom="1134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0"/>
        <w:szCs w:val="24"/>
        <w:lang w:val="en-GB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en-GB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LOnormal">
    <w:name w:val="LO-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en-GB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image" Target="media/image8.png"/><Relationship Id="rId10" Type="http://schemas.openxmlformats.org/officeDocument/2006/relationships/image" Target="media/image9.png"/><Relationship Id="rId11" Type="http://schemas.openxmlformats.org/officeDocument/2006/relationships/image" Target="media/image10.png"/><Relationship Id="rId12" Type="http://schemas.openxmlformats.org/officeDocument/2006/relationships/image" Target="media/image11.png"/><Relationship Id="rId13" Type="http://schemas.openxmlformats.org/officeDocument/2006/relationships/image" Target="media/image12.png"/><Relationship Id="rId14" Type="http://schemas.openxmlformats.org/officeDocument/2006/relationships/image" Target="media/image13.png"/><Relationship Id="rId15" Type="http://schemas.openxmlformats.org/officeDocument/2006/relationships/image" Target="media/image14.png"/><Relationship Id="rId16" Type="http://schemas.openxmlformats.org/officeDocument/2006/relationships/image" Target="media/image15.png"/><Relationship Id="rId17" Type="http://schemas.openxmlformats.org/officeDocument/2006/relationships/image" Target="media/image16.png"/><Relationship Id="rId18" Type="http://schemas.openxmlformats.org/officeDocument/2006/relationships/image" Target="media/image17.png"/><Relationship Id="rId19" Type="http://schemas.openxmlformats.org/officeDocument/2006/relationships/image" Target="media/image18.png"/><Relationship Id="rId20" Type="http://schemas.openxmlformats.org/officeDocument/2006/relationships/fontTable" Target="fontTable.xml"/><Relationship Id="rId21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1609</TotalTime>
  <Application>LibreOffice/6.4.7.2$Linux_X86_64 LibreOffice_project/40$Build-2</Application>
  <Pages>16</Pages>
  <Words>531</Words>
  <Characters>2909</Characters>
  <CharactersWithSpaces>3430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2022-04-26T13:54:31Z</dcterms:created>
  <dc:creator>Stefano Larsen</dc:creator>
  <dc:description/>
  <dc:language>en-GB</dc:language>
  <cp:lastModifiedBy>Stefano Larsen</cp:lastModifiedBy>
  <dcterms:modified xsi:type="dcterms:W3CDTF">2022-06-21T09:53:23Z</dcterms:modified>
  <cp:revision>12</cp:revision>
  <dc:subject/>
  <dc:title/>
</cp:coreProperties>
</file>