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drawing>
          <wp:inline distT="0" distB="0" distL="114300" distR="114300">
            <wp:extent cx="5274310" cy="2343150"/>
            <wp:effectExtent l="0" t="0" r="13970" b="3810"/>
            <wp:docPr id="7" name="图片 7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 Rarefaction curves. (a) Chao index. (b) Shannon inedx.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5274310" cy="4023995"/>
            <wp:effectExtent l="0" t="0" r="13970" b="14605"/>
            <wp:docPr id="8" name="图片 8" descr="Fig.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Diversity of dominant symbiotic bacteria at the level of two spider venom glands and venom phyla. (a) Phylum: HG. (b) Phylum: HV. (c) Phylum: CG. (d) Phylum: CV. (e) Genus: HG. (f) Genus: HV. (g) Genus: CV. (h) Genus: CG.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left"/>
        <w:rPr>
          <w:rFonts w:hint="eastAsia" w:eastAsiaTheme="minorEastAsia"/>
          <w:shd w:val="clear" w:fill="FFFFFF"/>
          <w:lang w:val="en-US" w:eastAsia="zh-CN"/>
        </w:rPr>
      </w:pPr>
      <w:r>
        <w:rPr>
          <w:rFonts w:hint="eastAsia" w:eastAsiaTheme="minorEastAsia"/>
          <w:shd w:val="clear" w:fill="FFFFFF"/>
          <w:lang w:val="en-US" w:eastAsia="zh-CN"/>
        </w:rPr>
        <w:drawing>
          <wp:inline distT="0" distB="0" distL="114300" distR="114300">
            <wp:extent cx="5271770" cy="3388360"/>
            <wp:effectExtent l="0" t="0" r="1270" b="10160"/>
            <wp:docPr id="9" name="图片 9" descr="Fig.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.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8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>3  LEfSe multi-level species hierarchy tree diagram.</w:t>
      </w:r>
    </w:p>
    <w:p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 w:line="360" w:lineRule="auto"/>
        <w:ind w:left="0" w:right="0"/>
        <w:jc w:val="center"/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5272405" cy="5852160"/>
            <wp:effectExtent l="0" t="0" r="635" b="0"/>
            <wp:docPr id="10" name="图片 10" descr="Fig.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.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 The hotmap of functional abundance on level 2 based on the KEGG database.</w:t>
      </w:r>
    </w:p>
    <w:p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 w:line="360" w:lineRule="auto"/>
        <w:ind w:left="0" w:right="0"/>
        <w:jc w:val="center"/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/>
        </w:rPr>
        <w:drawing>
          <wp:inline distT="0" distB="0" distL="114300" distR="114300">
            <wp:extent cx="5274310" cy="2377440"/>
            <wp:effectExtent l="0" t="0" r="13970" b="0"/>
            <wp:docPr id="11" name="图片 11" descr="Fig.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.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widowControl w:val="0"/>
        <w:suppressLineNumbers w:val="0"/>
        <w:autoSpaceDE/>
        <w:autoSpaceDN w:val="0"/>
        <w:spacing w:before="0" w:beforeAutospacing="0" w:after="0" w:afterAutospacing="0"/>
        <w:ind w:left="0" w:right="0"/>
        <w:jc w:val="center"/>
        <w:rPr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 xml:space="preserve">Figure </w:t>
      </w:r>
      <w:r>
        <w:rPr>
          <w:rFonts w:hint="eastAsia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Cs/>
          <w:kern w:val="0"/>
          <w:sz w:val="22"/>
          <w:szCs w:val="22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 The hotmap of functional abundance on level 1 based on the KEGG database.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xOTZjNjI3MWQ5YWNjOTBhMjY0NTRkNWM2OWFhMDAifQ=="/>
  </w:docVars>
  <w:rsids>
    <w:rsidRoot w:val="00000000"/>
    <w:rsid w:val="0FA91A7F"/>
    <w:rsid w:val="24D81A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页眉 字符"/>
    <w:basedOn w:val="4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90</Words>
  <Characters>435</Characters>
  <Lines>0</Lines>
  <Paragraphs>0</Paragraphs>
  <TotalTime>2</TotalTime>
  <ScaleCrop>false</ScaleCrop>
  <LinksUpToDate>false</LinksUpToDate>
  <CharactersWithSpaces>525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华硕</dc:creator>
  <cp:lastModifiedBy>华硕</cp:lastModifiedBy>
  <dcterms:modified xsi:type="dcterms:W3CDTF">2024-08-11T09:18:55Z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B0BDF5ED7C464AF794E0C0BD832F0A03_12</vt:lpwstr>
  </property>
</Properties>
</file>