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9ECF3" w14:textId="44B3FD7E" w:rsidR="003F26BC" w:rsidRDefault="00C70E14" w:rsidP="003F26BC">
      <w:pPr>
        <w:spacing w:line="360" w:lineRule="auto"/>
        <w:jc w:val="center"/>
        <w:rPr>
          <w:rFonts w:ascii="Times New Roman" w:hAnsi="Times New Roman" w:cs="Times New Roman" w:hint="eastAsia"/>
          <w:sz w:val="32"/>
          <w:szCs w:val="32"/>
        </w:rPr>
      </w:pPr>
      <w:r w:rsidRPr="007450A5">
        <w:rPr>
          <w:rFonts w:ascii="Times New Roman" w:hAnsi="Times New Roman" w:cs="Times New Roman"/>
          <w:sz w:val="32"/>
          <w:szCs w:val="32"/>
        </w:rPr>
        <w:t>Supplementary Materials</w:t>
      </w:r>
    </w:p>
    <w:p w14:paraId="59DB8ABB" w14:textId="5F4E1AE0" w:rsidR="003F26BC" w:rsidRDefault="003F26BC" w:rsidP="008623CA">
      <w:pPr>
        <w:spacing w:line="360" w:lineRule="auto"/>
        <w:jc w:val="center"/>
        <w:rPr>
          <w:rFonts w:ascii="Times New Roman" w:hAnsi="Times New Roman" w:cs="Times New Roman"/>
          <w:sz w:val="32"/>
          <w:szCs w:val="32"/>
        </w:rPr>
      </w:pPr>
      <w:r>
        <w:rPr>
          <w:rFonts w:ascii="Times New Roman" w:hAnsi="Times New Roman" w:cs="Times New Roman" w:hint="eastAsia"/>
          <w:noProof/>
          <w:sz w:val="32"/>
          <w:szCs w:val="32"/>
        </w:rPr>
        <w:drawing>
          <wp:inline distT="0" distB="0" distL="0" distR="0" wp14:anchorId="5D5401CC" wp14:editId="7CAEC561">
            <wp:extent cx="5274310" cy="3731260"/>
            <wp:effectExtent l="0" t="0" r="0" b="2540"/>
            <wp:docPr id="5022722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72244" name="图片 50227224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731260"/>
                    </a:xfrm>
                    <a:prstGeom prst="rect">
                      <a:avLst/>
                    </a:prstGeom>
                  </pic:spPr>
                </pic:pic>
              </a:graphicData>
            </a:graphic>
          </wp:inline>
        </w:drawing>
      </w:r>
    </w:p>
    <w:p w14:paraId="44005041" w14:textId="4F8E8CB2" w:rsidR="003F26BC" w:rsidRPr="003F26BC" w:rsidRDefault="003F26BC" w:rsidP="006676EE">
      <w:pPr>
        <w:spacing w:line="360" w:lineRule="auto"/>
        <w:jc w:val="left"/>
        <w:rPr>
          <w:rFonts w:ascii="Times New Roman" w:hAnsi="Times New Roman" w:cs="Times New Roman" w:hint="eastAsia"/>
        </w:rPr>
      </w:pPr>
      <w:r w:rsidRPr="003F26BC">
        <w:rPr>
          <w:rFonts w:ascii="Times New Roman" w:hAnsi="Times New Roman" w:cs="Times New Roman"/>
        </w:rPr>
        <w:t>Fig</w:t>
      </w:r>
      <w:r>
        <w:rPr>
          <w:rFonts w:ascii="Times New Roman" w:hAnsi="Times New Roman" w:cs="Times New Roman" w:hint="eastAsia"/>
        </w:rPr>
        <w:t>.</w:t>
      </w:r>
      <w:r w:rsidRPr="003F26BC">
        <w:rPr>
          <w:rFonts w:ascii="Times New Roman" w:hAnsi="Times New Roman" w:cs="Times New Roman"/>
        </w:rPr>
        <w:t xml:space="preserve"> </w:t>
      </w:r>
      <w:r>
        <w:rPr>
          <w:rFonts w:ascii="Times New Roman" w:hAnsi="Times New Roman" w:cs="Times New Roman" w:hint="eastAsia"/>
        </w:rPr>
        <w:t>S</w:t>
      </w:r>
      <w:r w:rsidRPr="003F26BC">
        <w:rPr>
          <w:rFonts w:ascii="Times New Roman" w:hAnsi="Times New Roman" w:cs="Times New Roman" w:hint="eastAsia"/>
        </w:rPr>
        <w:t>1</w:t>
      </w:r>
      <w:r w:rsidRPr="003F26BC">
        <w:rPr>
          <w:rFonts w:ascii="Times New Roman" w:hAnsi="Times New Roman" w:cs="Times New Roman"/>
        </w:rPr>
        <w:t xml:space="preserve">. Geographic location of the sampling site in the Haihe River, Tianjin, China. The red dot indicates the specific sampling location. </w:t>
      </w:r>
    </w:p>
    <w:p w14:paraId="16F5C198" w14:textId="35241A40" w:rsidR="003F26BC" w:rsidRDefault="003F26BC" w:rsidP="003F26BC">
      <w:pPr>
        <w:spacing w:line="36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450FD839" wp14:editId="44CCB7AA">
            <wp:extent cx="4584993" cy="3894981"/>
            <wp:effectExtent l="0" t="0" r="0" b="4445"/>
            <wp:docPr id="13642031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03199" name="图片 136420319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20653" cy="3925274"/>
                    </a:xfrm>
                    <a:prstGeom prst="rect">
                      <a:avLst/>
                    </a:prstGeom>
                  </pic:spPr>
                </pic:pic>
              </a:graphicData>
            </a:graphic>
          </wp:inline>
        </w:drawing>
      </w:r>
    </w:p>
    <w:p w14:paraId="14EC3994" w14:textId="27B2F1DF" w:rsidR="008623CA" w:rsidRPr="003F26BC" w:rsidRDefault="003F26BC" w:rsidP="003F26BC">
      <w:pPr>
        <w:spacing w:line="360" w:lineRule="auto"/>
        <w:rPr>
          <w:rFonts w:ascii="Times New Roman" w:hAnsi="Times New Roman" w:cs="Times New Roman"/>
        </w:rPr>
      </w:pPr>
      <w:r w:rsidRPr="003F26BC">
        <w:rPr>
          <w:rFonts w:ascii="Times New Roman" w:hAnsi="Times New Roman" w:cs="Times New Roman" w:hint="eastAsia"/>
          <w:b/>
          <w:bCs/>
        </w:rPr>
        <w:lastRenderedPageBreak/>
        <w:t>Fig. S2</w:t>
      </w:r>
      <w:r>
        <w:rPr>
          <w:rFonts w:ascii="Times New Roman" w:hAnsi="Times New Roman" w:cs="Times New Roman" w:hint="eastAsia"/>
        </w:rPr>
        <w:t xml:space="preserve"> </w:t>
      </w:r>
      <w:r w:rsidRPr="003F26BC">
        <w:rPr>
          <w:rFonts w:ascii="Times New Roman" w:hAnsi="Times New Roman" w:cs="Times New Roman"/>
        </w:rPr>
        <w:t>Temporal variation of environmental factors during the study period, including water quality parameters (TN, TP, NH₄-N, NO₃-N, TSS, and pH) and meteorological variables (temperature, relative humidity, and wind speed).</w:t>
      </w:r>
    </w:p>
    <w:p w14:paraId="43FFC8FE" w14:textId="10C4780E" w:rsidR="00E82931" w:rsidRDefault="00C70E14" w:rsidP="008623CA">
      <w:pPr>
        <w:spacing w:line="360" w:lineRule="auto"/>
      </w:pPr>
      <w:r>
        <w:rPr>
          <w:noProof/>
        </w:rPr>
        <w:drawing>
          <wp:inline distT="0" distB="0" distL="0" distR="0" wp14:anchorId="5C3E5952" wp14:editId="0A4644DE">
            <wp:extent cx="4559300" cy="2730500"/>
            <wp:effectExtent l="0" t="0" r="0" b="0"/>
            <wp:docPr id="7846934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93453" name="图片 78469345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59300" cy="2730500"/>
                    </a:xfrm>
                    <a:prstGeom prst="rect">
                      <a:avLst/>
                    </a:prstGeom>
                  </pic:spPr>
                </pic:pic>
              </a:graphicData>
            </a:graphic>
          </wp:inline>
        </w:drawing>
      </w:r>
    </w:p>
    <w:p w14:paraId="2495CBDF" w14:textId="2B76D8B5" w:rsidR="00C70E14" w:rsidRDefault="00C70E14" w:rsidP="008623CA">
      <w:pPr>
        <w:spacing w:line="360" w:lineRule="auto"/>
        <w:rPr>
          <w:rFonts w:ascii="Times New Roman" w:hAnsi="Times New Roman" w:cs="Times New Roman"/>
        </w:rPr>
      </w:pPr>
      <w:r w:rsidRPr="00C70E14">
        <w:rPr>
          <w:rFonts w:ascii="Times New Roman" w:hAnsi="Times New Roman" w:cs="Times New Roman"/>
          <w:b/>
          <w:bCs/>
        </w:rPr>
        <w:t>Fig. S1</w:t>
      </w:r>
      <w:r w:rsidRPr="00C70E14">
        <w:rPr>
          <w:rFonts w:ascii="Times New Roman" w:hAnsi="Times New Roman" w:cs="Times New Roman"/>
        </w:rPr>
        <w:t xml:space="preserve"> Time-decay relationships (TDRs) for prokaryotic and eukaryotic communities, showing Bray-</w:t>
      </w:r>
      <w:proofErr w:type="gramStart"/>
      <w:r w:rsidRPr="00C70E14">
        <w:rPr>
          <w:rFonts w:ascii="Times New Roman" w:hAnsi="Times New Roman" w:cs="Times New Roman"/>
        </w:rPr>
        <w:t>Curtis</w:t>
      </w:r>
      <w:proofErr w:type="gramEnd"/>
      <w:r w:rsidRPr="00C70E14">
        <w:rPr>
          <w:rFonts w:ascii="Times New Roman" w:hAnsi="Times New Roman" w:cs="Times New Roman"/>
        </w:rPr>
        <w:t xml:space="preserve"> dissimilarity over time.</w:t>
      </w:r>
    </w:p>
    <w:p w14:paraId="69789327" w14:textId="77777777" w:rsidR="00C70E14" w:rsidRPr="00C70E14" w:rsidRDefault="00C70E14" w:rsidP="008623CA">
      <w:pPr>
        <w:spacing w:line="360" w:lineRule="auto"/>
        <w:rPr>
          <w:rFonts w:ascii="Times New Roman" w:hAnsi="Times New Roman" w:cs="Times New Roman"/>
        </w:rPr>
      </w:pPr>
    </w:p>
    <w:p w14:paraId="3942277C" w14:textId="7DFFFD50" w:rsidR="00C70E14" w:rsidRDefault="00C70E14" w:rsidP="008623CA">
      <w:pPr>
        <w:spacing w:line="360" w:lineRule="auto"/>
      </w:pPr>
      <w:r>
        <w:rPr>
          <w:rFonts w:hint="eastAsia"/>
          <w:noProof/>
        </w:rPr>
        <w:drawing>
          <wp:inline distT="0" distB="0" distL="0" distR="0" wp14:anchorId="60A5CEBC" wp14:editId="1A9C11C0">
            <wp:extent cx="5274310" cy="1735455"/>
            <wp:effectExtent l="0" t="0" r="0" b="4445"/>
            <wp:docPr id="18609190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19028" name="图片 18609190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735455"/>
                    </a:xfrm>
                    <a:prstGeom prst="rect">
                      <a:avLst/>
                    </a:prstGeom>
                  </pic:spPr>
                </pic:pic>
              </a:graphicData>
            </a:graphic>
          </wp:inline>
        </w:drawing>
      </w:r>
    </w:p>
    <w:p w14:paraId="3BD48C9A" w14:textId="09A887A4" w:rsidR="00C70E14" w:rsidRDefault="00C70E14" w:rsidP="008623CA">
      <w:pPr>
        <w:spacing w:line="360" w:lineRule="auto"/>
        <w:rPr>
          <w:rFonts w:ascii="Times New Roman" w:hAnsi="Times New Roman" w:cs="Times New Roman"/>
        </w:rPr>
      </w:pPr>
      <w:r w:rsidRPr="00C70E14">
        <w:rPr>
          <w:rFonts w:ascii="Times New Roman" w:hAnsi="Times New Roman" w:cs="Times New Roman" w:hint="eastAsia"/>
          <w:b/>
          <w:bCs/>
        </w:rPr>
        <w:t>Fig. S2</w:t>
      </w:r>
      <w:r w:rsidRPr="00C70E14">
        <w:rPr>
          <w:rFonts w:ascii="Times New Roman" w:hAnsi="Times New Roman" w:cs="Times New Roman" w:hint="eastAsia"/>
        </w:rPr>
        <w:t xml:space="preserve"> </w:t>
      </w:r>
      <w:r w:rsidRPr="00C70E14">
        <w:rPr>
          <w:rFonts w:ascii="Times New Roman" w:hAnsi="Times New Roman" w:cs="Times New Roman"/>
        </w:rPr>
        <w:t>Principal Coordinates Analysis (</w:t>
      </w:r>
      <w:proofErr w:type="spellStart"/>
      <w:r w:rsidRPr="00C70E14">
        <w:rPr>
          <w:rFonts w:ascii="Times New Roman" w:hAnsi="Times New Roman" w:cs="Times New Roman"/>
        </w:rPr>
        <w:t>PCoA</w:t>
      </w:r>
      <w:proofErr w:type="spellEnd"/>
      <w:r w:rsidRPr="00C70E14">
        <w:rPr>
          <w:rFonts w:ascii="Times New Roman" w:hAnsi="Times New Roman" w:cs="Times New Roman"/>
        </w:rPr>
        <w:t>) plots showing community structure for prokaryotic (left) and eukaryotic (right) communities based on Bray-</w:t>
      </w:r>
      <w:proofErr w:type="gramStart"/>
      <w:r w:rsidRPr="00C70E14">
        <w:rPr>
          <w:rFonts w:ascii="Times New Roman" w:hAnsi="Times New Roman" w:cs="Times New Roman"/>
        </w:rPr>
        <w:t>Curtis</w:t>
      </w:r>
      <w:proofErr w:type="gramEnd"/>
      <w:r w:rsidRPr="00C70E14">
        <w:rPr>
          <w:rFonts w:ascii="Times New Roman" w:hAnsi="Times New Roman" w:cs="Times New Roman"/>
        </w:rPr>
        <w:t xml:space="preserve"> dissimilarity.</w:t>
      </w:r>
    </w:p>
    <w:p w14:paraId="4B344D94" w14:textId="0DE5CD04" w:rsidR="00C70E14" w:rsidRDefault="00C70E14" w:rsidP="008623CA">
      <w:pPr>
        <w:spacing w:line="360" w:lineRule="auto"/>
        <w:rPr>
          <w:rFonts w:ascii="Times New Roman" w:hAnsi="Times New Roman" w:cs="Times New Roman"/>
        </w:rPr>
      </w:pPr>
      <w:r>
        <w:rPr>
          <w:rFonts w:ascii="Times New Roman" w:hAnsi="Times New Roman" w:cs="Times New Roman" w:hint="eastAsia"/>
          <w:noProof/>
        </w:rPr>
        <w:lastRenderedPageBreak/>
        <w:drawing>
          <wp:inline distT="0" distB="0" distL="0" distR="0" wp14:anchorId="43F6C3FB" wp14:editId="25B42042">
            <wp:extent cx="4572000" cy="3657600"/>
            <wp:effectExtent l="0" t="0" r="0" b="0"/>
            <wp:docPr id="15026541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54169" name="图片 15026541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1E808BF7" w14:textId="76AFCC62" w:rsidR="00C70E14" w:rsidRDefault="00C70E14" w:rsidP="008623CA">
      <w:pPr>
        <w:spacing w:line="360" w:lineRule="auto"/>
        <w:rPr>
          <w:rFonts w:ascii="Times New Roman" w:hAnsi="Times New Roman" w:cs="Times New Roman"/>
        </w:rPr>
      </w:pPr>
      <w:r w:rsidRPr="008623CA">
        <w:rPr>
          <w:rFonts w:ascii="Times New Roman" w:hAnsi="Times New Roman" w:cs="Times New Roman" w:hint="eastAsia"/>
          <w:b/>
          <w:bCs/>
        </w:rPr>
        <w:t>Fig. S3</w:t>
      </w:r>
      <w:r>
        <w:rPr>
          <w:rFonts w:ascii="Times New Roman" w:hAnsi="Times New Roman" w:cs="Times New Roman" w:hint="eastAsia"/>
        </w:rPr>
        <w:t xml:space="preserve"> </w:t>
      </w:r>
      <w:r w:rsidRPr="00C70E14">
        <w:rPr>
          <w:rFonts w:ascii="Times New Roman" w:hAnsi="Times New Roman" w:cs="Times New Roman"/>
        </w:rPr>
        <w:t>Average Variation Degree (AVD) for eukaryotic and prokaryotic communities during the Dynamic and Stabilization Phases. The significant difference in AVD between the Stabilization Phase for eukaryotic and prokaryotic communities is marked with ** (p &lt; 0.01).</w:t>
      </w:r>
    </w:p>
    <w:p w14:paraId="3D0598F3" w14:textId="31D98417" w:rsidR="00C70E14" w:rsidRDefault="00C70E14" w:rsidP="008623CA">
      <w:pPr>
        <w:spacing w:line="360" w:lineRule="auto"/>
        <w:rPr>
          <w:rFonts w:ascii="Times New Roman" w:hAnsi="Times New Roman" w:cs="Times New Roman"/>
        </w:rPr>
      </w:pPr>
      <w:r>
        <w:rPr>
          <w:rFonts w:ascii="Times New Roman" w:hAnsi="Times New Roman" w:cs="Times New Roman" w:hint="eastAsia"/>
          <w:noProof/>
        </w:rPr>
        <w:drawing>
          <wp:inline distT="0" distB="0" distL="0" distR="0" wp14:anchorId="00AD27EC" wp14:editId="6A38F24B">
            <wp:extent cx="4572000" cy="3657600"/>
            <wp:effectExtent l="0" t="0" r="0" b="0"/>
            <wp:docPr id="18090120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12045" name="图片 180901204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50027E1D" w14:textId="4345BA17" w:rsidR="00C70E14" w:rsidRDefault="00C70E14" w:rsidP="008623CA">
      <w:pPr>
        <w:spacing w:line="360" w:lineRule="auto"/>
        <w:rPr>
          <w:rFonts w:ascii="Times New Roman" w:hAnsi="Times New Roman" w:cs="Times New Roman"/>
        </w:rPr>
      </w:pPr>
      <w:r w:rsidRPr="008623CA">
        <w:rPr>
          <w:rFonts w:ascii="Times New Roman" w:hAnsi="Times New Roman" w:cs="Times New Roman" w:hint="eastAsia"/>
          <w:b/>
          <w:bCs/>
        </w:rPr>
        <w:t>Fig. S4</w:t>
      </w:r>
      <w:r>
        <w:rPr>
          <w:rFonts w:ascii="Times New Roman" w:hAnsi="Times New Roman" w:cs="Times New Roman" w:hint="eastAsia"/>
        </w:rPr>
        <w:t xml:space="preserve"> </w:t>
      </w:r>
      <w:r w:rsidRPr="00C70E14">
        <w:rPr>
          <w:rFonts w:ascii="Times New Roman" w:hAnsi="Times New Roman" w:cs="Times New Roman"/>
        </w:rPr>
        <w:t xml:space="preserve">Pielou’s evenness index for eukaryotic and prokaryotic communities during the Dynamic </w:t>
      </w:r>
      <w:r w:rsidRPr="00C70E14">
        <w:rPr>
          <w:rFonts w:ascii="Times New Roman" w:hAnsi="Times New Roman" w:cs="Times New Roman"/>
        </w:rPr>
        <w:lastRenderedPageBreak/>
        <w:t>and Stabilization Phases. Green boxplots represent the Dynamic Phase, and orange boxplots represent the Stabilization Phase. Significant differences between phases are indicated for both eukaryotes (** p &lt; 0.01) and prokaryotes (**** p &lt; 0.0001).</w:t>
      </w:r>
    </w:p>
    <w:p w14:paraId="6FF6B7B3" w14:textId="77777777" w:rsidR="00C70E14" w:rsidRDefault="00C70E14" w:rsidP="008623CA">
      <w:pPr>
        <w:spacing w:line="360" w:lineRule="auto"/>
        <w:rPr>
          <w:rFonts w:ascii="Times New Roman" w:hAnsi="Times New Roman" w:cs="Times New Roman"/>
        </w:rPr>
      </w:pPr>
    </w:p>
    <w:p w14:paraId="7873A1D1" w14:textId="0B4E3F1F" w:rsidR="00C70E14" w:rsidRDefault="00C70E14" w:rsidP="008623CA">
      <w:pPr>
        <w:spacing w:line="360" w:lineRule="auto"/>
        <w:rPr>
          <w:rFonts w:ascii="Times New Roman" w:hAnsi="Times New Roman" w:cs="Times New Roman"/>
        </w:rPr>
      </w:pPr>
      <w:r>
        <w:rPr>
          <w:rFonts w:ascii="Times New Roman" w:hAnsi="Times New Roman" w:cs="Times New Roman" w:hint="eastAsia"/>
          <w:noProof/>
        </w:rPr>
        <w:drawing>
          <wp:inline distT="0" distB="0" distL="0" distR="0" wp14:anchorId="53D83897" wp14:editId="0D46A51D">
            <wp:extent cx="4584700" cy="3670300"/>
            <wp:effectExtent l="0" t="0" r="0" b="0"/>
            <wp:docPr id="15294573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57355" name="图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84700" cy="3670300"/>
                    </a:xfrm>
                    <a:prstGeom prst="rect">
                      <a:avLst/>
                    </a:prstGeom>
                  </pic:spPr>
                </pic:pic>
              </a:graphicData>
            </a:graphic>
          </wp:inline>
        </w:drawing>
      </w:r>
    </w:p>
    <w:p w14:paraId="4B6914F6" w14:textId="787E1F95" w:rsidR="00D141D6" w:rsidRDefault="00D141D6" w:rsidP="008623CA">
      <w:pPr>
        <w:spacing w:line="360" w:lineRule="auto"/>
        <w:rPr>
          <w:rFonts w:ascii="Times New Roman" w:hAnsi="Times New Roman" w:cs="Times New Roman"/>
        </w:rPr>
      </w:pPr>
      <w:r w:rsidRPr="00D141D6">
        <w:rPr>
          <w:rFonts w:ascii="Times New Roman" w:hAnsi="Times New Roman" w:cs="Times New Roman" w:hint="eastAsia"/>
          <w:b/>
          <w:bCs/>
        </w:rPr>
        <w:t>Fig. S5</w:t>
      </w:r>
      <w:r>
        <w:rPr>
          <w:rFonts w:ascii="Times New Roman" w:hAnsi="Times New Roman" w:cs="Times New Roman" w:hint="eastAsia"/>
        </w:rPr>
        <w:t xml:space="preserve"> </w:t>
      </w:r>
      <w:r w:rsidRPr="00D141D6">
        <w:rPr>
          <w:rFonts w:ascii="Times New Roman" w:hAnsi="Times New Roman" w:cs="Times New Roman"/>
        </w:rPr>
        <w:t>Vulnerability of microbial co-occurrence networks during the Dynamic Phase and Stabilization Phase. Networks are categorized into Homogenization (Dynamic Phase) and Heterogenization (Stabilization Phase).</w:t>
      </w:r>
    </w:p>
    <w:p w14:paraId="5944311A" w14:textId="77777777" w:rsidR="00D141D6" w:rsidRDefault="00D141D6" w:rsidP="008623CA">
      <w:pPr>
        <w:spacing w:line="360" w:lineRule="auto"/>
        <w:rPr>
          <w:rFonts w:ascii="Times New Roman" w:hAnsi="Times New Roman" w:cs="Times New Roman"/>
        </w:rPr>
      </w:pPr>
    </w:p>
    <w:p w14:paraId="0FEB770F" w14:textId="2A807097" w:rsidR="00D141D6" w:rsidRDefault="00D141D6" w:rsidP="008623CA">
      <w:pPr>
        <w:spacing w:line="360" w:lineRule="auto"/>
        <w:jc w:val="left"/>
        <w:rPr>
          <w:rFonts w:ascii="Times New Roman" w:hAnsi="Times New Roman" w:cs="Times New Roman"/>
        </w:rPr>
      </w:pPr>
      <w:r w:rsidRPr="00D141D6">
        <w:rPr>
          <w:rFonts w:ascii="Times New Roman" w:hAnsi="Times New Roman" w:cs="Times New Roman" w:hint="eastAsia"/>
          <w:b/>
          <w:bCs/>
        </w:rPr>
        <w:t>Table S1</w:t>
      </w:r>
      <w:r>
        <w:rPr>
          <w:rFonts w:ascii="Times New Roman" w:hAnsi="Times New Roman" w:cs="Times New Roman" w:hint="eastAsia"/>
        </w:rPr>
        <w:t xml:space="preserve"> </w:t>
      </w:r>
      <w:r w:rsidRPr="00D141D6">
        <w:rPr>
          <w:rFonts w:ascii="Times New Roman" w:hAnsi="Times New Roman" w:cs="Times New Roman"/>
        </w:rPr>
        <w:t>Network properties comparison between the Dynamic Phase and Stabilization Phase for microbial co-occurrence networks.</w:t>
      </w:r>
    </w:p>
    <w:tbl>
      <w:tblPr>
        <w:tblW w:w="8087" w:type="dxa"/>
        <w:tblInd w:w="-7" w:type="dxa"/>
        <w:tblLook w:val="04A0" w:firstRow="1" w:lastRow="0" w:firstColumn="1" w:lastColumn="0" w:noHBand="0" w:noVBand="1"/>
      </w:tblPr>
      <w:tblGrid>
        <w:gridCol w:w="2695"/>
        <w:gridCol w:w="2696"/>
        <w:gridCol w:w="2696"/>
      </w:tblGrid>
      <w:tr w:rsidR="00D141D6" w14:paraId="2E35ABF7" w14:textId="77777777" w:rsidTr="00D141D6">
        <w:trPr>
          <w:trHeight w:val="624"/>
        </w:trPr>
        <w:tc>
          <w:tcPr>
            <w:tcW w:w="2695" w:type="dxa"/>
            <w:tcBorders>
              <w:top w:val="single" w:sz="8" w:space="0" w:color="auto"/>
              <w:left w:val="nil"/>
              <w:bottom w:val="single" w:sz="8" w:space="0" w:color="auto"/>
              <w:right w:val="nil"/>
            </w:tcBorders>
            <w:shd w:val="clear" w:color="auto" w:fill="auto"/>
            <w:vAlign w:val="center"/>
            <w:hideMark/>
          </w:tcPr>
          <w:p w14:paraId="4A022E13" w14:textId="77777777" w:rsidR="00D141D6" w:rsidRDefault="00D141D6" w:rsidP="008623CA">
            <w:pPr>
              <w:widowControl/>
              <w:spacing w:line="360" w:lineRule="auto"/>
              <w:jc w:val="center"/>
              <w:rPr>
                <w:rFonts w:ascii="Helvetica" w:eastAsia="DengXian" w:hAnsi="Helvetica"/>
                <w:color w:val="000000"/>
              </w:rPr>
            </w:pPr>
            <w:r>
              <w:rPr>
                <w:rFonts w:ascii="Helvetica" w:eastAsia="DengXian" w:hAnsi="Helvetica"/>
                <w:color w:val="000000"/>
              </w:rPr>
              <w:t>Property</w:t>
            </w:r>
          </w:p>
        </w:tc>
        <w:tc>
          <w:tcPr>
            <w:tcW w:w="2696" w:type="dxa"/>
            <w:tcBorders>
              <w:top w:val="single" w:sz="8" w:space="0" w:color="auto"/>
              <w:left w:val="nil"/>
              <w:bottom w:val="single" w:sz="8" w:space="0" w:color="auto"/>
              <w:right w:val="nil"/>
            </w:tcBorders>
            <w:shd w:val="clear" w:color="auto" w:fill="auto"/>
            <w:vAlign w:val="center"/>
            <w:hideMark/>
          </w:tcPr>
          <w:p w14:paraId="50AE6E49"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Dynamic Phase</w:t>
            </w:r>
          </w:p>
        </w:tc>
        <w:tc>
          <w:tcPr>
            <w:tcW w:w="2696" w:type="dxa"/>
            <w:tcBorders>
              <w:top w:val="single" w:sz="8" w:space="0" w:color="auto"/>
              <w:left w:val="nil"/>
              <w:bottom w:val="single" w:sz="8" w:space="0" w:color="auto"/>
              <w:right w:val="nil"/>
            </w:tcBorders>
            <w:shd w:val="clear" w:color="auto" w:fill="auto"/>
            <w:vAlign w:val="center"/>
            <w:hideMark/>
          </w:tcPr>
          <w:p w14:paraId="4EC9C920"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Stabilization Phase</w:t>
            </w:r>
          </w:p>
        </w:tc>
      </w:tr>
      <w:tr w:rsidR="00D141D6" w14:paraId="28AB2E3B" w14:textId="77777777" w:rsidTr="00D141D6">
        <w:trPr>
          <w:trHeight w:val="624"/>
        </w:trPr>
        <w:tc>
          <w:tcPr>
            <w:tcW w:w="2695" w:type="dxa"/>
            <w:tcBorders>
              <w:top w:val="nil"/>
              <w:left w:val="nil"/>
              <w:bottom w:val="nil"/>
              <w:right w:val="nil"/>
            </w:tcBorders>
            <w:shd w:val="clear" w:color="auto" w:fill="auto"/>
            <w:vAlign w:val="center"/>
            <w:hideMark/>
          </w:tcPr>
          <w:p w14:paraId="5C12E650"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Vertex</w:t>
            </w:r>
          </w:p>
        </w:tc>
        <w:tc>
          <w:tcPr>
            <w:tcW w:w="2696" w:type="dxa"/>
            <w:tcBorders>
              <w:top w:val="nil"/>
              <w:left w:val="nil"/>
              <w:bottom w:val="nil"/>
              <w:right w:val="nil"/>
            </w:tcBorders>
            <w:shd w:val="clear" w:color="auto" w:fill="auto"/>
            <w:vAlign w:val="center"/>
            <w:hideMark/>
          </w:tcPr>
          <w:p w14:paraId="5C1A851F"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722 </w:t>
            </w:r>
          </w:p>
        </w:tc>
        <w:tc>
          <w:tcPr>
            <w:tcW w:w="2696" w:type="dxa"/>
            <w:tcBorders>
              <w:top w:val="nil"/>
              <w:left w:val="nil"/>
              <w:bottom w:val="nil"/>
              <w:right w:val="nil"/>
            </w:tcBorders>
            <w:shd w:val="clear" w:color="auto" w:fill="auto"/>
            <w:vAlign w:val="center"/>
            <w:hideMark/>
          </w:tcPr>
          <w:p w14:paraId="0071CBFC"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742 </w:t>
            </w:r>
          </w:p>
        </w:tc>
      </w:tr>
      <w:tr w:rsidR="00D141D6" w14:paraId="787A435F" w14:textId="77777777" w:rsidTr="00D141D6">
        <w:trPr>
          <w:trHeight w:val="624"/>
        </w:trPr>
        <w:tc>
          <w:tcPr>
            <w:tcW w:w="2695" w:type="dxa"/>
            <w:tcBorders>
              <w:top w:val="nil"/>
              <w:left w:val="nil"/>
              <w:bottom w:val="nil"/>
              <w:right w:val="nil"/>
            </w:tcBorders>
            <w:shd w:val="clear" w:color="auto" w:fill="auto"/>
            <w:vAlign w:val="center"/>
            <w:hideMark/>
          </w:tcPr>
          <w:p w14:paraId="4A19634D"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Edge</w:t>
            </w:r>
          </w:p>
        </w:tc>
        <w:tc>
          <w:tcPr>
            <w:tcW w:w="2696" w:type="dxa"/>
            <w:tcBorders>
              <w:top w:val="nil"/>
              <w:left w:val="nil"/>
              <w:bottom w:val="nil"/>
              <w:right w:val="nil"/>
            </w:tcBorders>
            <w:shd w:val="clear" w:color="auto" w:fill="auto"/>
            <w:vAlign w:val="center"/>
            <w:hideMark/>
          </w:tcPr>
          <w:p w14:paraId="4B036C75"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3209 </w:t>
            </w:r>
          </w:p>
        </w:tc>
        <w:tc>
          <w:tcPr>
            <w:tcW w:w="2696" w:type="dxa"/>
            <w:tcBorders>
              <w:top w:val="nil"/>
              <w:left w:val="nil"/>
              <w:bottom w:val="nil"/>
              <w:right w:val="nil"/>
            </w:tcBorders>
            <w:shd w:val="clear" w:color="auto" w:fill="auto"/>
            <w:vAlign w:val="center"/>
            <w:hideMark/>
          </w:tcPr>
          <w:p w14:paraId="5D64A0D0"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6429 </w:t>
            </w:r>
          </w:p>
        </w:tc>
      </w:tr>
      <w:tr w:rsidR="00D141D6" w14:paraId="04C9CC64" w14:textId="77777777" w:rsidTr="00D141D6">
        <w:trPr>
          <w:trHeight w:val="624"/>
        </w:trPr>
        <w:tc>
          <w:tcPr>
            <w:tcW w:w="2695" w:type="dxa"/>
            <w:tcBorders>
              <w:top w:val="nil"/>
              <w:left w:val="nil"/>
              <w:bottom w:val="nil"/>
              <w:right w:val="nil"/>
            </w:tcBorders>
            <w:shd w:val="clear" w:color="auto" w:fill="auto"/>
            <w:vAlign w:val="center"/>
            <w:hideMark/>
          </w:tcPr>
          <w:p w14:paraId="05777E5D"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Average Degree</w:t>
            </w:r>
          </w:p>
        </w:tc>
        <w:tc>
          <w:tcPr>
            <w:tcW w:w="2696" w:type="dxa"/>
            <w:tcBorders>
              <w:top w:val="nil"/>
              <w:left w:val="nil"/>
              <w:bottom w:val="nil"/>
              <w:right w:val="nil"/>
            </w:tcBorders>
            <w:shd w:val="clear" w:color="auto" w:fill="auto"/>
            <w:vAlign w:val="center"/>
            <w:hideMark/>
          </w:tcPr>
          <w:p w14:paraId="54376A02"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8.89 </w:t>
            </w:r>
          </w:p>
        </w:tc>
        <w:tc>
          <w:tcPr>
            <w:tcW w:w="2696" w:type="dxa"/>
            <w:tcBorders>
              <w:top w:val="nil"/>
              <w:left w:val="nil"/>
              <w:bottom w:val="nil"/>
              <w:right w:val="nil"/>
            </w:tcBorders>
            <w:shd w:val="clear" w:color="auto" w:fill="auto"/>
            <w:vAlign w:val="center"/>
            <w:hideMark/>
          </w:tcPr>
          <w:p w14:paraId="6CEABFB7"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17.33 </w:t>
            </w:r>
          </w:p>
        </w:tc>
      </w:tr>
      <w:tr w:rsidR="00D141D6" w14:paraId="50AD9189" w14:textId="77777777" w:rsidTr="00D141D6">
        <w:trPr>
          <w:trHeight w:val="624"/>
        </w:trPr>
        <w:tc>
          <w:tcPr>
            <w:tcW w:w="2695" w:type="dxa"/>
            <w:tcBorders>
              <w:top w:val="nil"/>
              <w:left w:val="nil"/>
              <w:bottom w:val="nil"/>
              <w:right w:val="nil"/>
            </w:tcBorders>
            <w:shd w:val="clear" w:color="auto" w:fill="auto"/>
            <w:vAlign w:val="center"/>
            <w:hideMark/>
          </w:tcPr>
          <w:p w14:paraId="4CB2C403"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Average Path Length</w:t>
            </w:r>
          </w:p>
        </w:tc>
        <w:tc>
          <w:tcPr>
            <w:tcW w:w="2696" w:type="dxa"/>
            <w:tcBorders>
              <w:top w:val="nil"/>
              <w:left w:val="nil"/>
              <w:bottom w:val="nil"/>
              <w:right w:val="nil"/>
            </w:tcBorders>
            <w:shd w:val="clear" w:color="auto" w:fill="auto"/>
            <w:vAlign w:val="center"/>
            <w:hideMark/>
          </w:tcPr>
          <w:p w14:paraId="01167CF6"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2.54 </w:t>
            </w:r>
          </w:p>
        </w:tc>
        <w:tc>
          <w:tcPr>
            <w:tcW w:w="2696" w:type="dxa"/>
            <w:tcBorders>
              <w:top w:val="nil"/>
              <w:left w:val="nil"/>
              <w:bottom w:val="nil"/>
              <w:right w:val="nil"/>
            </w:tcBorders>
            <w:shd w:val="clear" w:color="auto" w:fill="auto"/>
            <w:vAlign w:val="center"/>
            <w:hideMark/>
          </w:tcPr>
          <w:p w14:paraId="56C4A2FC"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3.50 </w:t>
            </w:r>
          </w:p>
        </w:tc>
      </w:tr>
      <w:tr w:rsidR="00D141D6" w14:paraId="30BD2653" w14:textId="77777777" w:rsidTr="00D141D6">
        <w:trPr>
          <w:trHeight w:val="624"/>
        </w:trPr>
        <w:tc>
          <w:tcPr>
            <w:tcW w:w="2695" w:type="dxa"/>
            <w:tcBorders>
              <w:top w:val="nil"/>
              <w:left w:val="nil"/>
              <w:bottom w:val="nil"/>
              <w:right w:val="nil"/>
            </w:tcBorders>
            <w:shd w:val="clear" w:color="auto" w:fill="auto"/>
            <w:vAlign w:val="center"/>
            <w:hideMark/>
          </w:tcPr>
          <w:p w14:paraId="2DB520F8"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lastRenderedPageBreak/>
              <w:t>Network Diameter</w:t>
            </w:r>
          </w:p>
        </w:tc>
        <w:tc>
          <w:tcPr>
            <w:tcW w:w="2696" w:type="dxa"/>
            <w:tcBorders>
              <w:top w:val="nil"/>
              <w:left w:val="nil"/>
              <w:bottom w:val="nil"/>
              <w:right w:val="nil"/>
            </w:tcBorders>
            <w:shd w:val="clear" w:color="auto" w:fill="auto"/>
            <w:vAlign w:val="center"/>
            <w:hideMark/>
          </w:tcPr>
          <w:p w14:paraId="18BE88A9"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7 </w:t>
            </w:r>
          </w:p>
        </w:tc>
        <w:tc>
          <w:tcPr>
            <w:tcW w:w="2696" w:type="dxa"/>
            <w:tcBorders>
              <w:top w:val="nil"/>
              <w:left w:val="nil"/>
              <w:bottom w:val="nil"/>
              <w:right w:val="nil"/>
            </w:tcBorders>
            <w:shd w:val="clear" w:color="auto" w:fill="auto"/>
            <w:vAlign w:val="center"/>
            <w:hideMark/>
          </w:tcPr>
          <w:p w14:paraId="608D8892"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14 </w:t>
            </w:r>
          </w:p>
        </w:tc>
      </w:tr>
      <w:tr w:rsidR="00D141D6" w14:paraId="194D025E" w14:textId="77777777" w:rsidTr="00D141D6">
        <w:trPr>
          <w:trHeight w:val="624"/>
        </w:trPr>
        <w:tc>
          <w:tcPr>
            <w:tcW w:w="2695" w:type="dxa"/>
            <w:tcBorders>
              <w:top w:val="nil"/>
              <w:left w:val="nil"/>
              <w:bottom w:val="nil"/>
              <w:right w:val="nil"/>
            </w:tcBorders>
            <w:shd w:val="clear" w:color="auto" w:fill="auto"/>
            <w:vAlign w:val="center"/>
            <w:hideMark/>
          </w:tcPr>
          <w:p w14:paraId="63741D76"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Clustering Coefficient</w:t>
            </w:r>
          </w:p>
        </w:tc>
        <w:tc>
          <w:tcPr>
            <w:tcW w:w="2696" w:type="dxa"/>
            <w:tcBorders>
              <w:top w:val="nil"/>
              <w:left w:val="nil"/>
              <w:bottom w:val="nil"/>
              <w:right w:val="nil"/>
            </w:tcBorders>
            <w:shd w:val="clear" w:color="auto" w:fill="auto"/>
            <w:vAlign w:val="center"/>
            <w:hideMark/>
          </w:tcPr>
          <w:p w14:paraId="789B1380"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0.89 </w:t>
            </w:r>
          </w:p>
        </w:tc>
        <w:tc>
          <w:tcPr>
            <w:tcW w:w="2696" w:type="dxa"/>
            <w:tcBorders>
              <w:top w:val="nil"/>
              <w:left w:val="nil"/>
              <w:bottom w:val="nil"/>
              <w:right w:val="nil"/>
            </w:tcBorders>
            <w:shd w:val="clear" w:color="auto" w:fill="auto"/>
            <w:vAlign w:val="center"/>
            <w:hideMark/>
          </w:tcPr>
          <w:p w14:paraId="70481B52"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0.89 </w:t>
            </w:r>
          </w:p>
        </w:tc>
      </w:tr>
      <w:tr w:rsidR="00D141D6" w14:paraId="6DA226D4" w14:textId="77777777" w:rsidTr="00D141D6">
        <w:trPr>
          <w:trHeight w:val="624"/>
        </w:trPr>
        <w:tc>
          <w:tcPr>
            <w:tcW w:w="2695" w:type="dxa"/>
            <w:tcBorders>
              <w:top w:val="nil"/>
              <w:left w:val="nil"/>
              <w:bottom w:val="nil"/>
              <w:right w:val="nil"/>
            </w:tcBorders>
            <w:shd w:val="clear" w:color="auto" w:fill="auto"/>
            <w:vAlign w:val="center"/>
            <w:hideMark/>
          </w:tcPr>
          <w:p w14:paraId="3A608114"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Density</w:t>
            </w:r>
          </w:p>
        </w:tc>
        <w:tc>
          <w:tcPr>
            <w:tcW w:w="2696" w:type="dxa"/>
            <w:tcBorders>
              <w:top w:val="nil"/>
              <w:left w:val="nil"/>
              <w:bottom w:val="nil"/>
              <w:right w:val="nil"/>
            </w:tcBorders>
            <w:shd w:val="clear" w:color="auto" w:fill="auto"/>
            <w:vAlign w:val="center"/>
            <w:hideMark/>
          </w:tcPr>
          <w:p w14:paraId="2344A732"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0.01 </w:t>
            </w:r>
          </w:p>
        </w:tc>
        <w:tc>
          <w:tcPr>
            <w:tcW w:w="2696" w:type="dxa"/>
            <w:tcBorders>
              <w:top w:val="nil"/>
              <w:left w:val="nil"/>
              <w:bottom w:val="nil"/>
              <w:right w:val="nil"/>
            </w:tcBorders>
            <w:shd w:val="clear" w:color="auto" w:fill="auto"/>
            <w:vAlign w:val="center"/>
            <w:hideMark/>
          </w:tcPr>
          <w:p w14:paraId="1BCEF538"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0.02 </w:t>
            </w:r>
          </w:p>
        </w:tc>
      </w:tr>
      <w:tr w:rsidR="00D141D6" w14:paraId="52AAD780" w14:textId="77777777" w:rsidTr="00D141D6">
        <w:trPr>
          <w:trHeight w:val="624"/>
        </w:trPr>
        <w:tc>
          <w:tcPr>
            <w:tcW w:w="2695" w:type="dxa"/>
            <w:tcBorders>
              <w:top w:val="nil"/>
              <w:left w:val="nil"/>
              <w:bottom w:val="nil"/>
              <w:right w:val="nil"/>
            </w:tcBorders>
            <w:shd w:val="clear" w:color="auto" w:fill="auto"/>
            <w:vAlign w:val="center"/>
            <w:hideMark/>
          </w:tcPr>
          <w:p w14:paraId="00B889C8"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Heterogeneity</w:t>
            </w:r>
          </w:p>
        </w:tc>
        <w:tc>
          <w:tcPr>
            <w:tcW w:w="2696" w:type="dxa"/>
            <w:tcBorders>
              <w:top w:val="nil"/>
              <w:left w:val="nil"/>
              <w:bottom w:val="nil"/>
              <w:right w:val="nil"/>
            </w:tcBorders>
            <w:shd w:val="clear" w:color="auto" w:fill="auto"/>
            <w:vAlign w:val="center"/>
            <w:hideMark/>
          </w:tcPr>
          <w:p w14:paraId="428A6D63"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0.98 </w:t>
            </w:r>
          </w:p>
        </w:tc>
        <w:tc>
          <w:tcPr>
            <w:tcW w:w="2696" w:type="dxa"/>
            <w:tcBorders>
              <w:top w:val="nil"/>
              <w:left w:val="nil"/>
              <w:bottom w:val="nil"/>
              <w:right w:val="nil"/>
            </w:tcBorders>
            <w:shd w:val="clear" w:color="auto" w:fill="auto"/>
            <w:vAlign w:val="center"/>
            <w:hideMark/>
          </w:tcPr>
          <w:p w14:paraId="53933D7D"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1.23 </w:t>
            </w:r>
          </w:p>
        </w:tc>
      </w:tr>
      <w:tr w:rsidR="00D141D6" w14:paraId="7200E44C" w14:textId="77777777" w:rsidTr="00D141D6">
        <w:trPr>
          <w:trHeight w:val="624"/>
        </w:trPr>
        <w:tc>
          <w:tcPr>
            <w:tcW w:w="2695" w:type="dxa"/>
            <w:tcBorders>
              <w:top w:val="nil"/>
              <w:left w:val="nil"/>
              <w:bottom w:val="nil"/>
              <w:right w:val="nil"/>
            </w:tcBorders>
            <w:shd w:val="clear" w:color="auto" w:fill="auto"/>
            <w:vAlign w:val="center"/>
            <w:hideMark/>
          </w:tcPr>
          <w:p w14:paraId="7F1A2356"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Centralization</w:t>
            </w:r>
          </w:p>
        </w:tc>
        <w:tc>
          <w:tcPr>
            <w:tcW w:w="2696" w:type="dxa"/>
            <w:tcBorders>
              <w:top w:val="nil"/>
              <w:left w:val="nil"/>
              <w:bottom w:val="nil"/>
              <w:right w:val="nil"/>
            </w:tcBorders>
            <w:shd w:val="clear" w:color="auto" w:fill="auto"/>
            <w:vAlign w:val="center"/>
            <w:hideMark/>
          </w:tcPr>
          <w:p w14:paraId="28CA9247"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0.04 </w:t>
            </w:r>
          </w:p>
        </w:tc>
        <w:tc>
          <w:tcPr>
            <w:tcW w:w="2696" w:type="dxa"/>
            <w:tcBorders>
              <w:top w:val="nil"/>
              <w:left w:val="nil"/>
              <w:bottom w:val="nil"/>
              <w:right w:val="nil"/>
            </w:tcBorders>
            <w:shd w:val="clear" w:color="auto" w:fill="auto"/>
            <w:vAlign w:val="center"/>
            <w:hideMark/>
          </w:tcPr>
          <w:p w14:paraId="7E5A872E"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0.10 </w:t>
            </w:r>
          </w:p>
        </w:tc>
      </w:tr>
      <w:tr w:rsidR="00D141D6" w14:paraId="60C3566E" w14:textId="77777777" w:rsidTr="00D141D6">
        <w:trPr>
          <w:trHeight w:val="624"/>
        </w:trPr>
        <w:tc>
          <w:tcPr>
            <w:tcW w:w="2695" w:type="dxa"/>
            <w:tcBorders>
              <w:top w:val="nil"/>
              <w:left w:val="nil"/>
              <w:bottom w:val="single" w:sz="8" w:space="0" w:color="auto"/>
              <w:right w:val="nil"/>
            </w:tcBorders>
            <w:shd w:val="clear" w:color="auto" w:fill="auto"/>
            <w:vAlign w:val="center"/>
            <w:hideMark/>
          </w:tcPr>
          <w:p w14:paraId="274329BA"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Modularity</w:t>
            </w:r>
          </w:p>
        </w:tc>
        <w:tc>
          <w:tcPr>
            <w:tcW w:w="2696" w:type="dxa"/>
            <w:tcBorders>
              <w:top w:val="nil"/>
              <w:left w:val="nil"/>
              <w:bottom w:val="single" w:sz="8" w:space="0" w:color="auto"/>
              <w:right w:val="nil"/>
            </w:tcBorders>
            <w:shd w:val="clear" w:color="auto" w:fill="auto"/>
            <w:vAlign w:val="center"/>
            <w:hideMark/>
          </w:tcPr>
          <w:p w14:paraId="56A4909F"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0.92 </w:t>
            </w:r>
          </w:p>
        </w:tc>
        <w:tc>
          <w:tcPr>
            <w:tcW w:w="2696" w:type="dxa"/>
            <w:tcBorders>
              <w:top w:val="nil"/>
              <w:left w:val="nil"/>
              <w:bottom w:val="single" w:sz="8" w:space="0" w:color="auto"/>
              <w:right w:val="nil"/>
            </w:tcBorders>
            <w:shd w:val="clear" w:color="auto" w:fill="auto"/>
            <w:vAlign w:val="center"/>
            <w:hideMark/>
          </w:tcPr>
          <w:p w14:paraId="024D0B9E" w14:textId="77777777" w:rsidR="00D141D6" w:rsidRDefault="00D141D6" w:rsidP="008623CA">
            <w:pPr>
              <w:spacing w:line="360" w:lineRule="auto"/>
              <w:jc w:val="center"/>
              <w:rPr>
                <w:rFonts w:ascii="Helvetica" w:eastAsia="DengXian" w:hAnsi="Helvetica"/>
                <w:color w:val="000000"/>
              </w:rPr>
            </w:pPr>
            <w:r>
              <w:rPr>
                <w:rFonts w:ascii="Helvetica" w:eastAsia="DengXian" w:hAnsi="Helvetica"/>
                <w:color w:val="000000"/>
              </w:rPr>
              <w:t xml:space="preserve">0.75 </w:t>
            </w:r>
          </w:p>
        </w:tc>
      </w:tr>
    </w:tbl>
    <w:p w14:paraId="68C6EDCA" w14:textId="77777777" w:rsidR="00D141D6" w:rsidRPr="00C70E14" w:rsidRDefault="00D141D6" w:rsidP="008623CA">
      <w:pPr>
        <w:spacing w:line="360" w:lineRule="auto"/>
        <w:rPr>
          <w:rFonts w:ascii="Times New Roman" w:hAnsi="Times New Roman" w:cs="Times New Roman"/>
        </w:rPr>
      </w:pPr>
    </w:p>
    <w:sectPr w:rsidR="00D141D6" w:rsidRPr="00C70E1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E14"/>
    <w:rsid w:val="00103C87"/>
    <w:rsid w:val="0028661D"/>
    <w:rsid w:val="003F26BC"/>
    <w:rsid w:val="00453E5E"/>
    <w:rsid w:val="0066687D"/>
    <w:rsid w:val="006676EE"/>
    <w:rsid w:val="008623CA"/>
    <w:rsid w:val="00C70E14"/>
    <w:rsid w:val="00D141D6"/>
    <w:rsid w:val="00E82931"/>
    <w:rsid w:val="00E97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E78668C"/>
  <w15:chartTrackingRefBased/>
  <w15:docId w15:val="{9085271F-44B3-D643-9229-B3A74C2B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E14"/>
    <w:pPr>
      <w:widowControl w:val="0"/>
      <w:jc w:val="both"/>
    </w:pPr>
  </w:style>
  <w:style w:type="paragraph" w:styleId="1">
    <w:name w:val="heading 1"/>
    <w:basedOn w:val="a"/>
    <w:next w:val="a"/>
    <w:link w:val="10"/>
    <w:uiPriority w:val="9"/>
    <w:qFormat/>
    <w:rsid w:val="00C70E1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70E1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70E1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70E1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70E14"/>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70E1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70E1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70E1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70E1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70E1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70E1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70E1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70E14"/>
    <w:rPr>
      <w:rFonts w:cstheme="majorBidi"/>
      <w:color w:val="0F4761" w:themeColor="accent1" w:themeShade="BF"/>
      <w:sz w:val="28"/>
      <w:szCs w:val="28"/>
    </w:rPr>
  </w:style>
  <w:style w:type="character" w:customStyle="1" w:styleId="50">
    <w:name w:val="标题 5 字符"/>
    <w:basedOn w:val="a0"/>
    <w:link w:val="5"/>
    <w:uiPriority w:val="9"/>
    <w:semiHidden/>
    <w:rsid w:val="00C70E14"/>
    <w:rPr>
      <w:rFonts w:cstheme="majorBidi"/>
      <w:color w:val="0F4761" w:themeColor="accent1" w:themeShade="BF"/>
      <w:sz w:val="24"/>
    </w:rPr>
  </w:style>
  <w:style w:type="character" w:customStyle="1" w:styleId="60">
    <w:name w:val="标题 6 字符"/>
    <w:basedOn w:val="a0"/>
    <w:link w:val="6"/>
    <w:uiPriority w:val="9"/>
    <w:semiHidden/>
    <w:rsid w:val="00C70E14"/>
    <w:rPr>
      <w:rFonts w:cstheme="majorBidi"/>
      <w:b/>
      <w:bCs/>
      <w:color w:val="0F4761" w:themeColor="accent1" w:themeShade="BF"/>
    </w:rPr>
  </w:style>
  <w:style w:type="character" w:customStyle="1" w:styleId="70">
    <w:name w:val="标题 7 字符"/>
    <w:basedOn w:val="a0"/>
    <w:link w:val="7"/>
    <w:uiPriority w:val="9"/>
    <w:semiHidden/>
    <w:rsid w:val="00C70E14"/>
    <w:rPr>
      <w:rFonts w:cstheme="majorBidi"/>
      <w:b/>
      <w:bCs/>
      <w:color w:val="595959" w:themeColor="text1" w:themeTint="A6"/>
    </w:rPr>
  </w:style>
  <w:style w:type="character" w:customStyle="1" w:styleId="80">
    <w:name w:val="标题 8 字符"/>
    <w:basedOn w:val="a0"/>
    <w:link w:val="8"/>
    <w:uiPriority w:val="9"/>
    <w:semiHidden/>
    <w:rsid w:val="00C70E14"/>
    <w:rPr>
      <w:rFonts w:cstheme="majorBidi"/>
      <w:color w:val="595959" w:themeColor="text1" w:themeTint="A6"/>
    </w:rPr>
  </w:style>
  <w:style w:type="character" w:customStyle="1" w:styleId="90">
    <w:name w:val="标题 9 字符"/>
    <w:basedOn w:val="a0"/>
    <w:link w:val="9"/>
    <w:uiPriority w:val="9"/>
    <w:semiHidden/>
    <w:rsid w:val="00C70E14"/>
    <w:rPr>
      <w:rFonts w:eastAsiaTheme="majorEastAsia" w:cstheme="majorBidi"/>
      <w:color w:val="595959" w:themeColor="text1" w:themeTint="A6"/>
    </w:rPr>
  </w:style>
  <w:style w:type="paragraph" w:styleId="a3">
    <w:name w:val="Title"/>
    <w:basedOn w:val="a"/>
    <w:next w:val="a"/>
    <w:link w:val="a4"/>
    <w:uiPriority w:val="10"/>
    <w:qFormat/>
    <w:rsid w:val="00C70E1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70E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0E1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70E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0E14"/>
    <w:pPr>
      <w:spacing w:before="160" w:after="160"/>
      <w:jc w:val="center"/>
    </w:pPr>
    <w:rPr>
      <w:i/>
      <w:iCs/>
      <w:color w:val="404040" w:themeColor="text1" w:themeTint="BF"/>
    </w:rPr>
  </w:style>
  <w:style w:type="character" w:customStyle="1" w:styleId="a8">
    <w:name w:val="引用 字符"/>
    <w:basedOn w:val="a0"/>
    <w:link w:val="a7"/>
    <w:uiPriority w:val="29"/>
    <w:rsid w:val="00C70E14"/>
    <w:rPr>
      <w:i/>
      <w:iCs/>
      <w:color w:val="404040" w:themeColor="text1" w:themeTint="BF"/>
    </w:rPr>
  </w:style>
  <w:style w:type="paragraph" w:styleId="a9">
    <w:name w:val="List Paragraph"/>
    <w:basedOn w:val="a"/>
    <w:uiPriority w:val="34"/>
    <w:qFormat/>
    <w:rsid w:val="00C70E14"/>
    <w:pPr>
      <w:ind w:left="720"/>
      <w:contextualSpacing/>
    </w:pPr>
  </w:style>
  <w:style w:type="character" w:styleId="aa">
    <w:name w:val="Intense Emphasis"/>
    <w:basedOn w:val="a0"/>
    <w:uiPriority w:val="21"/>
    <w:qFormat/>
    <w:rsid w:val="00C70E14"/>
    <w:rPr>
      <w:i/>
      <w:iCs/>
      <w:color w:val="0F4761" w:themeColor="accent1" w:themeShade="BF"/>
    </w:rPr>
  </w:style>
  <w:style w:type="paragraph" w:styleId="ab">
    <w:name w:val="Intense Quote"/>
    <w:basedOn w:val="a"/>
    <w:next w:val="a"/>
    <w:link w:val="ac"/>
    <w:uiPriority w:val="30"/>
    <w:qFormat/>
    <w:rsid w:val="00C70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70E14"/>
    <w:rPr>
      <w:i/>
      <w:iCs/>
      <w:color w:val="0F4761" w:themeColor="accent1" w:themeShade="BF"/>
    </w:rPr>
  </w:style>
  <w:style w:type="character" w:styleId="ad">
    <w:name w:val="Intense Reference"/>
    <w:basedOn w:val="a0"/>
    <w:uiPriority w:val="32"/>
    <w:qFormat/>
    <w:rsid w:val="00C70E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066000">
      <w:bodyDiv w:val="1"/>
      <w:marLeft w:val="0"/>
      <w:marRight w:val="0"/>
      <w:marTop w:val="0"/>
      <w:marBottom w:val="0"/>
      <w:divBdr>
        <w:top w:val="none" w:sz="0" w:space="0" w:color="auto"/>
        <w:left w:val="none" w:sz="0" w:space="0" w:color="auto"/>
        <w:bottom w:val="none" w:sz="0" w:space="0" w:color="auto"/>
        <w:right w:val="none" w:sz="0" w:space="0" w:color="auto"/>
      </w:divBdr>
    </w:div>
    <w:div w:id="67083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e25617</dc:creator>
  <cp:keywords/>
  <dc:description/>
  <cp:lastModifiedBy>sheng sun</cp:lastModifiedBy>
  <cp:revision>4</cp:revision>
  <dcterms:created xsi:type="dcterms:W3CDTF">2024-10-07T17:01:00Z</dcterms:created>
  <dcterms:modified xsi:type="dcterms:W3CDTF">2025-07-12T12:12:00Z</dcterms:modified>
</cp:coreProperties>
</file>