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19" w:rsidRDefault="004847DC">
      <w:pPr>
        <w:spacing w:after="120" w:line="360" w:lineRule="auto"/>
        <w:jc w:val="center"/>
        <w:rPr>
          <w:rFonts w:ascii="Aptos" w:eastAsia="Aptos" w:hAnsi="Aptos" w:cs="Aptos"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sz w:val="28"/>
          <w:szCs w:val="28"/>
          <w:lang w:val="en-US"/>
        </w:rPr>
        <w:t>Supporting Information</w:t>
      </w:r>
    </w:p>
    <w:p w:rsidR="00A95819" w:rsidRDefault="004847DC">
      <w:pPr>
        <w:pStyle w:val="Normal0"/>
        <w:spacing w:after="120" w:line="360" w:lineRule="auto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GB"/>
        </w:rPr>
        <w:t>Correction to: Hydro- and xerohalophyte species drive compositional and functional divergence in bacterial leaf endosphere</w:t>
      </w:r>
    </w:p>
    <w:p w:rsidR="00A95819" w:rsidRDefault="004847DC">
      <w:pPr>
        <w:pStyle w:val="Normal0"/>
        <w:spacing w:after="120" w:line="360" w:lineRule="auto"/>
        <w:jc w:val="both"/>
        <w:rPr>
          <w:sz w:val="17"/>
          <w:szCs w:val="17"/>
          <w:lang w:val="en-US"/>
        </w:rPr>
      </w:pPr>
      <w:r>
        <w:t>Beatriz Roncero-Ramos*</w:t>
      </w:r>
      <w:r>
        <w:rPr>
          <w:vertAlign w:val="superscript"/>
        </w:rPr>
        <w:t>1,</w:t>
      </w:r>
      <w:r>
        <w:t xml:space="preserve"> Elena Romano-Rodríguez</w:t>
      </w:r>
      <w:r>
        <w:rPr>
          <w:vertAlign w:val="superscript"/>
        </w:rPr>
        <w:t>1</w:t>
      </w:r>
      <w:r>
        <w:t>, Enrique Mateos-Naranjo</w:t>
      </w:r>
      <w:r>
        <w:rPr>
          <w:vertAlign w:val="superscript"/>
        </w:rPr>
        <w:t>1</w:t>
      </w:r>
      <w:r>
        <w:t>, Pedro Valle-Romero</w:t>
      </w:r>
      <w:r>
        <w:rPr>
          <w:vertAlign w:val="superscript"/>
        </w:rPr>
        <w:t>1</w:t>
      </w:r>
      <w:r>
        <w:t xml:space="preserve">, Susana </w:t>
      </w:r>
      <w:r>
        <w:t>Redondo-Gómez</w:t>
      </w:r>
      <w:r>
        <w:rPr>
          <w:vertAlign w:val="superscript"/>
        </w:rPr>
        <w:t>1</w:t>
      </w:r>
    </w:p>
    <w:p w:rsidR="00A95819" w:rsidRDefault="004847DC">
      <w:pPr>
        <w:spacing w:line="360" w:lineRule="auto"/>
        <w:jc w:val="both"/>
        <w:rPr>
          <w:rFonts w:ascii="Aptos" w:eastAsia="Aptos" w:hAnsi="Aptos" w:cs="Aptos"/>
          <w:lang w:val="en-US"/>
        </w:rPr>
      </w:pPr>
      <w:r>
        <w:rPr>
          <w:rFonts w:eastAsia="Aptos" w:cs="Aptos"/>
          <w:vertAlign w:val="superscript"/>
        </w:rPr>
        <w:t>1</w:t>
      </w:r>
      <w:r>
        <w:rPr>
          <w:rFonts w:eastAsia="Aptos" w:cs="Aptos"/>
        </w:rPr>
        <w:t xml:space="preserve"> Departamento de Biología Vegetal y Ecología, Facultad de Biología, Universidad de Sevilla, Avda. </w:t>
      </w:r>
      <w:r>
        <w:rPr>
          <w:rFonts w:eastAsia="Aptos" w:cs="Aptos"/>
          <w:lang w:val="en-US"/>
        </w:rPr>
        <w:t>Reina Mercedes s/n, 41012 Seville, Spain.</w:t>
      </w:r>
    </w:p>
    <w:p w:rsidR="00A95819" w:rsidRDefault="004847DC">
      <w:pPr>
        <w:pStyle w:val="Normal0"/>
        <w:spacing w:after="120" w:line="360" w:lineRule="auto"/>
        <w:jc w:val="both"/>
        <w:rPr>
          <w:lang w:val="en-US"/>
        </w:rPr>
      </w:pPr>
      <w:r>
        <w:rPr>
          <w:lang w:val="en-GB"/>
        </w:rPr>
        <w:t xml:space="preserve">Corresponding author:  </w:t>
      </w:r>
      <w:hyperlink r:id="rId7">
        <w:r>
          <w:rPr>
            <w:rStyle w:val="Hyperlink"/>
            <w:lang w:val="en-GB"/>
          </w:rPr>
          <w:t>broncero@us.es</w:t>
        </w:r>
      </w:hyperlink>
    </w:p>
    <w:p w:rsidR="00A95819" w:rsidRDefault="004847DC">
      <w:pPr>
        <w:pStyle w:val="Normal0"/>
        <w:spacing w:after="120" w:line="360" w:lineRule="auto"/>
        <w:jc w:val="both"/>
        <w:rPr>
          <w:lang w:val="en-GB"/>
        </w:rPr>
      </w:pPr>
      <w:r>
        <w:rPr>
          <w:lang w:val="en-GB"/>
        </w:rPr>
        <w:t xml:space="preserve">Journal: Microbial </w:t>
      </w:r>
      <w:r>
        <w:rPr>
          <w:lang w:val="en-GB"/>
        </w:rPr>
        <w:t>Ecology</w:t>
      </w:r>
    </w:p>
    <w:p w:rsidR="00A95819" w:rsidRDefault="004847DC">
      <w:r>
        <w:br w:type="page"/>
      </w:r>
    </w:p>
    <w:p w:rsidR="00A95819" w:rsidRDefault="004847DC">
      <w:pPr>
        <w:spacing w:after="120" w:line="360" w:lineRule="auto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Supplementary Tables</w:t>
      </w:r>
    </w:p>
    <w:p w:rsidR="00A95819" w:rsidRDefault="004847DC">
      <w:pPr>
        <w:spacing w:after="120" w:line="360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Table S1</w:t>
      </w:r>
      <w:r>
        <w:rPr>
          <w:sz w:val="24"/>
          <w:szCs w:val="24"/>
          <w:lang w:val="en-GB"/>
        </w:rPr>
        <w:t xml:space="preserve"> </w:t>
      </w:r>
      <w:r>
        <w:rPr>
          <w:rFonts w:eastAsia="Aptos" w:cs="Aptos"/>
          <w:sz w:val="24"/>
          <w:szCs w:val="24"/>
          <w:lang w:val="en-US"/>
        </w:rPr>
        <w:t>Accumulated precipitation in 2022/2023, average monthly temperatures (Tm) and average monthly maximum (Tm-max) and minimum (Tm-min) temperatures for the autumn 2022 months. Source: AEMET.</w:t>
      </w:r>
    </w:p>
    <w:tbl>
      <w:tblPr>
        <w:tblStyle w:val="PlainTable5"/>
        <w:tblW w:w="10594" w:type="dxa"/>
        <w:tblLayout w:type="fixed"/>
        <w:tblLook w:val="04A0" w:firstRow="1" w:lastRow="0" w:firstColumn="1" w:lastColumn="0" w:noHBand="0" w:noVBand="1"/>
      </w:tblPr>
      <w:tblGrid>
        <w:gridCol w:w="2459"/>
        <w:gridCol w:w="3671"/>
        <w:gridCol w:w="2326"/>
        <w:gridCol w:w="2138"/>
      </w:tblGrid>
      <w:tr w:rsidR="00A95819" w:rsidTr="00A95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59" w:type="dxa"/>
            <w:tcBorders>
              <w:bottom w:val="single" w:sz="4" w:space="0" w:color="7F7F7F"/>
            </w:tcBorders>
          </w:tcPr>
          <w:p w:rsidR="00A95819" w:rsidRDefault="00A95819">
            <w:pPr>
              <w:spacing w:after="0" w:line="240" w:lineRule="auto"/>
              <w:jc w:val="both"/>
              <w:rPr>
                <w:rFonts w:ascii="Aptos" w:eastAsia="Aptos" w:hAnsi="Aptos" w:cs="Aptos"/>
                <w:iCs/>
              </w:rPr>
            </w:pPr>
          </w:p>
        </w:tc>
        <w:tc>
          <w:tcPr>
            <w:tcW w:w="3671" w:type="dxa"/>
            <w:tcBorders>
              <w:bottom w:val="single" w:sz="4" w:space="0" w:color="7F7F7F"/>
            </w:tcBorders>
          </w:tcPr>
          <w:p w:rsidR="00A95819" w:rsidRDefault="004847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>
              <w:rPr>
                <w:rFonts w:eastAsia="Aptos" w:cs="Aptos"/>
                <w:b/>
                <w:bCs/>
                <w:i w:val="0"/>
                <w:lang w:val="en-US"/>
              </w:rPr>
              <w:t>Hydrohalophytes</w:t>
            </w:r>
          </w:p>
        </w:tc>
        <w:tc>
          <w:tcPr>
            <w:tcW w:w="4464" w:type="dxa"/>
            <w:gridSpan w:val="2"/>
            <w:tcBorders>
              <w:bottom w:val="single" w:sz="4" w:space="0" w:color="7F7F7F"/>
            </w:tcBorders>
          </w:tcPr>
          <w:p w:rsidR="00A95819" w:rsidRDefault="004847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>
              <w:rPr>
                <w:rFonts w:eastAsia="Aptos" w:cs="Aptos"/>
                <w:b/>
                <w:bCs/>
                <w:i w:val="0"/>
                <w:lang w:val="en-US"/>
              </w:rPr>
              <w:t>Xerohalophy</w:t>
            </w:r>
            <w:r>
              <w:rPr>
                <w:rFonts w:eastAsia="Aptos" w:cs="Aptos"/>
                <w:b/>
                <w:bCs/>
                <w:i w:val="0"/>
                <w:lang w:val="en-US"/>
              </w:rPr>
              <w:t>tes</w:t>
            </w:r>
          </w:p>
        </w:tc>
      </w:tr>
      <w:tr w:rsidR="00A95819" w:rsidTr="00A95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right w:val="single" w:sz="4" w:space="0" w:color="7F7F7F"/>
            </w:tcBorders>
          </w:tcPr>
          <w:p w:rsidR="00A95819" w:rsidRDefault="00A95819">
            <w:pPr>
              <w:spacing w:after="0" w:line="240" w:lineRule="auto"/>
              <w:jc w:val="both"/>
              <w:rPr>
                <w:rFonts w:ascii="Aptos" w:eastAsia="Aptos" w:hAnsi="Aptos" w:cs="Aptos"/>
                <w:iCs/>
              </w:rPr>
            </w:pPr>
          </w:p>
        </w:tc>
        <w:tc>
          <w:tcPr>
            <w:tcW w:w="3671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lang w:val="en-US"/>
              </w:rPr>
              <w:t>Huelva</w:t>
            </w:r>
          </w:p>
        </w:tc>
        <w:tc>
          <w:tcPr>
            <w:tcW w:w="2326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lang w:val="en-US"/>
              </w:rPr>
              <w:t>Almería</w:t>
            </w:r>
          </w:p>
        </w:tc>
        <w:tc>
          <w:tcPr>
            <w:tcW w:w="2138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lang w:val="en-US"/>
              </w:rPr>
              <w:t>Murcia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right w:val="single" w:sz="4" w:space="0" w:color="7F7F7F"/>
            </w:tcBorders>
          </w:tcPr>
          <w:p w:rsidR="00A95819" w:rsidRDefault="004847DC">
            <w:pPr>
              <w:spacing w:after="0" w:line="240" w:lineRule="auto"/>
              <w:jc w:val="both"/>
            </w:pPr>
            <w:r>
              <w:rPr>
                <w:rFonts w:eastAsia="Aptos" w:cs="Aptos"/>
                <w:b/>
                <w:bCs/>
                <w:i w:val="0"/>
                <w:lang w:val="en-US"/>
              </w:rPr>
              <w:t>Precipitation (mm)</w:t>
            </w:r>
          </w:p>
        </w:tc>
        <w:tc>
          <w:tcPr>
            <w:tcW w:w="3671" w:type="dxa"/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lang w:val="en-US"/>
              </w:rPr>
              <w:t>300</w:t>
            </w:r>
          </w:p>
        </w:tc>
        <w:tc>
          <w:tcPr>
            <w:tcW w:w="2326" w:type="dxa"/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lang w:val="en-US"/>
              </w:rPr>
              <w:t>50</w:t>
            </w:r>
          </w:p>
        </w:tc>
        <w:tc>
          <w:tcPr>
            <w:tcW w:w="2138" w:type="dxa"/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lang w:val="en-US"/>
              </w:rPr>
              <w:t>200</w:t>
            </w:r>
          </w:p>
        </w:tc>
      </w:tr>
      <w:tr w:rsidR="00A95819" w:rsidTr="00A95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right w:val="single" w:sz="4" w:space="0" w:color="7F7F7F"/>
            </w:tcBorders>
          </w:tcPr>
          <w:p w:rsidR="00A95819" w:rsidRDefault="004847DC">
            <w:pPr>
              <w:spacing w:after="0" w:line="240" w:lineRule="auto"/>
            </w:pPr>
            <w:r>
              <w:rPr>
                <w:rFonts w:eastAsia="Aptos" w:cs="Aptos"/>
                <w:b/>
                <w:bCs/>
                <w:i w:val="0"/>
                <w:lang w:val="en-US"/>
              </w:rPr>
              <w:t>Tm (ºC)</w:t>
            </w:r>
          </w:p>
        </w:tc>
        <w:tc>
          <w:tcPr>
            <w:tcW w:w="3671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17.9</w:t>
            </w:r>
          </w:p>
        </w:tc>
        <w:tc>
          <w:tcPr>
            <w:tcW w:w="2326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20.6</w:t>
            </w:r>
          </w:p>
        </w:tc>
        <w:tc>
          <w:tcPr>
            <w:tcW w:w="2138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18.8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right w:val="single" w:sz="4" w:space="0" w:color="7F7F7F"/>
            </w:tcBorders>
          </w:tcPr>
          <w:p w:rsidR="00A95819" w:rsidRDefault="004847DC">
            <w:pPr>
              <w:spacing w:after="0" w:line="240" w:lineRule="auto"/>
              <w:jc w:val="both"/>
            </w:pPr>
            <w:r>
              <w:rPr>
                <w:rFonts w:eastAsia="Aptos" w:cs="Aptos"/>
                <w:b/>
                <w:bCs/>
                <w:i w:val="0"/>
                <w:lang w:val="en-US"/>
              </w:rPr>
              <w:t>Tm-max (ºC)</w:t>
            </w:r>
          </w:p>
        </w:tc>
        <w:tc>
          <w:tcPr>
            <w:tcW w:w="3671" w:type="dxa"/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23.3</w:t>
            </w:r>
          </w:p>
        </w:tc>
        <w:tc>
          <w:tcPr>
            <w:tcW w:w="2326" w:type="dxa"/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24.9</w:t>
            </w:r>
          </w:p>
        </w:tc>
        <w:tc>
          <w:tcPr>
            <w:tcW w:w="2138" w:type="dxa"/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25.1</w:t>
            </w:r>
          </w:p>
        </w:tc>
      </w:tr>
      <w:tr w:rsidR="00A95819" w:rsidTr="00A95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right w:val="single" w:sz="4" w:space="0" w:color="7F7F7F"/>
            </w:tcBorders>
          </w:tcPr>
          <w:p w:rsidR="00A95819" w:rsidRDefault="004847DC">
            <w:pPr>
              <w:spacing w:after="0" w:line="240" w:lineRule="auto"/>
              <w:jc w:val="both"/>
            </w:pPr>
            <w:r>
              <w:rPr>
                <w:rFonts w:eastAsia="Aptos" w:cs="Aptos"/>
                <w:b/>
                <w:bCs/>
                <w:i w:val="0"/>
                <w:lang w:val="en-US"/>
              </w:rPr>
              <w:t>Tm-min (ºC)</w:t>
            </w:r>
          </w:p>
        </w:tc>
        <w:tc>
          <w:tcPr>
            <w:tcW w:w="3671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12.4</w:t>
            </w:r>
          </w:p>
        </w:tc>
        <w:tc>
          <w:tcPr>
            <w:tcW w:w="2326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16.3</w:t>
            </w:r>
          </w:p>
        </w:tc>
        <w:tc>
          <w:tcPr>
            <w:tcW w:w="2138" w:type="dxa"/>
          </w:tcPr>
          <w:p w:rsidR="00A95819" w:rsidRDefault="004847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Aptos" w:cs="Aptos"/>
                <w:color w:val="000000" w:themeColor="text1"/>
              </w:rPr>
              <w:t>12.5</w:t>
            </w:r>
          </w:p>
        </w:tc>
      </w:tr>
    </w:tbl>
    <w:p w:rsidR="00A95819" w:rsidRDefault="00A95819">
      <w:pPr>
        <w:spacing w:after="120" w:line="360" w:lineRule="auto"/>
        <w:jc w:val="both"/>
        <w:rPr>
          <w:rFonts w:ascii="Aptos" w:eastAsia="Aptos" w:hAnsi="Aptos" w:cs="Aptos"/>
          <w:sz w:val="24"/>
          <w:szCs w:val="24"/>
          <w:lang w:val="en-GB"/>
        </w:rPr>
      </w:pPr>
    </w:p>
    <w:p w:rsidR="00A95819" w:rsidRDefault="00A95819">
      <w:pPr>
        <w:spacing w:after="120" w:line="360" w:lineRule="auto"/>
        <w:rPr>
          <w:b/>
          <w:bCs/>
          <w:sz w:val="24"/>
          <w:szCs w:val="24"/>
          <w:lang w:val="en-GB"/>
        </w:rPr>
      </w:pPr>
    </w:p>
    <w:p w:rsidR="00A95819" w:rsidRDefault="004847DC">
      <w:pPr>
        <w:spacing w:after="120" w:line="360" w:lineRule="auto"/>
      </w:pPr>
      <w:r>
        <w:br w:type="page"/>
      </w:r>
    </w:p>
    <w:p w:rsidR="00A95819" w:rsidRDefault="004847DC">
      <w:pPr>
        <w:spacing w:after="120" w:line="360" w:lineRule="auto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Table S2</w:t>
      </w:r>
      <w:r>
        <w:rPr>
          <w:sz w:val="24"/>
          <w:szCs w:val="24"/>
          <w:lang w:val="en-GB"/>
        </w:rPr>
        <w:t xml:space="preserve"> Average and standard deviation of electrical conductivity of the rhizosediment of all sampled populations. </w:t>
      </w:r>
    </w:p>
    <w:tbl>
      <w:tblPr>
        <w:tblStyle w:val="PlainTable2"/>
        <w:tblW w:w="9469" w:type="dxa"/>
        <w:tblLayout w:type="fixed"/>
        <w:tblLook w:val="06A0" w:firstRow="1" w:lastRow="0" w:firstColumn="1" w:lastColumn="0" w:noHBand="1" w:noVBand="1"/>
      </w:tblPr>
      <w:tblGrid>
        <w:gridCol w:w="4167"/>
        <w:gridCol w:w="5302"/>
      </w:tblGrid>
      <w:tr w:rsidR="00A95819" w:rsidTr="00A95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nil"/>
              <w:bottom w:val="nil"/>
            </w:tcBorders>
            <w:vAlign w:val="center"/>
          </w:tcPr>
          <w:p w:rsidR="00A95819" w:rsidRDefault="004847DC">
            <w:pPr>
              <w:spacing w:after="0" w:line="240" w:lineRule="auto"/>
              <w:jc w:val="center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eastAsia="Aptos" w:cs="Aptos"/>
                <w:color w:val="000000" w:themeColor="text1"/>
              </w:rPr>
              <w:t xml:space="preserve">Plant species </w:t>
            </w:r>
          </w:p>
        </w:tc>
        <w:tc>
          <w:tcPr>
            <w:tcW w:w="5302" w:type="dxa"/>
            <w:tcBorders>
              <w:top w:val="nil"/>
              <w:bottom w:val="single" w:sz="4" w:space="0" w:color="404040"/>
            </w:tcBorders>
          </w:tcPr>
          <w:p w:rsidR="00A95819" w:rsidRDefault="004847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b w:val="0"/>
                <w:bCs w:val="0"/>
                <w:color w:val="000000" w:themeColor="text1"/>
              </w:rPr>
            </w:pPr>
            <w:r>
              <w:t>Average electrical conductivity (mS · cm</w:t>
            </w:r>
            <w:r>
              <w:rPr>
                <w:vertAlign w:val="superscript"/>
              </w:rPr>
              <w:t>-1</w:t>
            </w:r>
            <w:r>
              <w:t>) ± SD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single" w:sz="12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rPr>
                <w:rFonts w:ascii="Aptos" w:eastAsia="Aptos" w:hAnsi="Aptos" w:cs="Aptos"/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rFonts w:eastAsia="Aptos" w:cs="Aptos"/>
                <w:b w:val="0"/>
                <w:bCs w:val="0"/>
                <w:i/>
                <w:iCs/>
                <w:color w:val="000000" w:themeColor="text1"/>
              </w:rPr>
              <w:t>Atriplex portulacoides</w:t>
            </w:r>
          </w:p>
        </w:tc>
        <w:tc>
          <w:tcPr>
            <w:tcW w:w="5302" w:type="dxa"/>
            <w:tcBorders>
              <w:top w:val="single" w:sz="12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b/>
                <w:bCs/>
                <w:color w:val="000000" w:themeColor="text1"/>
              </w:rPr>
              <w:t>7.0 ± 3.8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rPr>
                <w:rFonts w:ascii="Aptos" w:eastAsia="Aptos" w:hAnsi="Aptos" w:cs="Aptos"/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rFonts w:eastAsia="Aptos" w:cs="Aptos"/>
                <w:b w:val="0"/>
                <w:bCs w:val="0"/>
                <w:i/>
                <w:iCs/>
                <w:color w:val="000000" w:themeColor="text1"/>
              </w:rPr>
              <w:t>Salicornia perennis</w:t>
            </w:r>
          </w:p>
        </w:tc>
        <w:tc>
          <w:tcPr>
            <w:tcW w:w="5302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b/>
                <w:bCs/>
                <w:color w:val="000000" w:themeColor="text1"/>
              </w:rPr>
              <w:t>14.2 ± 11.2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rPr>
                <w:rFonts w:ascii="Aptos" w:eastAsia="Aptos" w:hAnsi="Aptos" w:cs="Aptos"/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rFonts w:eastAsia="Aptos" w:cs="Aptos"/>
                <w:b w:val="0"/>
                <w:bCs w:val="0"/>
                <w:i/>
                <w:iCs/>
                <w:color w:val="000000" w:themeColor="text1"/>
              </w:rPr>
              <w:t xml:space="preserve">Suaeda vera </w:t>
            </w:r>
          </w:p>
        </w:tc>
        <w:tc>
          <w:tcPr>
            <w:tcW w:w="5302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b/>
                <w:bCs/>
                <w:color w:val="000000" w:themeColor="text1"/>
              </w:rPr>
              <w:t>0.7 ± 0.6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rPr>
                <w:rFonts w:ascii="Aptos" w:eastAsia="Aptos" w:hAnsi="Aptos" w:cs="Aptos"/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rFonts w:eastAsia="Aptos" w:cs="Aptos"/>
                <w:b w:val="0"/>
                <w:bCs w:val="0"/>
                <w:i/>
                <w:iCs/>
                <w:color w:val="000000" w:themeColor="text1"/>
              </w:rPr>
              <w:t>Halocnemum strobilaceum</w:t>
            </w:r>
          </w:p>
        </w:tc>
        <w:tc>
          <w:tcPr>
            <w:tcW w:w="5302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b/>
                <w:bCs/>
                <w:color w:val="000000" w:themeColor="text1"/>
              </w:rPr>
              <w:t>8.4 ± 4.7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rPr>
                <w:rFonts w:ascii="Aptos" w:eastAsia="Aptos" w:hAnsi="Aptos" w:cs="Aptos"/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rFonts w:eastAsia="Aptos" w:cs="Aptos"/>
                <w:b w:val="0"/>
                <w:bCs w:val="0"/>
                <w:i/>
                <w:iCs/>
                <w:color w:val="000000" w:themeColor="text1"/>
              </w:rPr>
              <w:t>Atriplex glauca</w:t>
            </w:r>
          </w:p>
        </w:tc>
        <w:tc>
          <w:tcPr>
            <w:tcW w:w="5302" w:type="dxa"/>
            <w:tcBorders>
              <w:top w:val="single" w:sz="4" w:space="0" w:color="404040"/>
              <w:bottom w:val="nil"/>
            </w:tcBorders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b/>
                <w:bCs/>
                <w:color w:val="000000" w:themeColor="text1"/>
              </w:rPr>
              <w:t>1.3 ± 1.2</w:t>
            </w:r>
          </w:p>
        </w:tc>
      </w:tr>
      <w:tr w:rsidR="00A95819" w:rsidTr="00A958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7" w:type="dxa"/>
            <w:tcBorders>
              <w:top w:val="single" w:sz="4" w:space="0" w:color="404040"/>
            </w:tcBorders>
          </w:tcPr>
          <w:p w:rsidR="00A95819" w:rsidRDefault="004847DC">
            <w:pPr>
              <w:spacing w:after="0" w:line="240" w:lineRule="auto"/>
              <w:rPr>
                <w:rFonts w:ascii="Aptos" w:eastAsia="Aptos" w:hAnsi="Aptos" w:cs="Aptos"/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rFonts w:eastAsia="Aptos" w:cs="Aptos"/>
                <w:b w:val="0"/>
                <w:bCs w:val="0"/>
                <w:i/>
                <w:iCs/>
                <w:color w:val="000000" w:themeColor="text1"/>
              </w:rPr>
              <w:t>Anabasis articulata</w:t>
            </w:r>
          </w:p>
        </w:tc>
        <w:tc>
          <w:tcPr>
            <w:tcW w:w="5302" w:type="dxa"/>
            <w:tcBorders>
              <w:top w:val="single" w:sz="4" w:space="0" w:color="404040"/>
            </w:tcBorders>
          </w:tcPr>
          <w:p w:rsidR="00A95819" w:rsidRDefault="004847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Aptos" w:cs="Aptos"/>
                <w:b/>
                <w:bCs/>
                <w:color w:val="000000" w:themeColor="text1"/>
              </w:rPr>
              <w:t>1.0 ± 0.2</w:t>
            </w:r>
          </w:p>
        </w:tc>
      </w:tr>
    </w:tbl>
    <w:p w:rsidR="00A95819" w:rsidRDefault="00A95819">
      <w:pPr>
        <w:spacing w:after="120" w:line="360" w:lineRule="auto"/>
      </w:pPr>
    </w:p>
    <w:p w:rsidR="00A95819" w:rsidRDefault="00A95819"/>
    <w:p w:rsidR="00A95819" w:rsidRDefault="004847DC">
      <w:pPr>
        <w:ind w:left="1416" w:firstLine="708"/>
      </w:pPr>
      <w:r>
        <w:br w:type="page"/>
      </w:r>
    </w:p>
    <w:p w:rsidR="00A95819" w:rsidRDefault="004847DC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Supplementary Figures</w:t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Fig. S1</w:t>
      </w:r>
      <w:r>
        <w:rPr>
          <w:sz w:val="24"/>
          <w:szCs w:val="24"/>
          <w:lang w:val="en-GB"/>
        </w:rPr>
        <w:t xml:space="preserve"> Biogeographical map with locations of all sampled populations indicated by numbers as in Table 1. The three hydrohalophyte plant species were sampled in populations 1 (Duque), 2 (Estadio) and 3 (Terrón). The xerohalophytes were sampled on the mediterranea</w:t>
      </w:r>
      <w:r>
        <w:rPr>
          <w:sz w:val="24"/>
          <w:szCs w:val="24"/>
          <w:lang w:val="en-GB"/>
        </w:rPr>
        <w:t xml:space="preserve">n coast: </w:t>
      </w:r>
      <w:r>
        <w:rPr>
          <w:i/>
          <w:iCs/>
          <w:sz w:val="24"/>
          <w:szCs w:val="24"/>
          <w:lang w:val="en-GB"/>
        </w:rPr>
        <w:t>Halocnemum strobilaceum</w:t>
      </w:r>
      <w:r>
        <w:rPr>
          <w:sz w:val="24"/>
          <w:szCs w:val="24"/>
          <w:lang w:val="en-GB"/>
        </w:rPr>
        <w:t xml:space="preserve"> in populations 10 (Guadalentín), 11 (Calarreona) and 12 (Ecoparque); </w:t>
      </w:r>
      <w:r>
        <w:rPr>
          <w:i/>
          <w:iCs/>
          <w:sz w:val="24"/>
          <w:szCs w:val="24"/>
          <w:lang w:val="en-GB"/>
        </w:rPr>
        <w:t>Anabasis articulata</w:t>
      </w:r>
      <w:r>
        <w:rPr>
          <w:sz w:val="24"/>
          <w:szCs w:val="24"/>
          <w:lang w:val="en-GB"/>
        </w:rPr>
        <w:t xml:space="preserve"> in populations 7 (Fabriquilla), 8 (Faro) and 9 (Isleta); and </w:t>
      </w:r>
      <w:r>
        <w:rPr>
          <w:i/>
          <w:iCs/>
          <w:sz w:val="24"/>
          <w:szCs w:val="24"/>
          <w:lang w:val="en-GB"/>
        </w:rPr>
        <w:t>Atriplex glauca</w:t>
      </w:r>
      <w:r>
        <w:rPr>
          <w:sz w:val="24"/>
          <w:szCs w:val="24"/>
          <w:lang w:val="en-GB"/>
        </w:rPr>
        <w:t xml:space="preserve"> in populations 4 (Ermita), 5 (Rambla) and 6 (Corralete).</w:t>
      </w:r>
    </w:p>
    <w:p w:rsidR="00A95819" w:rsidRDefault="004847DC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3657600" cy="2743200"/>
            <wp:effectExtent l="0" t="0" r="0" b="0"/>
            <wp:docPr id="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9" w:rsidRDefault="004847DC">
      <w:pPr>
        <w:spacing w:line="360" w:lineRule="auto"/>
      </w:pPr>
      <w:r>
        <w:br w:type="page"/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Fig. S2</w:t>
      </w:r>
      <w:r>
        <w:rPr>
          <w:sz w:val="24"/>
          <w:szCs w:val="24"/>
          <w:lang w:val="en-US"/>
        </w:rPr>
        <w:t xml:space="preserve"> Scheme of the leaf sample collection protocol. First, fully developed individuals were selected. Then, three fragments of 2-3 cm of length were cut from the centre of each plant. Finally, a composite sample of each individual was surface steril</w:t>
      </w:r>
      <w:r>
        <w:rPr>
          <w:sz w:val="24"/>
          <w:szCs w:val="24"/>
          <w:lang w:val="en-US"/>
        </w:rPr>
        <w:t>ized in the laboratory.</w:t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7726045" cy="3245485"/>
            <wp:effectExtent l="0" t="0" r="0" b="0"/>
            <wp:docPr id="2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824" t="12520" r="9328" b="2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045" cy="324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9" w:rsidRDefault="004847DC">
      <w:pPr>
        <w:spacing w:line="360" w:lineRule="auto"/>
      </w:pPr>
      <w:r>
        <w:br w:type="page"/>
      </w:r>
    </w:p>
    <w:p w:rsidR="00A95819" w:rsidRDefault="004847DC">
      <w:pPr>
        <w:spacing w:line="360" w:lineRule="auto"/>
        <w:jc w:val="both"/>
        <w:rPr>
          <w:lang w:val="en-US"/>
        </w:rPr>
      </w:pPr>
      <w:r>
        <w:rPr>
          <w:b/>
          <w:bCs/>
          <w:sz w:val="24"/>
          <w:szCs w:val="24"/>
          <w:lang w:val="en-GB"/>
        </w:rPr>
        <w:lastRenderedPageBreak/>
        <w:t>Fig. S3</w:t>
      </w:r>
      <w:r>
        <w:rPr>
          <w:sz w:val="24"/>
          <w:szCs w:val="24"/>
          <w:lang w:val="en-GB"/>
        </w:rPr>
        <w:t xml:space="preserve"> Relative abundance of the 10 top bacterial phyla in the leaf endosphere of halophytes. Bars represent composite samples of each population.</w:t>
      </w:r>
    </w:p>
    <w:p w:rsidR="00A95819" w:rsidRDefault="004847DC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8200390" cy="3716020"/>
            <wp:effectExtent l="0" t="0" r="0" b="0"/>
            <wp:docPr id="3" name="Imagen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390" cy="371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Fig. S</w:t>
      </w:r>
      <w:r>
        <w:rPr>
          <w:b/>
          <w:bCs/>
          <w:lang w:val="en-US"/>
        </w:rPr>
        <w:t>4</w:t>
      </w:r>
      <w:r>
        <w:rPr>
          <w:sz w:val="24"/>
          <w:szCs w:val="24"/>
          <w:lang w:val="en-US"/>
        </w:rPr>
        <w:t xml:space="preserve"> PCoA ordination analysis based on a weighted unifrac distance matrix </w:t>
      </w:r>
      <w:r>
        <w:rPr>
          <w:sz w:val="24"/>
          <w:szCs w:val="24"/>
          <w:lang w:val="en-US"/>
        </w:rPr>
        <w:t xml:space="preserve">of PGP traits annotation of bacterial metagenomes. Each data point is a composite sample.  Factors are represented by  colour (plant species) and shape (functional type). Numbers represent populations in Table 1. </w:t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999480" cy="3936365"/>
            <wp:effectExtent l="0" t="0" r="0" b="0"/>
            <wp:docPr id="4" name="Imag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393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9" w:rsidRDefault="004847DC">
      <w:r>
        <w:br w:type="page"/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Fig. S5</w:t>
      </w:r>
      <w:r>
        <w:rPr>
          <w:sz w:val="24"/>
          <w:szCs w:val="24"/>
          <w:lang w:val="en-GB"/>
        </w:rPr>
        <w:t xml:space="preserve"> Relative abundance of genes re</w:t>
      </w:r>
      <w:r>
        <w:rPr>
          <w:sz w:val="24"/>
          <w:szCs w:val="24"/>
          <w:lang w:val="en-GB"/>
        </w:rPr>
        <w:t>lated to PGP properties classified by KEGG Orthology Level 2 of bacterial leaf endosphere of halophytes. Bars represent composite samples of each population</w:t>
      </w:r>
    </w:p>
    <w:p w:rsidR="00A95819" w:rsidRDefault="00A95819">
      <w:pPr>
        <w:spacing w:line="360" w:lineRule="auto"/>
        <w:jc w:val="both"/>
        <w:rPr>
          <w:sz w:val="24"/>
          <w:szCs w:val="24"/>
          <w:lang w:val="en-GB"/>
        </w:rPr>
      </w:pP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7538085" cy="3996055"/>
            <wp:effectExtent l="0" t="0" r="0" b="0"/>
            <wp:docPr id="5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399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Fig. S6</w:t>
      </w:r>
      <w:r>
        <w:rPr>
          <w:sz w:val="24"/>
          <w:szCs w:val="24"/>
          <w:lang w:val="en-GB"/>
        </w:rPr>
        <w:t xml:space="preserve"> Boxplot of the relative abundances of the abundances of the 6 PGP properties significant</w:t>
      </w:r>
      <w:r>
        <w:rPr>
          <w:sz w:val="24"/>
          <w:szCs w:val="24"/>
          <w:lang w:val="en-GB"/>
        </w:rPr>
        <w:t>ly different (q-value &lt; 0.05; ANCOM-BC results) between xero and hydrohalophytes.</w:t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6756400" cy="4254500"/>
            <wp:effectExtent l="0" t="0" r="0" b="0"/>
            <wp:docPr id="6" name="Image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425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9" w:rsidRDefault="004847DC">
      <w:pPr>
        <w:spacing w:line="360" w:lineRule="auto"/>
      </w:pPr>
      <w:r>
        <w:br w:type="page"/>
      </w:r>
    </w:p>
    <w:p w:rsidR="00A95819" w:rsidRDefault="004847DC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Fig. S7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Upset plot showing the numbers and interactions of differentially abundant PGP properties after ANCOMBC2 analyses.  The horizontal bars show the number of PGP pro</w:t>
      </w:r>
      <w:r>
        <w:rPr>
          <w:sz w:val="24"/>
          <w:szCs w:val="24"/>
          <w:lang w:val="en-GB"/>
        </w:rPr>
        <w:t>perties differentially abundant between each pair of plant species. Vertical bars represent the inclusive intersection size. Dark spheres indicate which sets are represented in the vertical bar.</w:t>
      </w:r>
    </w:p>
    <w:p w:rsidR="00A95819" w:rsidRDefault="004847DC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7536815" cy="4098290"/>
            <wp:effectExtent l="0" t="0" r="0" b="0"/>
            <wp:docPr id="7" name="Imagen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409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5819" w:rsidRDefault="004847DC">
      <w:pPr>
        <w:spacing w:line="360" w:lineRule="auto"/>
      </w:pPr>
      <w:r>
        <w:br w:type="page"/>
      </w:r>
    </w:p>
    <w:p w:rsidR="00A95819" w:rsidRDefault="004847DC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SI1. Protocol of samples surface sterilization</w:t>
      </w:r>
    </w:p>
    <w:p w:rsidR="00A95819" w:rsidRDefault="004847DC">
      <w:pPr>
        <w:pStyle w:val="Normal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For surface disinfection, they were washed with 70 % (v/v) ethanol (1 min of shaking), afterwards with sodium hypochlorite 1:4 in sterile distilled water for 15 min and gently shaken and in sterile distilled water (four times) (Navarro-Torre et al. 2017). </w:t>
      </w:r>
      <w:r>
        <w:rPr>
          <w:sz w:val="24"/>
          <w:szCs w:val="24"/>
          <w:lang w:val="en-GB"/>
        </w:rPr>
        <w:t xml:space="preserve">Disinfected samples were crushed separately with a sterile mortar in liquid nitrogen. </w:t>
      </w:r>
    </w:p>
    <w:p w:rsidR="00A95819" w:rsidRDefault="004847DC">
      <w:pPr>
        <w:pStyle w:val="Normal0"/>
        <w:spacing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Negative controls (sterile and non-ground aerial parts, sterile saline solution, sterile distilled water. and air from the laminar flow hood) were performed to confirm t</w:t>
      </w:r>
      <w:r>
        <w:rPr>
          <w:sz w:val="24"/>
          <w:szCs w:val="24"/>
          <w:lang w:val="en-GB"/>
        </w:rPr>
        <w:t>he effective disinfection process. The inoculation for the controls was performed using a spatula, and the plates were incubated at 25 °C for 24-48 hours.</w:t>
      </w:r>
    </w:p>
    <w:p w:rsidR="00A95819" w:rsidRDefault="00A95819">
      <w:pPr>
        <w:pStyle w:val="Normal0"/>
        <w:spacing w:line="360" w:lineRule="auto"/>
        <w:jc w:val="both"/>
        <w:rPr>
          <w:sz w:val="24"/>
          <w:szCs w:val="24"/>
          <w:lang w:val="en-GB"/>
        </w:rPr>
      </w:pPr>
    </w:p>
    <w:p w:rsidR="00A95819" w:rsidRDefault="004847DC">
      <w:pPr>
        <w:spacing w:line="360" w:lineRule="auto"/>
        <w:jc w:val="both"/>
        <w:rPr>
          <w:lang w:val="en-GB"/>
        </w:rPr>
      </w:pPr>
      <w:r>
        <w:rPr>
          <w:lang w:val="en-GB"/>
        </w:rPr>
        <w:t>Navarro-Torre S. Barcia-Piedras JM. Mateos-Naranjo E. Redondo-Gómez S. Camacho M. Caviedes MA. Pajue</w:t>
      </w:r>
      <w:r>
        <w:rPr>
          <w:lang w:val="en-GB"/>
        </w:rPr>
        <w:t xml:space="preserve">lo E. Rodríguez-Llorente ID (2017) Assessing the role of endophytic bacteria in the halophyte </w:t>
      </w:r>
      <w:r>
        <w:rPr>
          <w:i/>
          <w:iCs/>
          <w:lang w:val="en-GB"/>
        </w:rPr>
        <w:t>Arthrocnemum macrostachyum</w:t>
      </w:r>
      <w:r>
        <w:rPr>
          <w:lang w:val="en-GB"/>
        </w:rPr>
        <w:t xml:space="preserve"> salt tolerance. Plant Biology 19:249-256. https://doi.org/10.1111/plb.12521</w:t>
      </w:r>
    </w:p>
    <w:p w:rsidR="00A95819" w:rsidRDefault="004847DC">
      <w:r>
        <w:br w:type="page"/>
      </w:r>
    </w:p>
    <w:p w:rsidR="00A95819" w:rsidRDefault="004847DC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SI2. Bioinformatic analyses</w:t>
      </w:r>
    </w:p>
    <w:p w:rsidR="00A95819" w:rsidRDefault="004847DC">
      <w:pPr>
        <w:pStyle w:val="Normal0"/>
        <w:spacing w:after="120"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following steps were done</w:t>
      </w:r>
      <w:r>
        <w:rPr>
          <w:sz w:val="24"/>
          <w:szCs w:val="24"/>
          <w:lang w:val="en-GB"/>
        </w:rPr>
        <w:t xml:space="preserve"> by Novogene (Cambridge, UK). First, reads were filtered by removing low-quality reads (threshold &lt;= 38). Those with a certain proportion of N bases (length &gt; 10 bp) and overlaps with adapters (threshold &gt; 15 bp) using Readfq (https://github.com/lskatz/FqR</w:t>
      </w:r>
      <w:r>
        <w:rPr>
          <w:sz w:val="24"/>
          <w:szCs w:val="24"/>
          <w:lang w:val="en-GB"/>
        </w:rPr>
        <w:t xml:space="preserve">eader.go). Megahit (Li et al. 2015) was used to generate assemblies (parameter settings: --presets meta-large (--end-to-end. --sensitive. -I 200. -X 400) (Karlsson et al. 2013; Nielsen et al. 2014) and Scaftigs without N were obtained (Qin et al. 2010; Li </w:t>
      </w:r>
      <w:r>
        <w:rPr>
          <w:sz w:val="24"/>
          <w:szCs w:val="24"/>
          <w:lang w:val="en-GB"/>
        </w:rPr>
        <w:t>et al. 2015). ORF prediction for Scaftigs (&gt;= 500 bp) was done using MetaGeneMark and redundancy was eliminated using CD-HIT. Clean data was aligned using Bowtie2 to calculate number of reads of genes in each sample (--end-to-end. --sensitive. -I 200. -x 4</w:t>
      </w:r>
      <w:r>
        <w:rPr>
          <w:sz w:val="24"/>
          <w:szCs w:val="24"/>
          <w:lang w:val="en-GB"/>
        </w:rPr>
        <w:t>00). Genes with reads &lt;= 2 in each sample were filtered out and relative abundances of genes were obtained. Annotation of all genes was done using command blastp (E-value 1e-5) DIAMOND software (Buchfink et al. 2015) against the NCBI database (https://www.</w:t>
      </w:r>
      <w:r>
        <w:rPr>
          <w:sz w:val="24"/>
          <w:szCs w:val="24"/>
          <w:lang w:val="en-GB"/>
        </w:rPr>
        <w:t>ncbi.nlm.nih.gov/) and sequences with E-values &lt;= 1e-10 were selected for taxonomy annotation using the LCA algorithm (MEGAN software; Huson et al. 2007). Therefore, the abundance of a species in a sample is equal to the sum of the abundance of all genes a</w:t>
      </w:r>
      <w:r>
        <w:rPr>
          <w:sz w:val="24"/>
          <w:szCs w:val="24"/>
          <w:lang w:val="en-GB"/>
        </w:rPr>
        <w:t>nnotated as that species.</w:t>
      </w:r>
    </w:p>
    <w:p w:rsidR="00A95819" w:rsidRDefault="004847DC">
      <w:pPr>
        <w:pStyle w:val="Normal0"/>
        <w:spacing w:after="120"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 second annotation on PGP traits was done by the authors using the tool PGPg Finder (Pellegrinetti et al. (2024) based on the PLaBAse (Patz et al. 2024). The workflow meta_wf was applied on raw reads, which were trimmed using Tri</w:t>
      </w:r>
      <w:r>
        <w:rPr>
          <w:sz w:val="24"/>
          <w:szCs w:val="24"/>
          <w:lang w:val="en-GB"/>
        </w:rPr>
        <w:t xml:space="preserve">mmomatic v. 0.39 (SLIDINGWINDOW:4:20 MINLEN:36; Bolger et al. 2014) and assembled with Megahit v. 1.2.9 (Li et al. 2015). Annotation against the PGPT database was done using DIAMOND v. 2.0.14 (default parameters; Buchfink B et al. 2015). Reads were mapped </w:t>
      </w:r>
      <w:r>
        <w:rPr>
          <w:sz w:val="24"/>
          <w:szCs w:val="24"/>
          <w:lang w:val="en-GB"/>
        </w:rPr>
        <w:t xml:space="preserve">to assemblies using Bowtie2 v. 2.3.5.1 (Langmead &amp; Salzberg. 2012) and gene abundances were calculated with BBMap v. 39.01 pileup (Bushnell. 2014). </w:t>
      </w:r>
    </w:p>
    <w:p w:rsidR="00A95819" w:rsidRDefault="00A95819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</w:p>
    <w:p w:rsidR="00A95819" w:rsidRDefault="00A95819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Bolger AM. Lohse M. Usadel B. 2014. Trimmomatic: A flexible trimmer for Illumina Sequence Data. Bioinform</w:t>
      </w:r>
      <w:r>
        <w:rPr>
          <w:color w:val="000000" w:themeColor="text1"/>
          <w:lang w:val="en-GB"/>
        </w:rPr>
        <w:t>atics btu170.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lastRenderedPageBreak/>
        <w:t xml:space="preserve"> Bushnell. B. 2014. BBMap: A Fast. Accurate. Splice-Aware Aligner. Lawrence Berkeley National Laboratory. No. LBNL-7065E.  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Huson DH. Auch AF. Qi J. Schuster SC. 2007. MEGAN analysis of metagenomic data. Genome Research 17: 377-86.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Karlsson F</w:t>
      </w:r>
      <w:r>
        <w:rPr>
          <w:color w:val="000000" w:themeColor="text1"/>
          <w:lang w:val="en-GB"/>
        </w:rPr>
        <w:t>H. Tremaroli V. Nookaew I. Bergström G. Behre CJ. Fagerberg B. Nielsen J. Bäckhed F. 2013. Gut metagenome in European women with normal. impaired and diabetic glucose control. Nature 498: 99-103.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Langmead B. Salzberg S. 2012. Fast gapped-read alignment wit</w:t>
      </w:r>
      <w:r>
        <w:rPr>
          <w:color w:val="000000" w:themeColor="text1"/>
          <w:lang w:val="en-GB"/>
        </w:rPr>
        <w:t>h Bowtie 2. Nature Methods 9: 357-359.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Li D. Liu CM. Luo R. Sadakane K. Lam TW. 2015. MEGAHIT: An ultra-fast single-node solution for large and complex metagenomics assembly via succinct de Bruijn graph. Bioinformatics 31:1674-6.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Nielsen HB. Almeida M. Jun</w:t>
      </w:r>
      <w:r>
        <w:rPr>
          <w:color w:val="000000" w:themeColor="text1"/>
          <w:lang w:val="en-GB"/>
        </w:rPr>
        <w:t>cker AS. et al. 2014. Identification and assembly of genomes and genetic elements in complex metagenomic samples without using reference genomes. Nature Biotechnology 32: 822-828.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Patz S. Rauh M. Gautam A. Huson DH. 2024. mgPGPT: Metagenomic analysis of pl</w:t>
      </w:r>
      <w:r>
        <w:rPr>
          <w:color w:val="000000" w:themeColor="text1"/>
          <w:lang w:val="en-GB"/>
        </w:rPr>
        <w:t xml:space="preserve">ant growth-promoting traits. (submitted preprint) </w:t>
      </w:r>
    </w:p>
    <w:p w:rsidR="00A95819" w:rsidRDefault="004847DC">
      <w:pPr>
        <w:pStyle w:val="Normal0"/>
        <w:spacing w:after="120" w:line="360" w:lineRule="auto"/>
        <w:jc w:val="both"/>
      </w:pPr>
      <w:r>
        <w:rPr>
          <w:color w:val="000000" w:themeColor="text1"/>
          <w:lang w:val="en-GB"/>
        </w:rPr>
        <w:t>Pellegrinetti TA. Monteiro G. Lemos LN. RAC Santos. Barros A. Mendes L. 2024. PGPg_finder: A Comprehensive and User-friendly Pipeline for Identifying Plant Growth-Promoting Genes in Genomic and Metagenomic</w:t>
      </w:r>
      <w:r>
        <w:rPr>
          <w:color w:val="000000" w:themeColor="text1"/>
          <w:lang w:val="en-GB"/>
        </w:rPr>
        <w:t xml:space="preserve"> Data. Rhizosphere 30: 100905.</w:t>
      </w:r>
    </w:p>
    <w:p w:rsidR="00A95819" w:rsidRDefault="004847DC">
      <w:pPr>
        <w:pStyle w:val="Normal0"/>
        <w:spacing w:after="120" w:line="360" w:lineRule="auto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Qin J. Li R. Raes J. et al. 2010. A human gut microbial gene catalogue established by metagenomic sequencing. Nature 464: 59-65.</w:t>
      </w:r>
    </w:p>
    <w:sectPr w:rsidR="00A9581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701" w:right="1417" w:bottom="1701" w:left="1417" w:header="708" w:footer="708" w:gutter="0"/>
      <w:lnNumType w:countBy="1" w:distance="283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DC" w:rsidRDefault="004847DC">
      <w:pPr>
        <w:spacing w:after="0" w:line="240" w:lineRule="auto"/>
      </w:pPr>
      <w:r>
        <w:separator/>
      </w:r>
    </w:p>
  </w:endnote>
  <w:endnote w:type="continuationSeparator" w:id="0">
    <w:p w:rsidR="004847DC" w:rsidRDefault="0048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charset w:val="00"/>
    <w:family w:val="roman"/>
    <w:pitch w:val="variable"/>
  </w:font>
  <w:font w:name="Aptos Display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19" w:rsidRDefault="00A958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19" w:rsidRDefault="00A958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19" w:rsidRDefault="00A958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DC" w:rsidRDefault="004847DC">
      <w:pPr>
        <w:spacing w:after="0" w:line="240" w:lineRule="auto"/>
      </w:pPr>
      <w:r>
        <w:separator/>
      </w:r>
    </w:p>
  </w:footnote>
  <w:footnote w:type="continuationSeparator" w:id="0">
    <w:p w:rsidR="004847DC" w:rsidRDefault="0048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19" w:rsidRDefault="00A958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19" w:rsidRDefault="00A958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19" w:rsidRDefault="00A958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19"/>
    <w:rsid w:val="004847DC"/>
    <w:rsid w:val="00A95819"/>
    <w:rsid w:val="00AA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02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502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502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502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02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02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02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02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0266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50266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0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50266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02668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502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668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D3A5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D3A5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D3A5E"/>
    <w:rPr>
      <w:b/>
      <w:bCs/>
      <w:sz w:val="20"/>
      <w:szCs w:val="20"/>
    </w:rPr>
  </w:style>
  <w:style w:type="character" w:styleId="LineNumber">
    <w:name w:val="line number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502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668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66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rsid w:val="00DD3A5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D3A5E"/>
    <w:rPr>
      <w:b/>
      <w:bCs/>
    </w:rPr>
  </w:style>
  <w:style w:type="paragraph" w:customStyle="1" w:styleId="Normal0">
    <w:name w:val="Normal0"/>
    <w:basedOn w:val="Normal"/>
    <w:uiPriority w:val="1"/>
    <w:qFormat/>
    <w:rsid w:val="5D73887C"/>
    <w:rPr>
      <w:rFonts w:ascii="Aptos" w:eastAsia="Aptos" w:hAnsi="Aptos" w:cs="Aptos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Header">
    <w:name w:val="header"/>
    <w:basedOn w:val="Normal"/>
    <w:uiPriority w:val="99"/>
    <w:unhideWhenUsed/>
    <w:rsid w:val="3F8DDE05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F8DDE05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eGrid">
    <w:name w:val="Table Grid"/>
    <w:basedOn w:val="TableNormal"/>
    <w:uiPriority w:val="39"/>
    <w:rsid w:val="00AD3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Normal"/>
    <w:uiPriority w:val="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02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502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502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502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02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02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02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02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0266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50266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0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50266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02668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502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668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D3A5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D3A5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D3A5E"/>
    <w:rPr>
      <w:b/>
      <w:bCs/>
      <w:sz w:val="20"/>
      <w:szCs w:val="20"/>
    </w:rPr>
  </w:style>
  <w:style w:type="character" w:styleId="LineNumber">
    <w:name w:val="line number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502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668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66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rsid w:val="00DD3A5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D3A5E"/>
    <w:rPr>
      <w:b/>
      <w:bCs/>
    </w:rPr>
  </w:style>
  <w:style w:type="paragraph" w:customStyle="1" w:styleId="Normal0">
    <w:name w:val="Normal0"/>
    <w:basedOn w:val="Normal"/>
    <w:uiPriority w:val="1"/>
    <w:qFormat/>
    <w:rsid w:val="5D73887C"/>
    <w:rPr>
      <w:rFonts w:ascii="Aptos" w:eastAsia="Aptos" w:hAnsi="Aptos" w:cs="Aptos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Header">
    <w:name w:val="header"/>
    <w:basedOn w:val="Normal"/>
    <w:uiPriority w:val="99"/>
    <w:unhideWhenUsed/>
    <w:rsid w:val="3F8DDE05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F8DDE05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eGrid">
    <w:name w:val="Table Grid"/>
    <w:basedOn w:val="TableNormal"/>
    <w:uiPriority w:val="39"/>
    <w:rsid w:val="00AD3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Normal"/>
    <w:uiPriority w:val="4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roncero@us.es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RONCERO RAMOS</dc:creator>
  <cp:lastModifiedBy>Angelo Jay Adam Caldamo</cp:lastModifiedBy>
  <cp:revision>2</cp:revision>
  <dcterms:created xsi:type="dcterms:W3CDTF">2026-06-23T00:54:00Z</dcterms:created>
  <dcterms:modified xsi:type="dcterms:W3CDTF">2026-06-23T00:54:00Z</dcterms:modified>
  <dc:language>es-ES</dc:language>
</cp:coreProperties>
</file>