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19" w:rsidRDefault="008B3719" w:rsidP="008B3719">
      <w:pPr>
        <w:pStyle w:val="Heading1"/>
      </w:pPr>
      <w:r>
        <w:t>Supplementary materials</w:t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law of mass action allows to derive the following relationship between the fraction of bound complex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gramEnd"/>
      <m:oMath>
        <m:r>
          <w:rPr>
            <w:rFonts w:ascii="Cambria Math" w:hAnsi="Cambria Math" w:cs="Times New Roman"/>
            <w:sz w:val="20"/>
            <w:szCs w:val="20"/>
          </w:rPr>
          <m:t>X=</m:t>
        </m:r>
        <m:box>
          <m:box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color w:val="000000" w:themeColor="text1"/>
                        <w:kern w:val="24"/>
                        <w:sz w:val="20"/>
                        <w:szCs w:val="20"/>
                        <w:lang w:val="de-A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kern w:val="24"/>
                        <w:sz w:val="20"/>
                        <w:szCs w:val="20"/>
                        <w:lang w:val="de-A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kern w:val="24"/>
                        <w:sz w:val="20"/>
                        <w:szCs w:val="20"/>
                        <w:lang w:val="de-AT"/>
                      </w:rPr>
                      <m:t>AB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color w:val="000000" w:themeColor="text1"/>
                        <w:kern w:val="24"/>
                        <w:sz w:val="20"/>
                        <w:szCs w:val="20"/>
                        <w:lang w:val="de-A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kern w:val="24"/>
                        <w:sz w:val="20"/>
                        <w:szCs w:val="20"/>
                        <w:lang w:val="de-A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kern w:val="24"/>
                        <w:sz w:val="20"/>
                        <w:szCs w:val="20"/>
                        <w:lang w:val="de-AT"/>
                      </w:rPr>
                      <m:t>A</m:t>
                    </m:r>
                    <m:r>
                      <w:rPr>
                        <w:rFonts w:ascii="Cambria Math" w:hAnsi="Cambria Math"/>
                        <w:color w:val="000000" w:themeColor="text1"/>
                        <w:kern w:val="24"/>
                        <w:sz w:val="20"/>
                        <w:szCs w:val="20"/>
                      </w:rPr>
                      <m:t xml:space="preserve">, </m:t>
                    </m:r>
                    <m:r>
                      <w:rPr>
                        <w:rFonts w:ascii="Cambria Math" w:hAnsi="Cambria Math"/>
                        <w:color w:val="000000" w:themeColor="text1"/>
                        <w:kern w:val="24"/>
                        <w:sz w:val="20"/>
                        <w:szCs w:val="20"/>
                        <w:lang w:val="de-AT"/>
                      </w:rPr>
                      <m:t>total</m:t>
                    </m:r>
                  </m:sub>
                </m:sSub>
              </m:den>
            </m:f>
          </m:e>
        </m:box>
      </m:oMath>
      <w:r>
        <w:rPr>
          <w:rFonts w:ascii="Times New Roman" w:hAnsi="Times New Roman" w:cs="Times New Roman"/>
          <w:sz w:val="20"/>
          <w:szCs w:val="20"/>
        </w:rPr>
        <w:t xml:space="preserve">, for a given </w:t>
      </w:r>
      <w:r w:rsidRPr="005777FF">
        <w:rPr>
          <w:rFonts w:ascii="Times New Roman" w:hAnsi="Times New Roman" w:cs="Times New Roman"/>
          <w:i/>
          <w:sz w:val="20"/>
          <w:szCs w:val="20"/>
        </w:rPr>
        <w:t>K</w:t>
      </w:r>
      <w:r w:rsidRPr="005777FF">
        <w:rPr>
          <w:rFonts w:ascii="Times New Roman" w:hAnsi="Times New Roman" w:cs="Times New Roman"/>
          <w:i/>
          <w:sz w:val="20"/>
          <w:szCs w:val="20"/>
          <w:vertAlign w:val="subscript"/>
        </w:rPr>
        <w:t>D</w:t>
      </w:r>
      <w:r>
        <w:rPr>
          <w:rFonts w:ascii="Times New Roman" w:hAnsi="Times New Roman" w:cs="Times New Roman"/>
          <w:sz w:val="20"/>
          <w:szCs w:val="20"/>
        </w:rPr>
        <w:t xml:space="preserve"> with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color w:val="000000" w:themeColor="text1"/>
                <w:kern w:val="24"/>
                <w:sz w:val="20"/>
                <w:szCs w:val="20"/>
                <w:lang w:val="de-AT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A</m:t>
            </m:r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</w:rPr>
              <m:t xml:space="preserve">, </m:t>
            </m:r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total</m:t>
            </m:r>
          </m:sub>
        </m:sSub>
      </m:oMath>
      <w:r>
        <w:rPr>
          <w:rFonts w:ascii="Times New Roman" w:hAnsi="Times New Roman" w:cs="Times New Roman"/>
          <w:sz w:val="20"/>
          <w:szCs w:val="20"/>
        </w:rPr>
        <w:t xml:space="preserve"> being the total molar target concentration,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color w:val="000000" w:themeColor="text1"/>
                <w:kern w:val="24"/>
                <w:sz w:val="20"/>
                <w:szCs w:val="20"/>
                <w:lang w:val="de-AT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B</m:t>
            </m:r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</w:rPr>
              <m:t xml:space="preserve">, </m:t>
            </m:r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total</m:t>
            </m:r>
          </m:sub>
        </m:sSub>
      </m:oMath>
      <w:r>
        <w:rPr>
          <w:rFonts w:ascii="Times New Roman" w:hAnsi="Times New Roman" w:cs="Times New Roman"/>
          <w:sz w:val="20"/>
          <w:szCs w:val="20"/>
        </w:rPr>
        <w:t xml:space="preserve"> the total ligand concentration and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color w:val="000000" w:themeColor="text1"/>
                <w:kern w:val="24"/>
                <w:sz w:val="20"/>
                <w:szCs w:val="20"/>
                <w:lang w:val="de-AT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AB</m:t>
            </m:r>
          </m:sub>
        </m:sSub>
      </m:oMath>
      <w:r w:rsidRPr="005C3B7D">
        <w:rPr>
          <w:rFonts w:ascii="Times New Roman" w:eastAsiaTheme="minorEastAsia" w:hAnsi="Times New Roman" w:cs="Times New Roman"/>
          <w:iCs/>
          <w:color w:val="000000" w:themeColor="text1"/>
          <w:kern w:val="24"/>
          <w:sz w:val="20"/>
          <w:szCs w:val="20"/>
        </w:rPr>
        <w:t xml:space="preserve"> the </w:t>
      </w:r>
      <w:r>
        <w:rPr>
          <w:rFonts w:ascii="Times New Roman" w:eastAsiaTheme="minorEastAsia" w:hAnsi="Times New Roman" w:cs="Times New Roman"/>
          <w:iCs/>
          <w:color w:val="000000" w:themeColor="text1"/>
          <w:kern w:val="24"/>
          <w:sz w:val="20"/>
          <w:szCs w:val="20"/>
        </w:rPr>
        <w:t>concent</w:t>
      </w:r>
      <w:bookmarkStart w:id="0" w:name="_GoBack"/>
      <w:bookmarkEnd w:id="0"/>
      <w:r>
        <w:rPr>
          <w:rFonts w:ascii="Times New Roman" w:eastAsiaTheme="minorEastAsia" w:hAnsi="Times New Roman" w:cs="Times New Roman"/>
          <w:iCs/>
          <w:color w:val="000000" w:themeColor="text1"/>
          <w:kern w:val="24"/>
          <w:sz w:val="20"/>
          <w:szCs w:val="20"/>
        </w:rPr>
        <w:t>ration of the complex.</w:t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118110</wp:posOffset>
                </wp:positionH>
                <wp:positionV relativeFrom="paragraph">
                  <wp:posOffset>276860</wp:posOffset>
                </wp:positionV>
                <wp:extent cx="4385945" cy="614680"/>
                <wp:effectExtent l="0" t="0" r="0" b="0"/>
                <wp:wrapTopAndBottom/>
                <wp:docPr id="71" name="Text Box 71">
                  <a:extLst xmlns:a="http://schemas.openxmlformats.org/drawingml/2006/main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5945" cy="614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B3719" w:rsidRPr="005C3B7D" w:rsidRDefault="008B3719" w:rsidP="008B3719">
                            <w:pPr>
                              <w:rPr>
                                <w:rFonts w:eastAsiaTheme="minorEastAsia"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de-AT"/>
                                  </w:rPr>
                                  <m:t>X=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c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B,total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c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A,total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D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  <m:t>-</m:t>
                                    </m:r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  <w:iCs/>
                                                <w:color w:val="000000" w:themeColor="text1"/>
                                                <w:kern w:val="24"/>
                                                <w:sz w:val="20"/>
                                                <w:szCs w:val="20"/>
                                                <w:lang w:val="de-AT"/>
                                              </w:rPr>
                                            </m:ctrlPr>
                                          </m:sSupPr>
                                          <m:e>
                                            <m:d>
                                              <m:d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  <w:iCs/>
                                                    <w:color w:val="000000" w:themeColor="text1"/>
                                                    <w:kern w:val="24"/>
                                                    <w:sz w:val="20"/>
                                                    <w:szCs w:val="20"/>
                                                    <w:lang w:val="de-AT"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sSub>
                                                  <m:sSubPr>
                                                    <m:ctrlPr>
                                                      <w:rPr>
                                                        <w:rFonts w:ascii="Cambria Math" w:eastAsiaTheme="minorEastAsia" w:hAnsi="Cambria Math"/>
                                                        <w:i/>
                                                        <w:iCs/>
                                                        <w:color w:val="000000" w:themeColor="text1"/>
                                                        <w:kern w:val="24"/>
                                                        <w:sz w:val="20"/>
                                                        <w:szCs w:val="20"/>
                                                        <w:lang w:val="de-AT"/>
                                                      </w:rPr>
                                                    </m:ctrlPr>
                                                  </m:sSub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  <w:color w:val="000000" w:themeColor="text1"/>
                                                        <w:kern w:val="24"/>
                                                        <w:sz w:val="20"/>
                                                        <w:szCs w:val="20"/>
                                                        <w:lang w:val="de-AT"/>
                                                      </w:rPr>
                                                      <m:t>c</m:t>
                                                    </m:r>
                                                  </m:e>
                                                  <m:sub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  <w:color w:val="000000" w:themeColor="text1"/>
                                                        <w:kern w:val="24"/>
                                                        <w:sz w:val="20"/>
                                                        <w:szCs w:val="20"/>
                                                        <w:lang w:val="de-AT"/>
                                                      </w:rPr>
                                                      <m:t>B,total</m:t>
                                                    </m:r>
                                                  </m:sub>
                                                </m:sSub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000000" w:themeColor="text1"/>
                                                    <w:kern w:val="24"/>
                                                    <w:sz w:val="20"/>
                                                    <w:szCs w:val="20"/>
                                                    <w:lang w:val="de-AT"/>
                                                  </w:rPr>
                                                  <m:t>+</m:t>
                                                </m:r>
                                                <m:sSub>
                                                  <m:sSubPr>
                                                    <m:ctrlPr>
                                                      <w:rPr>
                                                        <w:rFonts w:ascii="Cambria Math" w:eastAsiaTheme="minorEastAsia" w:hAnsi="Cambria Math"/>
                                                        <w:i/>
                                                        <w:iCs/>
                                                        <w:color w:val="000000" w:themeColor="text1"/>
                                                        <w:kern w:val="24"/>
                                                        <w:sz w:val="20"/>
                                                        <w:szCs w:val="20"/>
                                                        <w:lang w:val="de-AT"/>
                                                      </w:rPr>
                                                    </m:ctrlPr>
                                                  </m:sSub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  <w:color w:val="000000" w:themeColor="text1"/>
                                                        <w:kern w:val="24"/>
                                                        <w:sz w:val="20"/>
                                                        <w:szCs w:val="20"/>
                                                        <w:lang w:val="de-AT"/>
                                                      </w:rPr>
                                                      <m:t>c</m:t>
                                                    </m:r>
                                                  </m:e>
                                                  <m:sub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  <w:color w:val="000000" w:themeColor="text1"/>
                                                        <w:kern w:val="24"/>
                                                        <w:sz w:val="20"/>
                                                        <w:szCs w:val="20"/>
                                                        <w:lang w:val="de-AT"/>
                                                      </w:rPr>
                                                      <m:t>A,total</m:t>
                                                    </m:r>
                                                  </m:sub>
                                                </m:sSub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000000" w:themeColor="text1"/>
                                                    <w:kern w:val="24"/>
                                                    <w:sz w:val="20"/>
                                                    <w:szCs w:val="20"/>
                                                    <w:lang w:val="de-AT"/>
                                                  </w:rPr>
                                                  <m:t>+</m:t>
                                                </m:r>
                                                <m:sSub>
                                                  <m:sSubPr>
                                                    <m:ctrlPr>
                                                      <w:rPr>
                                                        <w:rFonts w:ascii="Cambria Math" w:eastAsiaTheme="minorEastAsia" w:hAnsi="Cambria Math"/>
                                                        <w:i/>
                                                        <w:iCs/>
                                                        <w:color w:val="000000" w:themeColor="text1"/>
                                                        <w:kern w:val="24"/>
                                                        <w:sz w:val="20"/>
                                                        <w:szCs w:val="20"/>
                                                        <w:lang w:val="de-AT"/>
                                                      </w:rPr>
                                                    </m:ctrlPr>
                                                  </m:sSub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  <w:color w:val="000000" w:themeColor="text1"/>
                                                        <w:kern w:val="24"/>
                                                        <w:sz w:val="20"/>
                                                        <w:szCs w:val="20"/>
                                                        <w:lang w:val="de-AT"/>
                                                      </w:rPr>
                                                      <m:t>K</m:t>
                                                    </m:r>
                                                  </m:e>
                                                  <m:sub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  <w:color w:val="000000" w:themeColor="text1"/>
                                                        <w:kern w:val="24"/>
                                                        <w:sz w:val="20"/>
                                                        <w:szCs w:val="20"/>
                                                        <w:lang w:val="de-AT"/>
                                                      </w:rPr>
                                                      <m:t>D</m:t>
                                                    </m:r>
                                                  </m:sub>
                                                </m:sSub>
                                              </m:e>
                                            </m:d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 w:themeColor="text1"/>
                                                <w:kern w:val="24"/>
                                                <w:sz w:val="20"/>
                                                <w:szCs w:val="20"/>
                                                <w:lang w:val="de-AT"/>
                                              </w:rPr>
                                              <m:t>2</m:t>
                                            </m:r>
                                          </m:sup>
                                        </m:sSup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-4(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  <w:iCs/>
                                                <w:color w:val="000000" w:themeColor="text1"/>
                                                <w:kern w:val="24"/>
                                                <w:sz w:val="20"/>
                                                <w:szCs w:val="20"/>
                                                <w:lang w:val="de-AT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 w:themeColor="text1"/>
                                                <w:kern w:val="24"/>
                                                <w:sz w:val="20"/>
                                                <w:szCs w:val="20"/>
                                                <w:lang w:val="de-AT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 w:themeColor="text1"/>
                                                <w:kern w:val="24"/>
                                                <w:sz w:val="20"/>
                                                <w:szCs w:val="20"/>
                                                <w:lang w:val="de-AT"/>
                                              </w:rPr>
                                              <m:t>A,total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eastAsiaTheme="minorEastAsia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+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  <w:iCs/>
                                                <w:color w:val="000000" w:themeColor="text1"/>
                                                <w:kern w:val="24"/>
                                                <w:sz w:val="20"/>
                                                <w:szCs w:val="20"/>
                                                <w:lang w:val="de-AT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 w:themeColor="text1"/>
                                                <w:kern w:val="24"/>
                                                <w:sz w:val="20"/>
                                                <w:szCs w:val="20"/>
                                                <w:lang w:val="de-AT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  <w:color w:val="000000" w:themeColor="text1"/>
                                                <w:kern w:val="24"/>
                                                <w:sz w:val="20"/>
                                                <w:szCs w:val="20"/>
                                                <w:lang w:val="de-AT"/>
                                              </w:rPr>
                                              <m:t>B</m:t>
                                            </m:r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 w:themeColor="text1"/>
                                                <w:kern w:val="24"/>
                                                <w:sz w:val="20"/>
                                                <w:szCs w:val="20"/>
                                                <w:lang w:val="de-AT"/>
                                              </w:rPr>
                                              <m:t>,total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eastAsiaTheme="minorEastAsia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)</m:t>
                                        </m:r>
                                      </m:e>
                                    </m:rad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  <m:t>2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c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A,total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6" type="#_x0000_t202" style="position:absolute;left:0;text-align:left;margin-left:9.3pt;margin-top:21.8pt;width:345.35pt;height:48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" filled="f" stroked="f">
                <v:path arrowok="t"/>
                <v:textbox style="mso-fit-shape-to-text:t" inset="0,0,0,0">
                  <w:txbxContent>
                    <w:p w:rsidR="008B3719" w:rsidRPr="005C3B7D" w:rsidRDefault="008B3719" w:rsidP="008B3719">
                      <w:pPr>
                        <w:rPr>
                          <w:rFonts w:eastAsiaTheme="minorEastAsia"/>
                          <w:iCs/>
                          <w:color w:val="000000" w:themeColor="text1"/>
                          <w:kern w:val="24"/>
                          <w:sz w:val="20"/>
                          <w:szCs w:val="20"/>
                          <w:lang w:val="de-AT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kern w:val="24"/>
                              <w:sz w:val="20"/>
                              <w:szCs w:val="20"/>
                              <w:lang w:val="de-AT"/>
                            </w:rPr>
                            <m:t>X=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B,total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A,total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D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m:t>-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</m:ctrlPr>
                                </m:radPr>
                                <m:deg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:lang w:val="de-AT"/>
                                        </w:rPr>
                                      </m:ctrlPr>
                                    </m:sSupPr>
                                    <m:e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20"/>
                                              <w:szCs w:val="20"/>
                                              <w:lang w:val="de-AT"/>
                                            </w:rPr>
                                          </m:ctrlPr>
                                        </m:dPr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eastAsiaTheme="minorEastAsia" w:hAnsi="Cambria Math"/>
                                                  <w:i/>
                                                  <w:iCs/>
                                                  <w:color w:val="000000" w:themeColor="text1"/>
                                                  <w:kern w:val="24"/>
                                                  <w:sz w:val="20"/>
                                                  <w:szCs w:val="20"/>
                                                  <w:lang w:val="de-AT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 w:themeColor="text1"/>
                                                  <w:kern w:val="24"/>
                                                  <w:sz w:val="20"/>
                                                  <w:szCs w:val="20"/>
                                                  <w:lang w:val="de-AT"/>
                                                </w:rPr>
                                                <m:t>c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 w:themeColor="text1"/>
                                                  <w:kern w:val="24"/>
                                                  <w:sz w:val="20"/>
                                                  <w:szCs w:val="20"/>
                                                  <w:lang w:val="de-AT"/>
                                                </w:rPr>
                                                <m:t>B,total</m:t>
                                              </m:r>
                                            </m:sub>
                                          </m:sSub>
                                          <m:r>
                                            <w:rPr>
                                              <w:rFonts w:ascii="Cambria Math" w:hAnsi="Cambria Math"/>
                                              <w:color w:val="000000" w:themeColor="text1"/>
                                              <w:kern w:val="24"/>
                                              <w:sz w:val="20"/>
                                              <w:szCs w:val="20"/>
                                              <w:lang w:val="de-AT"/>
                                            </w:rPr>
                                            <m:t>+</m:t>
                                          </m:r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eastAsiaTheme="minorEastAsia" w:hAnsi="Cambria Math"/>
                                                  <w:i/>
                                                  <w:iCs/>
                                                  <w:color w:val="000000" w:themeColor="text1"/>
                                                  <w:kern w:val="24"/>
                                                  <w:sz w:val="20"/>
                                                  <w:szCs w:val="20"/>
                                                  <w:lang w:val="de-AT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 w:themeColor="text1"/>
                                                  <w:kern w:val="24"/>
                                                  <w:sz w:val="20"/>
                                                  <w:szCs w:val="20"/>
                                                  <w:lang w:val="de-AT"/>
                                                </w:rPr>
                                                <m:t>c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 w:themeColor="text1"/>
                                                  <w:kern w:val="24"/>
                                                  <w:sz w:val="20"/>
                                                  <w:szCs w:val="20"/>
                                                  <w:lang w:val="de-AT"/>
                                                </w:rPr>
                                                <m:t>A,total</m:t>
                                              </m:r>
                                            </m:sub>
                                          </m:sSub>
                                          <m:r>
                                            <w:rPr>
                                              <w:rFonts w:ascii="Cambria Math" w:hAnsi="Cambria Math"/>
                                              <w:color w:val="000000" w:themeColor="text1"/>
                                              <w:kern w:val="24"/>
                                              <w:sz w:val="20"/>
                                              <w:szCs w:val="20"/>
                                              <w:lang w:val="de-AT"/>
                                            </w:rPr>
                                            <m:t>+</m:t>
                                          </m:r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eastAsiaTheme="minorEastAsia" w:hAnsi="Cambria Math"/>
                                                  <w:i/>
                                                  <w:iCs/>
                                                  <w:color w:val="000000" w:themeColor="text1"/>
                                                  <w:kern w:val="24"/>
                                                  <w:sz w:val="20"/>
                                                  <w:szCs w:val="20"/>
                                                  <w:lang w:val="de-AT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 w:themeColor="text1"/>
                                                  <w:kern w:val="24"/>
                                                  <w:sz w:val="20"/>
                                                  <w:szCs w:val="20"/>
                                                  <w:lang w:val="de-AT"/>
                                                </w:rPr>
                                                <m:t>K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 w:themeColor="text1"/>
                                                  <w:kern w:val="24"/>
                                                  <w:sz w:val="20"/>
                                                  <w:szCs w:val="20"/>
                                                  <w:lang w:val="de-AT"/>
                                                </w:rPr>
                                                <m:t>D</m:t>
                                              </m:r>
                                            </m:sub>
                                          </m:sSub>
                                        </m:e>
                                      </m:d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:lang w:val="de-AT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-4(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:lang w:val="de-AT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:lang w:val="de-AT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:lang w:val="de-AT"/>
                                        </w:rPr>
                                        <m:t>A,total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Theme="minorEastAsia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:lang w:val="de-AT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:lang w:val="de-AT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Cambria Math"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:lang w:val="de-AT"/>
                                        </w:rPr>
                                        <m:t>B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:lang w:val="de-AT"/>
                                        </w:rPr>
                                        <m:t>,total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Theme="minorEastAsia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)</m:t>
                                  </m:r>
                                </m:e>
                              </m:rad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m:t>2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A,total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>Supplementary equation (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Assuming the measured </w:t>
      </w:r>
      <w:proofErr w:type="spellStart"/>
      <w:r w:rsidRPr="005777FF">
        <w:rPr>
          <w:rFonts w:ascii="Times New Roman" w:hAnsi="Times New Roman" w:cs="Times New Roman"/>
          <w:i/>
          <w:sz w:val="20"/>
          <w:szCs w:val="20"/>
        </w:rPr>
        <w:t>F</w:t>
      </w:r>
      <w:r w:rsidRPr="005777FF">
        <w:rPr>
          <w:rFonts w:ascii="Times New Roman" w:hAnsi="Times New Roman" w:cs="Times New Roman"/>
          <w:i/>
          <w:sz w:val="20"/>
          <w:szCs w:val="20"/>
          <w:vertAlign w:val="subscript"/>
        </w:rPr>
        <w:t>norm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values correspond to a linear superposition of the signals for unbound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(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color w:val="000000" w:themeColor="text1"/>
                <w:kern w:val="24"/>
                <w:sz w:val="20"/>
                <w:szCs w:val="20"/>
                <w:lang w:val="de-AT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F</m:t>
            </m:r>
          </m:e>
          <m:sub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norm</m:t>
            </m:r>
          </m:sub>
        </m:sSub>
        <m:r>
          <w:rPr>
            <w:rFonts w:ascii="Cambria Math" w:hAnsi="Cambria Math"/>
            <w:color w:val="000000" w:themeColor="text1"/>
            <w:kern w:val="24"/>
            <w:sz w:val="20"/>
            <w:szCs w:val="20"/>
          </w:rPr>
          <m:t>(</m:t>
        </m:r>
        <m:r>
          <w:rPr>
            <w:rFonts w:ascii="Cambria Math" w:eastAsia="Cambria Math" w:hAnsi="Cambria Math"/>
            <w:color w:val="000000" w:themeColor="text1"/>
            <w:kern w:val="24"/>
            <w:sz w:val="20"/>
            <w:szCs w:val="20"/>
          </w:rPr>
          <m:t>0</m:t>
        </m:r>
        <m:r>
          <w:rPr>
            <w:rFonts w:ascii="Cambria Math" w:hAnsi="Cambria Math"/>
            <w:color w:val="000000" w:themeColor="text1"/>
            <w:kern w:val="24"/>
            <w:sz w:val="20"/>
            <w:szCs w:val="20"/>
          </w:rPr>
          <m:t>))</m:t>
        </m:r>
      </m:oMath>
      <w:r>
        <w:rPr>
          <w:rFonts w:ascii="Times New Roman" w:hAnsi="Times New Roman" w:cs="Times New Roman"/>
          <w:sz w:val="20"/>
          <w:szCs w:val="20"/>
        </w:rPr>
        <w:t xml:space="preserve"> and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bound </w:t>
      </w:r>
      <w:proofErr w:type="gramEnd"/>
      <m:oMath>
        <m:r>
          <w:rPr>
            <w:rFonts w:ascii="Cambria Math" w:hAnsi="Cambria Math" w:cs="Times New Roman"/>
            <w:sz w:val="20"/>
            <w:szCs w:val="20"/>
          </w:rPr>
          <m:t>(</m:t>
        </m:r>
        <m:sSub>
          <m:sSubPr>
            <m:ctrlPr>
              <w:rPr>
                <w:rFonts w:ascii="Cambria Math" w:eastAsiaTheme="minorEastAsia" w:hAnsi="Cambria Math"/>
                <w:i/>
                <w:iCs/>
                <w:color w:val="000000" w:themeColor="text1"/>
                <w:kern w:val="24"/>
                <w:sz w:val="20"/>
                <w:szCs w:val="20"/>
                <w:lang w:val="de-AT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F</m:t>
            </m:r>
          </m:e>
          <m:sub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norm</m:t>
            </m:r>
          </m:sub>
        </m:sSub>
        <m:r>
          <w:rPr>
            <w:rFonts w:ascii="Cambria Math" w:hAnsi="Cambria Math"/>
            <w:color w:val="000000" w:themeColor="text1"/>
            <w:kern w:val="24"/>
            <w:sz w:val="20"/>
            <w:szCs w:val="20"/>
          </w:rPr>
          <m:t>(1)</m:t>
        </m:r>
      </m:oMath>
      <w:r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fractions respectively, </w:t>
      </w:r>
      <w:proofErr w:type="spellStart"/>
      <w:r w:rsidRPr="005777FF">
        <w:rPr>
          <w:rFonts w:ascii="Times New Roman" w:hAnsi="Times New Roman" w:cs="Times New Roman"/>
          <w:i/>
          <w:sz w:val="20"/>
          <w:szCs w:val="20"/>
        </w:rPr>
        <w:t>F</w:t>
      </w:r>
      <w:r w:rsidRPr="005777FF">
        <w:rPr>
          <w:rFonts w:ascii="Times New Roman" w:hAnsi="Times New Roman" w:cs="Times New Roman"/>
          <w:i/>
          <w:sz w:val="20"/>
          <w:szCs w:val="20"/>
          <w:vertAlign w:val="subscript"/>
        </w:rPr>
        <w:t>norm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values were fitted using supplementary equation </w:t>
      </w:r>
      <w:r w:rsidRPr="005C3B7D">
        <w:rPr>
          <w:rFonts w:ascii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5C3B7D">
        <w:rPr>
          <w:rFonts w:ascii="Times New Roman" w:hAnsi="Times New Roman" w:cs="Times New Roman"/>
          <w:sz w:val="20"/>
          <w:szCs w:val="20"/>
        </w:rPr>
        <w:t>) and (</w:t>
      </w:r>
      <w:r>
        <w:rPr>
          <w:rFonts w:ascii="Times New Roman" w:hAnsi="Times New Roman" w:cs="Times New Roman"/>
          <w:sz w:val="20"/>
          <w:szCs w:val="20"/>
        </w:rPr>
        <w:t>ii</w:t>
      </w:r>
      <w:r w:rsidRPr="005C3B7D">
        <w:rPr>
          <w:rFonts w:ascii="Times New Roman" w:hAnsi="Times New Roman" w:cs="Times New Roman"/>
          <w:sz w:val="20"/>
          <w:szCs w:val="20"/>
        </w:rPr>
        <w:t>)</w:t>
      </w:r>
      <w:r w:rsidRPr="00EC018D">
        <w:rPr>
          <w:rFonts w:ascii="Times New Roman" w:hAnsi="Times New Roman" w:cs="Times New Roman"/>
          <w:sz w:val="20"/>
          <w:szCs w:val="20"/>
        </w:rPr>
        <w:t>.</w:t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  <w:r w:rsidRPr="00A249E7"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9DCB5" wp14:editId="1AA4F781">
                <wp:simplePos x="0" y="0"/>
                <wp:positionH relativeFrom="margin">
                  <wp:posOffset>462733</wp:posOffset>
                </wp:positionH>
                <wp:positionV relativeFrom="paragraph">
                  <wp:posOffset>266040</wp:posOffset>
                </wp:positionV>
                <wp:extent cx="3113448" cy="276860"/>
                <wp:effectExtent l="0" t="0" r="0" b="0"/>
                <wp:wrapTopAndBottom/>
                <wp:docPr id="72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3448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B3719" w:rsidRPr="005C3B7D" w:rsidRDefault="008B3719" w:rsidP="008B3719">
                            <w:pPr>
                              <w:rPr>
                                <w:rFonts w:eastAsiaTheme="minorEastAsia"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  <m:t>norm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  <m:t>X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de-AT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  <m:t>norm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de-AT"/>
                                  </w:rPr>
                                  <m:t>(0)+X∙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norm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  <m:t>(1)-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  <w:lang w:val="de-AT"/>
                                          </w:rPr>
                                          <m:t>norm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de-AT"/>
                                      </w:rPr>
                                      <m:t>(0)</m:t>
                                    </m:r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49DCB5" id="TextBox 9" o:spid="_x0000_s1027" type="#_x0000_t202" style="position:absolute;left:0;text-align:left;margin-left:36.45pt;margin-top:20.95pt;width:245.15pt;height:21.8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" filled="f" stroked="f">
                <v:textbox style="mso-fit-shape-to-text:t" inset="0,0,0,0">
                  <w:txbxContent>
                    <w:p w:rsidR="008B3719" w:rsidRPr="005C3B7D" w:rsidRDefault="008B3719" w:rsidP="008B3719">
                      <w:pPr>
                        <w:rPr>
                          <w:rFonts w:eastAsiaTheme="minorEastAsia"/>
                          <w:iCs/>
                          <w:color w:val="000000" w:themeColor="text1"/>
                          <w:kern w:val="24"/>
                          <w:sz w:val="20"/>
                          <w:szCs w:val="20"/>
                          <w:lang w:val="de-AT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m:t>norm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color w:val="000000" w:themeColor="text1"/>
                              <w:kern w:val="24"/>
                              <w:sz w:val="20"/>
                              <w:szCs w:val="20"/>
                              <w:lang w:val="de-AT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m:t>norm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 w:themeColor="text1"/>
                              <w:kern w:val="24"/>
                              <w:sz w:val="20"/>
                              <w:szCs w:val="20"/>
                              <w:lang w:val="de-AT"/>
                            </w:rPr>
                            <m:t>(0)+X∙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norm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m:t>(1)-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de-AT"/>
                                    </w:rPr>
                                    <m:t>norm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m:t>(0)</m:t>
                              </m:r>
                            </m:e>
                          </m:d>
                        </m:oMath>
                      </m:oMathPara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>Supplementary equation (ii)</w:t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1674"/>
        <w:gridCol w:w="848"/>
        <w:gridCol w:w="771"/>
        <w:gridCol w:w="1461"/>
      </w:tblGrid>
      <w:tr w:rsidR="008B3719" w:rsidRPr="00AC64D3" w:rsidTr="00601C25">
        <w:trPr>
          <w:trHeight w:val="315"/>
        </w:trPr>
        <w:tc>
          <w:tcPr>
            <w:tcW w:w="1382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dye</w:t>
            </w:r>
          </w:p>
        </w:tc>
        <w:tc>
          <w:tcPr>
            <w:tcW w:w="1674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buffer</w:t>
            </w:r>
          </w:p>
        </w:tc>
        <w:tc>
          <w:tcPr>
            <w:tcW w:w="848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7FF">
              <w:rPr>
                <w:rFonts w:ascii="Times New Roman" w:hAnsi="Times New Roman" w:cs="Times New Roman"/>
                <w:i/>
                <w:sz w:val="20"/>
                <w:szCs w:val="20"/>
              </w:rPr>
              <w:t>K</w:t>
            </w:r>
            <w:r w:rsidRPr="005777FF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</w:rPr>
              <w:t>D</w:t>
            </w: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 xml:space="preserve"> [µM]</w:t>
            </w:r>
          </w:p>
        </w:tc>
        <w:tc>
          <w:tcPr>
            <w:tcW w:w="771" w:type="dxa"/>
            <w:noWrap/>
            <w:vAlign w:val="center"/>
            <w:hideMark/>
          </w:tcPr>
          <w:p w:rsidR="008B3719" w:rsidRPr="00AC64D3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777FF">
              <w:rPr>
                <w:rFonts w:ascii="Times New Roman" w:hAnsi="Times New Roman" w:cs="Times New Roman"/>
                <w:i/>
                <w:sz w:val="20"/>
                <w:szCs w:val="20"/>
              </w:rPr>
              <w:t>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[µM]</w:t>
            </w:r>
          </w:p>
        </w:tc>
        <w:tc>
          <w:tcPr>
            <w:tcW w:w="1461" w:type="dxa"/>
            <w:noWrap/>
            <w:vAlign w:val="center"/>
            <w:hideMark/>
          </w:tcPr>
          <w:p w:rsidR="008B3719" w:rsidRPr="00AC64D3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Fluorescence change upon binding</w:t>
            </w:r>
          </w:p>
        </w:tc>
      </w:tr>
      <w:tr w:rsidR="008B3719" w:rsidRPr="00AC64D3" w:rsidTr="00601C25">
        <w:trPr>
          <w:trHeight w:val="315"/>
        </w:trPr>
        <w:tc>
          <w:tcPr>
            <w:tcW w:w="1382" w:type="dxa"/>
            <w:noWrap/>
            <w:vAlign w:val="center"/>
            <w:hideMark/>
          </w:tcPr>
          <w:p w:rsidR="008B3719" w:rsidRPr="00AC64D3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No dye (</w:t>
            </w:r>
            <w:proofErr w:type="spellStart"/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LabelFree</w:t>
            </w:r>
            <w:proofErr w:type="spellEnd"/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74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sodium acetate+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59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848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77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6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8B3719" w:rsidRPr="00AC64D3" w:rsidTr="00601C25">
        <w:trPr>
          <w:trHeight w:val="315"/>
        </w:trPr>
        <w:tc>
          <w:tcPr>
            <w:tcW w:w="1382" w:type="dxa"/>
            <w:noWrap/>
            <w:vAlign w:val="center"/>
            <w:hideMark/>
          </w:tcPr>
          <w:p w:rsidR="008B3719" w:rsidRPr="00806E02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6E02">
              <w:rPr>
                <w:rFonts w:ascii="Times New Roman" w:hAnsi="Times New Roman" w:cs="Times New Roman"/>
                <w:sz w:val="20"/>
                <w:szCs w:val="20"/>
              </w:rPr>
              <w:t>Blue-NHS (</w:t>
            </w:r>
            <w:proofErr w:type="spellStart"/>
            <w:r w:rsidRPr="00806E02">
              <w:rPr>
                <w:rFonts w:ascii="Times New Roman" w:hAnsi="Times New Roman" w:cs="Times New Roman"/>
                <w:sz w:val="20"/>
                <w:szCs w:val="20"/>
              </w:rPr>
              <w:t>Dylight</w:t>
            </w:r>
            <w:proofErr w:type="spellEnd"/>
            <w:r w:rsidRPr="00806E02">
              <w:rPr>
                <w:rFonts w:ascii="Times New Roman" w:hAnsi="Times New Roman" w:cs="Times New Roman"/>
                <w:sz w:val="20"/>
                <w:szCs w:val="20"/>
              </w:rPr>
              <w:t xml:space="preserve"> 488)</w:t>
            </w:r>
          </w:p>
        </w:tc>
        <w:tc>
          <w:tcPr>
            <w:tcW w:w="1674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sodium acetate+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596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848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77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46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8B3719" w:rsidRPr="00AC64D3" w:rsidTr="00601C25">
        <w:trPr>
          <w:trHeight w:val="315"/>
        </w:trPr>
        <w:tc>
          <w:tcPr>
            <w:tcW w:w="1382" w:type="dxa"/>
            <w:noWrap/>
            <w:vAlign w:val="center"/>
            <w:hideMark/>
          </w:tcPr>
          <w:p w:rsidR="008B3719" w:rsidRPr="00806E02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6E02">
              <w:rPr>
                <w:rFonts w:ascii="Times New Roman" w:hAnsi="Times New Roman" w:cs="Times New Roman"/>
                <w:sz w:val="20"/>
                <w:szCs w:val="20"/>
              </w:rPr>
              <w:t>Blue-NHS</w:t>
            </w:r>
          </w:p>
          <w:p w:rsidR="008B3719" w:rsidRPr="00806E02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6E0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806E02">
              <w:rPr>
                <w:rFonts w:ascii="Times New Roman" w:hAnsi="Times New Roman" w:cs="Times New Roman"/>
                <w:sz w:val="20"/>
                <w:szCs w:val="20"/>
              </w:rPr>
              <w:t>Dylight</w:t>
            </w:r>
            <w:proofErr w:type="spellEnd"/>
            <w:r w:rsidRPr="00806E02">
              <w:rPr>
                <w:rFonts w:ascii="Times New Roman" w:hAnsi="Times New Roman" w:cs="Times New Roman"/>
                <w:sz w:val="20"/>
                <w:szCs w:val="20"/>
              </w:rPr>
              <w:t xml:space="preserve"> 488)</w:t>
            </w:r>
          </w:p>
        </w:tc>
        <w:tc>
          <w:tcPr>
            <w:tcW w:w="1674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PBS+</w:t>
            </w:r>
          </w:p>
        </w:tc>
        <w:tc>
          <w:tcPr>
            <w:tcW w:w="848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17.8</w:t>
            </w:r>
          </w:p>
        </w:tc>
        <w:tc>
          <w:tcPr>
            <w:tcW w:w="77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6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8B3719" w:rsidRPr="00AC64D3" w:rsidTr="00601C25">
        <w:trPr>
          <w:trHeight w:val="315"/>
        </w:trPr>
        <w:tc>
          <w:tcPr>
            <w:tcW w:w="1382" w:type="dxa"/>
            <w:noWrap/>
            <w:vAlign w:val="center"/>
            <w:hideMark/>
          </w:tcPr>
          <w:p w:rsidR="008B3719" w:rsidRPr="00AC64D3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C64D3">
              <w:rPr>
                <w:rFonts w:ascii="Times New Roman" w:hAnsi="Times New Roman" w:cs="Times New Roman"/>
                <w:sz w:val="20"/>
                <w:szCs w:val="20"/>
              </w:rPr>
              <w:t>NT-RED-NHS</w:t>
            </w:r>
          </w:p>
        </w:tc>
        <w:tc>
          <w:tcPr>
            <w:tcW w:w="1674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PBS+</w:t>
            </w:r>
          </w:p>
        </w:tc>
        <w:tc>
          <w:tcPr>
            <w:tcW w:w="848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97.6</w:t>
            </w:r>
          </w:p>
        </w:tc>
        <w:tc>
          <w:tcPr>
            <w:tcW w:w="77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</w:tc>
        <w:tc>
          <w:tcPr>
            <w:tcW w:w="146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8B3719" w:rsidRPr="00AC64D3" w:rsidTr="00601C25">
        <w:trPr>
          <w:trHeight w:val="315"/>
        </w:trPr>
        <w:tc>
          <w:tcPr>
            <w:tcW w:w="1382" w:type="dxa"/>
            <w:noWrap/>
            <w:vAlign w:val="center"/>
            <w:hideMark/>
          </w:tcPr>
          <w:p w:rsidR="008B3719" w:rsidRPr="00AC64D3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C64D3">
              <w:rPr>
                <w:rFonts w:ascii="Times New Roman" w:hAnsi="Times New Roman" w:cs="Times New Roman"/>
                <w:sz w:val="20"/>
                <w:szCs w:val="20"/>
              </w:rPr>
              <w:t>NT-RED-NHS 2</w:t>
            </w:r>
            <w:r w:rsidRPr="00AC64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AC64D3">
              <w:rPr>
                <w:rFonts w:ascii="Times New Roman" w:hAnsi="Times New Roman" w:cs="Times New Roman"/>
                <w:sz w:val="20"/>
                <w:szCs w:val="20"/>
              </w:rPr>
              <w:t xml:space="preserve"> gen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74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PBS+</w:t>
            </w:r>
          </w:p>
        </w:tc>
        <w:tc>
          <w:tcPr>
            <w:tcW w:w="848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25.5-4</w:t>
            </w: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332F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b)</w:t>
            </w:r>
          </w:p>
        </w:tc>
        <w:tc>
          <w:tcPr>
            <w:tcW w:w="77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~5</w:t>
            </w:r>
          </w:p>
        </w:tc>
        <w:tc>
          <w:tcPr>
            <w:tcW w:w="146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8B3719" w:rsidRPr="00AC64D3" w:rsidTr="00601C25">
        <w:trPr>
          <w:trHeight w:val="315"/>
        </w:trPr>
        <w:tc>
          <w:tcPr>
            <w:tcW w:w="1382" w:type="dxa"/>
            <w:noWrap/>
            <w:vAlign w:val="center"/>
            <w:hideMark/>
          </w:tcPr>
          <w:p w:rsidR="008B3719" w:rsidRPr="00AC64D3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C64D3">
              <w:rPr>
                <w:rFonts w:ascii="Times New Roman" w:hAnsi="Times New Roman" w:cs="Times New Roman"/>
                <w:sz w:val="20"/>
                <w:szCs w:val="20"/>
              </w:rPr>
              <w:t>NT-RED-NHS 2</w:t>
            </w:r>
            <w:r w:rsidRPr="00AC64D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AC64D3">
              <w:rPr>
                <w:rFonts w:ascii="Times New Roman" w:hAnsi="Times New Roman" w:cs="Times New Roman"/>
                <w:sz w:val="20"/>
                <w:szCs w:val="20"/>
              </w:rPr>
              <w:t xml:space="preserve"> gen.</w:t>
            </w:r>
          </w:p>
        </w:tc>
        <w:tc>
          <w:tcPr>
            <w:tcW w:w="1674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TRIS+</w:t>
            </w:r>
          </w:p>
        </w:tc>
        <w:tc>
          <w:tcPr>
            <w:tcW w:w="848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47.9</w:t>
            </w:r>
          </w:p>
        </w:tc>
        <w:tc>
          <w:tcPr>
            <w:tcW w:w="77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61" w:type="dxa"/>
            <w:noWrap/>
            <w:vAlign w:val="center"/>
            <w:hideMark/>
          </w:tcPr>
          <w:p w:rsidR="008B3719" w:rsidRPr="0041143B" w:rsidRDefault="008B3719" w:rsidP="00601C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43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</w:tbl>
    <w:p w:rsidR="008B3719" w:rsidRPr="00450691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  <w:r w:rsidRPr="00450691">
        <w:rPr>
          <w:rFonts w:ascii="Times New Roman" w:hAnsi="Times New Roman" w:cs="Times New Roman"/>
          <w:sz w:val="20"/>
          <w:szCs w:val="20"/>
        </w:rPr>
        <w:t xml:space="preserve">Supplementary table 1: list of labeling strategies and buffers tested for the lysozyme–NAG3 interaction prior to the 40-instrument benchmark. </w:t>
      </w:r>
      <w:r w:rsidRPr="00450691">
        <w:rPr>
          <w:rFonts w:ascii="Times New Roman" w:hAnsi="Times New Roman" w:cs="Times New Roman"/>
          <w:sz w:val="20"/>
          <w:szCs w:val="20"/>
          <w:vertAlign w:val="superscript"/>
        </w:rPr>
        <w:t>a)</w:t>
      </w:r>
      <w:r w:rsidRPr="00450691">
        <w:rPr>
          <w:rFonts w:ascii="Times New Roman" w:hAnsi="Times New Roman" w:cs="Times New Roman"/>
          <w:sz w:val="20"/>
          <w:szCs w:val="20"/>
        </w:rPr>
        <w:t xml:space="preserve"> Sodium acetate + buffer: 100mM sodium acetate pH5.0, 0.1% Tween-20.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43B2">
        <w:rPr>
          <w:rFonts w:ascii="Times New Roman" w:hAnsi="Times New Roman" w:cs="Times New Roman"/>
          <w:sz w:val="20"/>
          <w:szCs w:val="20"/>
          <w:vertAlign w:val="superscript"/>
        </w:rPr>
        <w:t>b)</w:t>
      </w:r>
      <w:r>
        <w:rPr>
          <w:rFonts w:ascii="Times New Roman" w:hAnsi="Times New Roman" w:cs="Times New Roman"/>
          <w:sz w:val="20"/>
          <w:szCs w:val="20"/>
        </w:rPr>
        <w:t xml:space="preserve"> Different labeling replicates with different labeling efficiencies. </w:t>
      </w:r>
    </w:p>
    <w:p w:rsidR="008B3719" w:rsidRPr="00522705" w:rsidRDefault="008B3719" w:rsidP="008B3719">
      <w:pPr>
        <w:jc w:val="both"/>
        <w:rPr>
          <w:rFonts w:ascii="Times New Roman" w:hAnsi="Times New Roman" w:cs="Times New Roman"/>
          <w:noProof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B7CAFB" wp14:editId="36F2E516">
                <wp:simplePos x="0" y="0"/>
                <wp:positionH relativeFrom="margin">
                  <wp:align>left</wp:align>
                </wp:positionH>
                <wp:positionV relativeFrom="paragraph">
                  <wp:posOffset>2301833</wp:posOffset>
                </wp:positionV>
                <wp:extent cx="147955" cy="201256"/>
                <wp:effectExtent l="0" t="0" r="4445" b="889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" cy="2012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719" w:rsidRPr="00B5109B" w:rsidRDefault="008B3719" w:rsidP="008B371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  <w:r w:rsidRPr="00B5109B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7CAFB" id="Text Box 2" o:spid="_x0000_s1028" type="#_x0000_t202" style="position:absolute;left:0;text-align:left;margin-left:0;margin-top:181.25pt;width:11.65pt;height:15.8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" filled="f" stroked="f">
                <v:textbox inset="0,0,0,0">
                  <w:txbxContent>
                    <w:p w:rsidR="008B3719" w:rsidRPr="00B5109B" w:rsidRDefault="008B3719" w:rsidP="008B3719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</w:t>
                      </w:r>
                      <w:r w:rsidRPr="00B5109B">
                        <w:rPr>
                          <w:rFonts w:ascii="Arial" w:hAnsi="Arial" w:cs="Arial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4B5808" wp14:editId="287CF8F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7955" cy="201256"/>
                <wp:effectExtent l="0" t="0" r="0" b="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" cy="2012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719" w:rsidRPr="00B5109B" w:rsidRDefault="008B3719" w:rsidP="008B371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5109B">
                              <w:rPr>
                                <w:rFonts w:ascii="Arial" w:hAnsi="Arial" w:cs="Arial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B5808" id="_x0000_s1029" type="#_x0000_t202" style="position:absolute;left:0;text-align:left;margin-left:0;margin-top:0;width:11.65pt;height:15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" filled="f" stroked="f">
                <v:textbox inset="0,0,0,0">
                  <w:txbxContent>
                    <w:p w:rsidR="008B3719" w:rsidRPr="00B5109B" w:rsidRDefault="008B3719" w:rsidP="008B3719">
                      <w:pPr>
                        <w:rPr>
                          <w:rFonts w:ascii="Arial" w:hAnsi="Arial" w:cs="Arial"/>
                        </w:rPr>
                      </w:pPr>
                      <w:r w:rsidRPr="00B5109B">
                        <w:rPr>
                          <w:rFonts w:ascii="Arial" w:hAnsi="Arial" w:cs="Arial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>
        <w:object w:dxaOrig="15602" w:dyaOrig="104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5.4pt;height:184.4pt" o:ole="">
            <v:imagedata r:id="rId4" o:title=""/>
          </v:shape>
          <o:OLEObject Type="Embed" ProgID="Prism9.Document" ShapeID="_x0000_i1025" DrawAspect="Content" ObjectID="_1678861808" r:id="rId5"/>
        </w:object>
      </w:r>
      <w:r w:rsidRPr="00522705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>
        <w:object w:dxaOrig="15612" w:dyaOrig="10447">
          <v:shape id="_x0000_i1026" type="#_x0000_t75" style="width:281.8pt;height:188.05pt" o:ole="">
            <v:imagedata r:id="rId6" o:title=""/>
          </v:shape>
          <o:OLEObject Type="Embed" ProgID="Prism9.Document" ShapeID="_x0000_i1026" DrawAspect="Content" ObjectID="_1678861809" r:id="rId7"/>
        </w:object>
      </w:r>
    </w:p>
    <w:p w:rsidR="008B3719" w:rsidRPr="006176FE" w:rsidRDefault="008B3719" w:rsidP="008B3719">
      <w:pPr>
        <w:jc w:val="both"/>
        <w:rPr>
          <w:rFonts w:ascii="Times New Roman" w:hAnsi="Times New Roman"/>
          <w:sz w:val="20"/>
        </w:rPr>
      </w:pPr>
      <w:r w:rsidRPr="00044834">
        <w:rPr>
          <w:rFonts w:ascii="Times New Roman" w:hAnsi="Times New Roman" w:cs="Times New Roman"/>
          <w:sz w:val="20"/>
          <w:szCs w:val="20"/>
        </w:rPr>
        <w:t>Supplementary figure 1: a)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6905">
        <w:rPr>
          <w:rFonts w:ascii="Times New Roman" w:hAnsi="Times New Roman" w:cs="Times New Roman"/>
          <w:i/>
          <w:sz w:val="20"/>
          <w:szCs w:val="20"/>
        </w:rPr>
        <w:t>F</w:t>
      </w:r>
      <w:r w:rsidRPr="00D76905">
        <w:rPr>
          <w:rFonts w:ascii="Times New Roman" w:hAnsi="Times New Roman" w:cs="Times New Roman"/>
          <w:i/>
          <w:sz w:val="20"/>
          <w:szCs w:val="20"/>
          <w:vertAlign w:val="subscript"/>
        </w:rPr>
        <w:t>norm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values derived in MOAA for 25 </w:t>
      </w:r>
      <w:proofErr w:type="spellStart"/>
      <w:r>
        <w:rPr>
          <w:rFonts w:ascii="Times New Roman" w:hAnsi="Times New Roman" w:cs="Times New Roman"/>
          <w:sz w:val="20"/>
          <w:szCs w:val="20"/>
        </w:rPr>
        <w:t>nM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RED-NHS </w:t>
      </w:r>
      <w:r w:rsidRPr="00044834">
        <w:rPr>
          <w:rFonts w:ascii="Times New Roman" w:hAnsi="Times New Roman" w:cs="Times New Roman"/>
          <w:sz w:val="20"/>
          <w:szCs w:val="20"/>
        </w:rPr>
        <w:t>2</w:t>
      </w:r>
      <w:r w:rsidRPr="00044834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 w:rsidRPr="00044834">
        <w:rPr>
          <w:rFonts w:ascii="Times New Roman" w:hAnsi="Times New Roman" w:cs="Times New Roman"/>
          <w:sz w:val="20"/>
          <w:szCs w:val="20"/>
        </w:rPr>
        <w:t xml:space="preserve"> generation dye of each individual instrument for 20, 40 and 60% MST power respectively. b) Values from a) plotted as function of instrument manufacturing year.</w:t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044834">
        <w:t xml:space="preserve"> </w:t>
      </w:r>
      <w:r>
        <w:object w:dxaOrig="14921" w:dyaOrig="10123">
          <v:shape id="_x0000_i1027" type="#_x0000_t75" style="width:290.95pt;height:197.4pt" o:ole="">
            <v:imagedata r:id="rId8" o:title=""/>
          </v:shape>
          <o:OLEObject Type="Embed" ProgID="Prism9.Document" ShapeID="_x0000_i1027" DrawAspect="Content" ObjectID="_1678861810" r:id="rId9"/>
        </w:object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044834">
        <w:rPr>
          <w:rFonts w:ascii="Times New Roman" w:hAnsi="Times New Roman" w:cs="Times New Roman"/>
          <w:sz w:val="20"/>
          <w:szCs w:val="20"/>
        </w:rPr>
        <w:lastRenderedPageBreak/>
        <w:t xml:space="preserve">Supplementary figure 2: </w:t>
      </w:r>
      <w:r w:rsidRPr="00044834">
        <w:rPr>
          <w:rFonts w:ascii="Times New Roman" w:hAnsi="Times New Roman" w:cs="Times New Roman"/>
          <w:i/>
          <w:sz w:val="20"/>
          <w:szCs w:val="20"/>
        </w:rPr>
        <w:t>K</w:t>
      </w:r>
      <w:r w:rsidRPr="00044834">
        <w:rPr>
          <w:rFonts w:ascii="Times New Roman" w:hAnsi="Times New Roman" w:cs="Times New Roman"/>
          <w:i/>
          <w:sz w:val="20"/>
          <w:szCs w:val="20"/>
          <w:vertAlign w:val="subscript"/>
        </w:rPr>
        <w:t>D</w:t>
      </w:r>
      <w:r w:rsidRPr="00044834">
        <w:rPr>
          <w:rFonts w:ascii="Times New Roman" w:hAnsi="Times New Roman" w:cs="Times New Roman"/>
          <w:sz w:val="20"/>
          <w:szCs w:val="20"/>
        </w:rPr>
        <w:t xml:space="preserve"> versus </w:t>
      </w:r>
      <w:proofErr w:type="spellStart"/>
      <w:r w:rsidRPr="00044834">
        <w:rPr>
          <w:rFonts w:ascii="Times New Roman" w:hAnsi="Times New Roman" w:cs="Times New Roman"/>
          <w:i/>
          <w:sz w:val="20"/>
          <w:szCs w:val="20"/>
        </w:rPr>
        <w:t>F</w:t>
      </w:r>
      <w:r w:rsidRPr="00044834">
        <w:rPr>
          <w:rFonts w:ascii="Times New Roman" w:hAnsi="Times New Roman" w:cs="Times New Roman"/>
          <w:i/>
          <w:sz w:val="20"/>
          <w:szCs w:val="20"/>
          <w:vertAlign w:val="subscript"/>
        </w:rPr>
        <w:t>norm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values of the unbound state (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color w:val="000000" w:themeColor="text1"/>
                <w:kern w:val="24"/>
                <w:sz w:val="20"/>
                <w:szCs w:val="20"/>
                <w:lang w:val="de-AT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F</m:t>
            </m:r>
          </m:e>
          <m:sub>
            <m:r>
              <w:rPr>
                <w:rFonts w:ascii="Cambria Math" w:hAnsi="Cambria Math"/>
                <w:color w:val="000000" w:themeColor="text1"/>
                <w:kern w:val="24"/>
                <w:sz w:val="20"/>
                <w:szCs w:val="20"/>
                <w:lang w:val="de-AT"/>
              </w:rPr>
              <m:t>norm</m:t>
            </m:r>
          </m:sub>
        </m:sSub>
        <m:r>
          <w:rPr>
            <w:rFonts w:ascii="Cambria Math" w:hAnsi="Cambria Math"/>
            <w:color w:val="000000" w:themeColor="text1"/>
            <w:kern w:val="24"/>
            <w:sz w:val="20"/>
            <w:szCs w:val="20"/>
          </w:rPr>
          <m:t>(0)</m:t>
        </m:r>
      </m:oMath>
      <w:r>
        <w:rPr>
          <w:rFonts w:ascii="Times New Roman" w:hAnsi="Times New Roman" w:cs="Times New Roman"/>
          <w:sz w:val="20"/>
          <w:szCs w:val="20"/>
        </w:rPr>
        <w:t>) derived in MOAA for Lysozyme–NAG3 interaction.</w:t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3967D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D68995C" wp14:editId="10D05902">
            <wp:extent cx="1826674" cy="2982239"/>
            <wp:effectExtent l="0" t="0" r="2540" b="8890"/>
            <wp:docPr id="49" name="Picture 5">
              <a:extLst xmlns:a="http://schemas.openxmlformats.org/drawingml/2006/main">
                <a:ext uri="{FF2B5EF4-FFF2-40B4-BE49-F238E27FC236}">
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xmlns:a14="http://schemas.microsoft.com/office/drawing/2010/main" xmlns:pic="http://schemas.openxmlformats.org/drawingml/2006/picture" id="{00C2E6E9-8927-D242-B157-DB5E87D7EF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xmlns:a14="http://schemas.microsoft.com/office/drawing/2010/main" id="{00C2E6E9-8927-D242-B157-DB5E87D7EF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674" cy="298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  <w:r w:rsidRPr="00044834">
        <w:rPr>
          <w:rFonts w:ascii="Times New Roman" w:hAnsi="Times New Roman" w:cs="Times New Roman"/>
          <w:sz w:val="20"/>
          <w:szCs w:val="20"/>
        </w:rPr>
        <w:t xml:space="preserve">Supplementary figure 3: Exemplary ITC measurement for the lysozyme–NAG3 interaction in 20 </w:t>
      </w:r>
      <w:proofErr w:type="spellStart"/>
      <w:r w:rsidRPr="00044834">
        <w:rPr>
          <w:rFonts w:ascii="Times New Roman" w:hAnsi="Times New Roman" w:cs="Times New Roman"/>
          <w:sz w:val="20"/>
          <w:szCs w:val="20"/>
        </w:rPr>
        <w:t>mM</w:t>
      </w:r>
      <w:proofErr w:type="spellEnd"/>
      <w:r w:rsidRPr="00044834">
        <w:rPr>
          <w:rFonts w:ascii="Times New Roman" w:hAnsi="Times New Roman" w:cs="Times New Roman"/>
          <w:sz w:val="20"/>
          <w:szCs w:val="20"/>
        </w:rPr>
        <w:t xml:space="preserve"> Tris pH 7.8, 150 </w:t>
      </w:r>
      <w:proofErr w:type="spellStart"/>
      <w:r w:rsidRPr="00044834">
        <w:rPr>
          <w:rFonts w:ascii="Times New Roman" w:hAnsi="Times New Roman" w:cs="Times New Roman"/>
          <w:sz w:val="20"/>
          <w:szCs w:val="20"/>
        </w:rPr>
        <w:t>mM</w:t>
      </w:r>
      <w:proofErr w:type="spellEnd"/>
      <w:r w:rsidRPr="000448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44834">
        <w:rPr>
          <w:rFonts w:ascii="Times New Roman" w:hAnsi="Times New Roman" w:cs="Times New Roman"/>
          <w:sz w:val="20"/>
          <w:szCs w:val="20"/>
        </w:rPr>
        <w:t>NaCl</w:t>
      </w:r>
      <w:proofErr w:type="spellEnd"/>
      <w:r w:rsidRPr="00044834">
        <w:rPr>
          <w:rFonts w:ascii="Times New Roman" w:hAnsi="Times New Roman" w:cs="Times New Roman"/>
          <w:sz w:val="20"/>
          <w:szCs w:val="20"/>
        </w:rPr>
        <w:t xml:space="preserve">, 0.005% Tween-20 at 25°C. </w:t>
      </w:r>
      <w:r>
        <w:rPr>
          <w:rFonts w:ascii="Times New Roman" w:hAnsi="Times New Roman" w:cs="Times New Roman"/>
          <w:sz w:val="20"/>
          <w:szCs w:val="20"/>
        </w:rPr>
        <w:t xml:space="preserve">29 µM Lysozyme in the cell and 450 µM NAG3 in the syringe measured with a </w:t>
      </w:r>
      <w:proofErr w:type="spellStart"/>
      <w:r>
        <w:rPr>
          <w:rFonts w:ascii="Times New Roman" w:hAnsi="Times New Roman" w:cs="Times New Roman"/>
          <w:sz w:val="20"/>
          <w:szCs w:val="20"/>
        </w:rPr>
        <w:t>MicroCal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Auto-iTC200, analyzed with the </w:t>
      </w:r>
      <w:proofErr w:type="spellStart"/>
      <w:r>
        <w:rPr>
          <w:rFonts w:ascii="Times New Roman" w:hAnsi="Times New Roman" w:cs="Times New Roman"/>
          <w:sz w:val="20"/>
          <w:szCs w:val="20"/>
        </w:rPr>
        <w:t>MicroCal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PEAQ-ITC analysis software.</w:t>
      </w:r>
    </w:p>
    <w:p w:rsidR="008B3719" w:rsidRDefault="008B3719" w:rsidP="008B3719">
      <w:pPr>
        <w:jc w:val="both"/>
      </w:pPr>
      <w:r>
        <w:object w:dxaOrig="15504" w:dyaOrig="10567">
          <v:shape id="_x0000_i1028" type="#_x0000_t75" style="width:218.6pt;height:149pt" o:ole="">
            <v:imagedata r:id="rId11" o:title=""/>
          </v:shape>
          <o:OLEObject Type="Embed" ProgID="Prism9.Document" ShapeID="_x0000_i1028" DrawAspect="Content" ObjectID="_1678861811" r:id="rId12"/>
        </w:object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f</w:t>
      </w:r>
      <w:r w:rsidRPr="006C57B0">
        <w:rPr>
          <w:rFonts w:ascii="Times New Roman" w:hAnsi="Times New Roman" w:cs="Times New Roman"/>
          <w:sz w:val="20"/>
          <w:szCs w:val="20"/>
        </w:rPr>
        <w:t xml:space="preserve">igure 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6C57B0">
        <w:rPr>
          <w:rFonts w:ascii="Times New Roman" w:hAnsi="Times New Roman" w:cs="Times New Roman"/>
          <w:sz w:val="20"/>
          <w:szCs w:val="20"/>
        </w:rPr>
        <w:t xml:space="preserve">: Distribution of extracted </w:t>
      </w:r>
      <w:r w:rsidRPr="006C57B0">
        <w:rPr>
          <w:rFonts w:ascii="Times New Roman" w:hAnsi="Times New Roman" w:cs="Times New Roman"/>
          <w:i/>
          <w:iCs/>
          <w:sz w:val="20"/>
          <w:szCs w:val="20"/>
        </w:rPr>
        <w:t>K</w:t>
      </w:r>
      <w:r w:rsidRPr="006C57B0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D</w:t>
      </w:r>
      <w:r w:rsidRPr="006C57B0">
        <w:rPr>
          <w:rFonts w:ascii="Times New Roman" w:hAnsi="Times New Roman" w:cs="Times New Roman"/>
          <w:sz w:val="20"/>
          <w:szCs w:val="20"/>
        </w:rPr>
        <w:t xml:space="preserve"> values </w:t>
      </w:r>
      <w:r>
        <w:rPr>
          <w:rFonts w:ascii="Times New Roman" w:hAnsi="Times New Roman" w:cs="Times New Roman"/>
          <w:sz w:val="20"/>
          <w:szCs w:val="20"/>
        </w:rPr>
        <w:t xml:space="preserve">for the Lysozyme–NAG3 interaction </w:t>
      </w:r>
      <w:r w:rsidRPr="006C57B0">
        <w:rPr>
          <w:rFonts w:ascii="Times New Roman" w:hAnsi="Times New Roman" w:cs="Times New Roman"/>
          <w:sz w:val="20"/>
          <w:szCs w:val="20"/>
        </w:rPr>
        <w:t>regarding</w:t>
      </w:r>
      <w:r>
        <w:rPr>
          <w:rFonts w:ascii="Times New Roman" w:hAnsi="Times New Roman" w:cs="Times New Roman"/>
          <w:sz w:val="20"/>
          <w:szCs w:val="20"/>
        </w:rPr>
        <w:t xml:space="preserve"> the S/N ratio of the replicates for all measurements. The horizontal line corresponds to the average </w:t>
      </w:r>
      <w:r w:rsidRPr="006C57B0">
        <w:rPr>
          <w:rFonts w:ascii="Times New Roman" w:hAnsi="Times New Roman" w:cs="Times New Roman"/>
          <w:i/>
          <w:iCs/>
          <w:sz w:val="20"/>
          <w:szCs w:val="20"/>
        </w:rPr>
        <w:t>K</w:t>
      </w:r>
      <w:r w:rsidRPr="006C57B0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D</w:t>
      </w:r>
      <w:r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of 54.8µM while the dashed lines correspond to the S/N dependent relative standard deviation of triplicates as estimated in equation (8).</w:t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3F35B80" wp14:editId="4A09F2B3">
            <wp:extent cx="3009900" cy="1809724"/>
            <wp:effectExtent l="0" t="0" r="0" b="635"/>
            <wp:docPr id="1" name="Picture 1" descr="A picture containing light, sitting, looking,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20_TRIC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8" r="22876"/>
                    <a:stretch/>
                  </pic:blipFill>
                  <pic:spPr bwMode="auto">
                    <a:xfrm>
                      <a:off x="0" y="0"/>
                      <a:ext cx="3009900" cy="1809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figure 5: Exemplary TRIC binding curve for the lysozyme–NB interaction in PBS+, data from instrument N20. For high ligand concentration non-ideal behavior can be seen with the upper baseline deviation from the expected 1:1 binding model. Graph exported from MOAA.</w:t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AB09584" wp14:editId="6364D6A5">
            <wp:extent cx="3009900" cy="1812366"/>
            <wp:effectExtent l="0" t="0" r="0" b="0"/>
            <wp:docPr id="3" name="Picture 3" descr="A picture containing green, light, computer, lar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20_Fluo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22" r="22876"/>
                    <a:stretch/>
                  </pic:blipFill>
                  <pic:spPr bwMode="auto">
                    <a:xfrm>
                      <a:off x="0" y="0"/>
                      <a:ext cx="3009900" cy="1812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3719" w:rsidRDefault="008B3719" w:rsidP="008B371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figure 6: Exemplary binding curve from the fluorescence analysis for the lysozyme–NB interaction in PBS+, data from instrument N20. Curve nicely resembles a 1:1 binding model. Graph exported from MOAA.</w:t>
      </w:r>
    </w:p>
    <w:p w:rsidR="005F7DE4" w:rsidRDefault="005F7DE4"/>
    <w:sectPr w:rsidR="005F7DE4" w:rsidSect="00B74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719"/>
    <w:rsid w:val="00025287"/>
    <w:rsid w:val="000308D2"/>
    <w:rsid w:val="00030FA0"/>
    <w:rsid w:val="00037CC9"/>
    <w:rsid w:val="00042638"/>
    <w:rsid w:val="000450F6"/>
    <w:rsid w:val="000458C9"/>
    <w:rsid w:val="0006410D"/>
    <w:rsid w:val="000653BE"/>
    <w:rsid w:val="00066CFC"/>
    <w:rsid w:val="000706B0"/>
    <w:rsid w:val="00074368"/>
    <w:rsid w:val="00075F3B"/>
    <w:rsid w:val="000920C7"/>
    <w:rsid w:val="00096B9A"/>
    <w:rsid w:val="000C67FD"/>
    <w:rsid w:val="000D0F3C"/>
    <w:rsid w:val="000E6FF5"/>
    <w:rsid w:val="00107881"/>
    <w:rsid w:val="00112FC2"/>
    <w:rsid w:val="0011673F"/>
    <w:rsid w:val="001217A0"/>
    <w:rsid w:val="00124737"/>
    <w:rsid w:val="001266F8"/>
    <w:rsid w:val="00165A6C"/>
    <w:rsid w:val="0016657C"/>
    <w:rsid w:val="00172B43"/>
    <w:rsid w:val="001865A6"/>
    <w:rsid w:val="001A13B1"/>
    <w:rsid w:val="001A377E"/>
    <w:rsid w:val="001C4D3C"/>
    <w:rsid w:val="001D2B4A"/>
    <w:rsid w:val="001E14B6"/>
    <w:rsid w:val="001E1712"/>
    <w:rsid w:val="001E5367"/>
    <w:rsid w:val="001F432E"/>
    <w:rsid w:val="002000C9"/>
    <w:rsid w:val="00201D75"/>
    <w:rsid w:val="002047E0"/>
    <w:rsid w:val="00217B8D"/>
    <w:rsid w:val="00276387"/>
    <w:rsid w:val="00296706"/>
    <w:rsid w:val="00297E50"/>
    <w:rsid w:val="002A73EC"/>
    <w:rsid w:val="002B6AE7"/>
    <w:rsid w:val="002F34E5"/>
    <w:rsid w:val="002F3F4F"/>
    <w:rsid w:val="00301E9A"/>
    <w:rsid w:val="003053D0"/>
    <w:rsid w:val="0034033C"/>
    <w:rsid w:val="00363A1F"/>
    <w:rsid w:val="0036552F"/>
    <w:rsid w:val="00373D12"/>
    <w:rsid w:val="00385871"/>
    <w:rsid w:val="0039065D"/>
    <w:rsid w:val="003A1136"/>
    <w:rsid w:val="003B4B57"/>
    <w:rsid w:val="003D71FA"/>
    <w:rsid w:val="003E483E"/>
    <w:rsid w:val="00420B17"/>
    <w:rsid w:val="00441DA5"/>
    <w:rsid w:val="004435FD"/>
    <w:rsid w:val="00444DB3"/>
    <w:rsid w:val="004547E2"/>
    <w:rsid w:val="0045637E"/>
    <w:rsid w:val="004629D0"/>
    <w:rsid w:val="00487A91"/>
    <w:rsid w:val="00491902"/>
    <w:rsid w:val="00497768"/>
    <w:rsid w:val="004C1D42"/>
    <w:rsid w:val="004C2B27"/>
    <w:rsid w:val="004D3B77"/>
    <w:rsid w:val="004D40E0"/>
    <w:rsid w:val="004D71D8"/>
    <w:rsid w:val="004E2CFC"/>
    <w:rsid w:val="004F6725"/>
    <w:rsid w:val="0050600B"/>
    <w:rsid w:val="00507DCB"/>
    <w:rsid w:val="005457D8"/>
    <w:rsid w:val="00557BE3"/>
    <w:rsid w:val="00574B71"/>
    <w:rsid w:val="00592E23"/>
    <w:rsid w:val="00593BB6"/>
    <w:rsid w:val="005B0242"/>
    <w:rsid w:val="005B4D59"/>
    <w:rsid w:val="005B716C"/>
    <w:rsid w:val="005C47BC"/>
    <w:rsid w:val="005D30E4"/>
    <w:rsid w:val="005E279A"/>
    <w:rsid w:val="005E55F7"/>
    <w:rsid w:val="005E77E3"/>
    <w:rsid w:val="005F1341"/>
    <w:rsid w:val="005F18F4"/>
    <w:rsid w:val="005F7DE4"/>
    <w:rsid w:val="00630411"/>
    <w:rsid w:val="006324DA"/>
    <w:rsid w:val="006363F4"/>
    <w:rsid w:val="00640AFF"/>
    <w:rsid w:val="00656EBF"/>
    <w:rsid w:val="00676DDE"/>
    <w:rsid w:val="006A0555"/>
    <w:rsid w:val="006A2525"/>
    <w:rsid w:val="006A27B8"/>
    <w:rsid w:val="006A6064"/>
    <w:rsid w:val="006C228A"/>
    <w:rsid w:val="006C42F3"/>
    <w:rsid w:val="006E64D7"/>
    <w:rsid w:val="006F1AA3"/>
    <w:rsid w:val="006F3805"/>
    <w:rsid w:val="006F38F5"/>
    <w:rsid w:val="006F79FD"/>
    <w:rsid w:val="00700615"/>
    <w:rsid w:val="00731AA6"/>
    <w:rsid w:val="00731EF2"/>
    <w:rsid w:val="00745A1E"/>
    <w:rsid w:val="007800DF"/>
    <w:rsid w:val="00780396"/>
    <w:rsid w:val="00786B29"/>
    <w:rsid w:val="00787F37"/>
    <w:rsid w:val="00793382"/>
    <w:rsid w:val="007A4052"/>
    <w:rsid w:val="007A6258"/>
    <w:rsid w:val="007A7E86"/>
    <w:rsid w:val="007D4AD9"/>
    <w:rsid w:val="007F6C38"/>
    <w:rsid w:val="00806FFC"/>
    <w:rsid w:val="00833790"/>
    <w:rsid w:val="00836BCD"/>
    <w:rsid w:val="00837B88"/>
    <w:rsid w:val="00843480"/>
    <w:rsid w:val="008435EF"/>
    <w:rsid w:val="00857ED7"/>
    <w:rsid w:val="00861219"/>
    <w:rsid w:val="00876933"/>
    <w:rsid w:val="008B3719"/>
    <w:rsid w:val="008B4A69"/>
    <w:rsid w:val="008D752B"/>
    <w:rsid w:val="008E31AA"/>
    <w:rsid w:val="008E535E"/>
    <w:rsid w:val="00916265"/>
    <w:rsid w:val="0092404D"/>
    <w:rsid w:val="00932D83"/>
    <w:rsid w:val="0094348F"/>
    <w:rsid w:val="009450E4"/>
    <w:rsid w:val="009452A4"/>
    <w:rsid w:val="009629B2"/>
    <w:rsid w:val="00973D8E"/>
    <w:rsid w:val="00980CC0"/>
    <w:rsid w:val="009871A8"/>
    <w:rsid w:val="009D557D"/>
    <w:rsid w:val="00A06D8A"/>
    <w:rsid w:val="00A10A91"/>
    <w:rsid w:val="00A211F0"/>
    <w:rsid w:val="00A22F53"/>
    <w:rsid w:val="00A4406D"/>
    <w:rsid w:val="00A5471E"/>
    <w:rsid w:val="00A66643"/>
    <w:rsid w:val="00A77D23"/>
    <w:rsid w:val="00AA0D6F"/>
    <w:rsid w:val="00AD2B35"/>
    <w:rsid w:val="00AD4274"/>
    <w:rsid w:val="00AD554C"/>
    <w:rsid w:val="00AE7EE0"/>
    <w:rsid w:val="00B00436"/>
    <w:rsid w:val="00B31825"/>
    <w:rsid w:val="00B3440C"/>
    <w:rsid w:val="00B34C2B"/>
    <w:rsid w:val="00B53597"/>
    <w:rsid w:val="00B55AE1"/>
    <w:rsid w:val="00B66F83"/>
    <w:rsid w:val="00B74DEE"/>
    <w:rsid w:val="00BA398B"/>
    <w:rsid w:val="00BC4F69"/>
    <w:rsid w:val="00BD35E2"/>
    <w:rsid w:val="00BE48BF"/>
    <w:rsid w:val="00C13F2D"/>
    <w:rsid w:val="00C162A5"/>
    <w:rsid w:val="00C20BB3"/>
    <w:rsid w:val="00C21BB8"/>
    <w:rsid w:val="00C2317B"/>
    <w:rsid w:val="00C4069E"/>
    <w:rsid w:val="00C41D3A"/>
    <w:rsid w:val="00C44111"/>
    <w:rsid w:val="00C441AE"/>
    <w:rsid w:val="00C44658"/>
    <w:rsid w:val="00C56ADA"/>
    <w:rsid w:val="00C642F6"/>
    <w:rsid w:val="00C90E19"/>
    <w:rsid w:val="00C93840"/>
    <w:rsid w:val="00CC7982"/>
    <w:rsid w:val="00CD7EE8"/>
    <w:rsid w:val="00CF2612"/>
    <w:rsid w:val="00CF3BA7"/>
    <w:rsid w:val="00CF485D"/>
    <w:rsid w:val="00CF7D6A"/>
    <w:rsid w:val="00D03894"/>
    <w:rsid w:val="00D05F6D"/>
    <w:rsid w:val="00D13DF9"/>
    <w:rsid w:val="00D63252"/>
    <w:rsid w:val="00D64A9C"/>
    <w:rsid w:val="00D934FC"/>
    <w:rsid w:val="00DB094D"/>
    <w:rsid w:val="00DB15ED"/>
    <w:rsid w:val="00DB7BDF"/>
    <w:rsid w:val="00DF5C53"/>
    <w:rsid w:val="00E158B5"/>
    <w:rsid w:val="00E162DF"/>
    <w:rsid w:val="00E21CDF"/>
    <w:rsid w:val="00E23E6C"/>
    <w:rsid w:val="00E375AE"/>
    <w:rsid w:val="00E44BE2"/>
    <w:rsid w:val="00E516E7"/>
    <w:rsid w:val="00E54068"/>
    <w:rsid w:val="00E73808"/>
    <w:rsid w:val="00EA13E2"/>
    <w:rsid w:val="00EA1BE5"/>
    <w:rsid w:val="00EB0623"/>
    <w:rsid w:val="00EC3607"/>
    <w:rsid w:val="00EE25AE"/>
    <w:rsid w:val="00EE6FFD"/>
    <w:rsid w:val="00EF7F8B"/>
    <w:rsid w:val="00F152E7"/>
    <w:rsid w:val="00F24860"/>
    <w:rsid w:val="00F33C73"/>
    <w:rsid w:val="00F34FF5"/>
    <w:rsid w:val="00F43D76"/>
    <w:rsid w:val="00F54BF9"/>
    <w:rsid w:val="00F54C72"/>
    <w:rsid w:val="00F659E7"/>
    <w:rsid w:val="00F76BB1"/>
    <w:rsid w:val="00F86F2F"/>
    <w:rsid w:val="00FA2986"/>
    <w:rsid w:val="00FC09D8"/>
    <w:rsid w:val="00FD7625"/>
    <w:rsid w:val="00FE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26B87DE1-1F13-40B0-8D2D-AE4815AE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19"/>
  </w:style>
  <w:style w:type="paragraph" w:styleId="Heading1">
    <w:name w:val="heading 1"/>
    <w:basedOn w:val="Normal"/>
    <w:next w:val="Normal"/>
    <w:link w:val="Heading1Char"/>
    <w:uiPriority w:val="9"/>
    <w:qFormat/>
    <w:rsid w:val="008B37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7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B3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4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5.emf"/><Relationship Id="rId5" Type="http://schemas.openxmlformats.org/officeDocument/2006/relationships/oleObject" Target="embeddings/oleObject1.bin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Atchaya R.</dc:creator>
  <cp:keywords/>
  <dc:description/>
  <cp:lastModifiedBy>Atchaya R.</cp:lastModifiedBy>
  <cp:revision>2</cp:revision>
  <dcterms:created xsi:type="dcterms:W3CDTF">2021-04-02T04:12:00Z</dcterms:created>
  <dcterms:modified xsi:type="dcterms:W3CDTF">2021-04-02T04:13:00Z</dcterms:modified>
</cp:coreProperties>
</file>