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7EA41" w14:textId="77777777" w:rsidR="001737AD" w:rsidRPr="001737AD" w:rsidRDefault="001737AD" w:rsidP="001737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Supplementary Figures </w:t>
      </w:r>
    </w:p>
    <w:p w14:paraId="02C3F0CF" w14:textId="77777777" w:rsidR="001737AD" w:rsidRPr="001737AD" w:rsidRDefault="001737AD" w:rsidP="001737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1F9EEF8" w14:textId="7444343D" w:rsidR="001737AD" w:rsidRPr="001737AD" w:rsidRDefault="001737AD" w:rsidP="0017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noProof/>
          <w:color w:val="000000"/>
          <w:bdr w:val="none" w:sz="0" w:space="0" w:color="auto" w:frame="1"/>
        </w:rPr>
        <w:drawing>
          <wp:inline distT="0" distB="0" distL="0" distR="0" wp14:anchorId="4492E73C" wp14:editId="0B987EC6">
            <wp:extent cx="5943600" cy="326136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17BA8" w14:textId="77777777" w:rsidR="001737AD" w:rsidRPr="001737AD" w:rsidRDefault="001737AD" w:rsidP="001737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E9B850" w14:textId="3AF55FD5" w:rsidR="001737AD" w:rsidRPr="001737AD" w:rsidRDefault="001737AD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="002A4E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upplementary Figure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B50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| Extension of CDR3 length analysis on paired α/β CDR3.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CDR3 length comparisons between unique pair of α/β CDR3 in which the </w:t>
      </w:r>
      <w:r w:rsidRPr="001737A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red</w:t>
      </w:r>
      <w:r w:rsidRPr="001737AD">
        <w:rPr>
          <w:rFonts w:ascii="Times New Roman" w:eastAsia="Times New Roman" w:hAnsi="Times New Roman" w:cs="Times New Roman"/>
          <w:color w:val="FF0000"/>
          <w:sz w:val="24"/>
          <w:szCs w:val="24"/>
        </w:rPr>
        <w:t>,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37AD">
        <w:rPr>
          <w:rFonts w:ascii="Times New Roman" w:eastAsia="Times New Roman" w:hAnsi="Times New Roman" w:cs="Times New Roman"/>
          <w:b/>
          <w:bCs/>
          <w:color w:val="EBEB00"/>
          <w:sz w:val="24"/>
          <w:szCs w:val="24"/>
        </w:rPr>
        <w:t>yellow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Pr="001737AD">
        <w:rPr>
          <w:rFonts w:ascii="Times New Roman" w:eastAsia="Times New Roman" w:hAnsi="Times New Roman" w:cs="Times New Roman"/>
          <w:b/>
          <w:bCs/>
          <w:color w:val="999999"/>
          <w:sz w:val="24"/>
          <w:szCs w:val="24"/>
        </w:rPr>
        <w:t xml:space="preserve">gray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colors represented a pair with </w:t>
      </w:r>
      <w:r w:rsidRPr="001737A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longer CDR3β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737AD">
        <w:rPr>
          <w:rFonts w:ascii="Times New Roman" w:eastAsia="Times New Roman" w:hAnsi="Times New Roman" w:cs="Times New Roman"/>
          <w:b/>
          <w:bCs/>
          <w:color w:val="EBEB00"/>
          <w:sz w:val="24"/>
          <w:szCs w:val="24"/>
        </w:rPr>
        <w:t>longer CDR3α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Pr="001737AD">
        <w:rPr>
          <w:rFonts w:ascii="Times New Roman" w:eastAsia="Times New Roman" w:hAnsi="Times New Roman" w:cs="Times New Roman"/>
          <w:b/>
          <w:bCs/>
          <w:color w:val="999999"/>
          <w:sz w:val="24"/>
          <w:szCs w:val="24"/>
        </w:rPr>
        <w:t>equal lengths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, respectively (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  The </w:t>
      </w:r>
      <w:r w:rsidR="009F1CAA"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V and non-VJ region</w:t>
      </w:r>
      <w:r w:rsidR="009F1CAA"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F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were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significant longer</w:t>
      </w:r>
      <w:r w:rsidR="009F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 CDR3β (</w:t>
      </w:r>
      <w:r w:rsidR="00F558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558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while the J region of CDR3β </w:t>
      </w:r>
      <w:r w:rsidR="009F1C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was shorter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than CDR3α (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0950865E" w14:textId="5814EE9E" w:rsidR="001737AD" w:rsidRPr="001737AD" w:rsidRDefault="001737AD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 wp14:anchorId="52BDBFB6" wp14:editId="625C8082">
            <wp:extent cx="5943600" cy="343471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3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2D91D" w14:textId="4D9E6901" w:rsidR="001737AD" w:rsidRDefault="001737AD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sz w:val="24"/>
          <w:szCs w:val="24"/>
        </w:rPr>
        <w:br/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="002A4E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upplementary Figure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75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A| Extension of CDR3 length analysis </w:t>
      </w:r>
      <w:r w:rsidR="006239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per 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="006239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only for 6 MHC molecules with most TCR responses, </w:t>
      </w:r>
      <w:r w:rsidRPr="001737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n=5811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).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The significantly shorter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CDR3 length in ID was only observed in HLA-B*07 dataset (</w:t>
      </w:r>
      <w:r w:rsidRPr="00173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n=354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This dataset contained 6 epitopes from Influenza-A virus (IAV), HIV-1, CMV and EBV. </w:t>
      </w:r>
    </w:p>
    <w:p w14:paraId="512F3563" w14:textId="77777777" w:rsidR="00C01464" w:rsidRDefault="00C01464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FDF76A" w14:textId="77777777" w:rsidR="001737AD" w:rsidRDefault="001737AD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FF9E30" w14:textId="77777777" w:rsidR="00C01464" w:rsidRDefault="001737AD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 wp14:anchorId="61791458" wp14:editId="511730D4">
            <wp:extent cx="5943600" cy="349313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7AD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75A3FB0" w14:textId="2846538A" w:rsidR="001737AD" w:rsidRPr="001737AD" w:rsidRDefault="001737AD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="002A4E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upplementary Figure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75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B| Extension of CDR3 length analysis on the six viral epitopes from </w:t>
      </w:r>
      <w:r w:rsidR="00A220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HLA-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A2 restricted responses (</w:t>
      </w:r>
      <w:r w:rsidRPr="001737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n=3276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).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The six epitopes were GILGFVFTL from IAV (</w:t>
      </w:r>
      <w:r w:rsidRPr="00173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ID=25, SD=1105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),  NLVPMVATV from CMV (</w:t>
      </w:r>
      <w:r w:rsidRPr="00173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ID=37, SD=942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),  GLCTLVAML from EBV (</w:t>
      </w:r>
      <w:r w:rsidRPr="00173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ID=42, SD=696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), LLWNGPMAV from YFV (</w:t>
      </w:r>
      <w:r w:rsidRPr="00173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ID=5, SD=283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),  YVLDHLIVV from EBV (</w:t>
      </w:r>
      <w:r w:rsidRPr="00173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ID=5, SD=44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) and SLYNTVATL from HIV-1 from (</w:t>
      </w:r>
      <w:r w:rsidRPr="00173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ID=7, SD=28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). </w:t>
      </w:r>
    </w:p>
    <w:p w14:paraId="1184A06B" w14:textId="5CFF216C" w:rsidR="001737AD" w:rsidRPr="001737AD" w:rsidRDefault="001737AD" w:rsidP="001737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1737AD">
        <w:rPr>
          <w:rFonts w:ascii="Times New Roman" w:eastAsia="Times New Roman" w:hAnsi="Times New Roman" w:cs="Times New Roman"/>
          <w:noProof/>
          <w:color w:val="000000"/>
          <w:bdr w:val="none" w:sz="0" w:space="0" w:color="auto" w:frame="1"/>
        </w:rPr>
        <w:drawing>
          <wp:inline distT="0" distB="0" distL="0" distR="0" wp14:anchorId="12F1B718" wp14:editId="031F229B">
            <wp:extent cx="5943600" cy="349059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7AD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80AE7AA" w14:textId="50579054" w:rsidR="001737AD" w:rsidRDefault="001737AD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="002A4E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upplementary Figure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75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C| Relationship between the length of CDR3 and their corresponding epitopes from EBV and HIV-1 across multiple MHC</w:t>
      </w:r>
      <w:r w:rsidR="00FB2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FB2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this analysis we removed all HLA-A2 restricted TCR sequences. </w:t>
      </w:r>
    </w:p>
    <w:p w14:paraId="74713F5F" w14:textId="1B1FF1A1" w:rsidR="00FB2261" w:rsidRDefault="00FB2261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57F16" w14:textId="2369416A" w:rsidR="00C01464" w:rsidRDefault="00C01464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FF51DB" w14:textId="38F409F0" w:rsidR="00C01464" w:rsidRDefault="00C01464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2E0BB1" w14:textId="52832E10" w:rsidR="00C01464" w:rsidRDefault="00C01464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8AEE76" w14:textId="25EAE5C2" w:rsidR="00C01464" w:rsidRDefault="00C01464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7D027E" w14:textId="39D56C66" w:rsidR="00C01464" w:rsidRDefault="00C01464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AC499D" w14:textId="2B90ED98" w:rsidR="00C01464" w:rsidRDefault="00C01464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F7A6B9" w14:textId="77777777" w:rsidR="00C01464" w:rsidRPr="001737AD" w:rsidRDefault="00C01464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E75FF5" w14:textId="001C69FA" w:rsidR="001737AD" w:rsidRPr="001737AD" w:rsidRDefault="001737AD" w:rsidP="001737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noProof/>
          <w:color w:val="000000"/>
          <w:bdr w:val="none" w:sz="0" w:space="0" w:color="auto" w:frame="1"/>
        </w:rPr>
        <w:lastRenderedPageBreak/>
        <w:drawing>
          <wp:inline distT="0" distB="0" distL="0" distR="0" wp14:anchorId="32BF46CD" wp14:editId="48C31C2B">
            <wp:extent cx="5943600" cy="24701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90B27" w14:textId="66249C6A" w:rsidR="001737AD" w:rsidRPr="001737AD" w:rsidRDefault="001737AD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="002A4E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upplementary Figure </w:t>
      </w:r>
      <w:r w:rsidR="00975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 w:rsidR="002A4E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E| Extension of CDR3 length analysis on </w:t>
      </w:r>
      <w:proofErr w:type="gramStart"/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paired  α</w:t>
      </w:r>
      <w:proofErr w:type="gramEnd"/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/βCDR3 excluding A2 restricted responses (</w:t>
      </w:r>
      <w:r w:rsidRPr="001737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n=96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).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The sum of paired CDR3 length (AA) was similar across different epitope length (</w:t>
      </w:r>
      <w:r w:rsidRPr="00173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Kruskal-Wallis test, P &gt; 0.05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) (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). However, the significantly different CDR3 lengths between paired α/βCDR3 per epitope length were seen (</w:t>
      </w:r>
      <w:r w:rsidRPr="001737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Wilcoxon test, P&lt;0.01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all cases) (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).   </w:t>
      </w:r>
    </w:p>
    <w:p w14:paraId="7B0DA624" w14:textId="44C4047D" w:rsidR="001737AD" w:rsidRDefault="001737AD" w:rsidP="0017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ECFDDD" w14:textId="54D3C194" w:rsidR="00C01464" w:rsidRDefault="00C01464" w:rsidP="0017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B630BE" w14:textId="1A78CB08" w:rsidR="00C01464" w:rsidRDefault="00C01464" w:rsidP="0017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11BBDD" w14:textId="6E60CB79" w:rsidR="00C01464" w:rsidRDefault="00C01464" w:rsidP="0017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6AD805" w14:textId="77777777" w:rsidR="00C01464" w:rsidRPr="001737AD" w:rsidRDefault="00C01464" w:rsidP="0017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260CB8" w14:textId="07B0CF07" w:rsidR="001737AD" w:rsidRPr="001737AD" w:rsidRDefault="001737AD" w:rsidP="00173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noProof/>
          <w:color w:val="000000"/>
          <w:sz w:val="18"/>
          <w:szCs w:val="18"/>
          <w:bdr w:val="none" w:sz="0" w:space="0" w:color="auto" w:frame="1"/>
        </w:rPr>
        <w:lastRenderedPageBreak/>
        <w:drawing>
          <wp:inline distT="0" distB="0" distL="0" distR="0" wp14:anchorId="1F4B9E08" wp14:editId="744EA22F">
            <wp:extent cx="5943600" cy="3975735"/>
            <wp:effectExtent l="0" t="0" r="0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0CD87" w14:textId="2630843B" w:rsidR="001737AD" w:rsidRPr="00C01464" w:rsidRDefault="001737AD" w:rsidP="00C01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="00BB50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upplementary Figure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75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A| AA composition of the non-VJ region across the top six MHC of CDR3β.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The top and bottom rows represented MHC encoded from A and B loci, respectively. No statistical test was performed but, consistently enriched in neutral AA and predominant “G” were observed.  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bdr w:val="none" w:sz="0" w:space="0" w:color="auto" w:frame="1"/>
        </w:rPr>
        <w:br w:type="page"/>
      </w:r>
    </w:p>
    <w:p w14:paraId="7F2BC0A0" w14:textId="4C89C5F1" w:rsidR="001737AD" w:rsidRPr="001737AD" w:rsidRDefault="001737AD" w:rsidP="00173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noProof/>
          <w:color w:val="000000"/>
          <w:sz w:val="18"/>
          <w:szCs w:val="18"/>
          <w:bdr w:val="none" w:sz="0" w:space="0" w:color="auto" w:frame="1"/>
        </w:rPr>
        <w:lastRenderedPageBreak/>
        <w:drawing>
          <wp:inline distT="0" distB="0" distL="0" distR="0" wp14:anchorId="5C7B864A" wp14:editId="09DBB9A0">
            <wp:extent cx="5463540" cy="3383280"/>
            <wp:effectExtent l="0" t="0" r="381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540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83FE0" w14:textId="27EE036C" w:rsidR="001737AD" w:rsidRDefault="001737AD" w:rsidP="00C014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="00873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upplementary </w:t>
      </w:r>
      <w:proofErr w:type="gramStart"/>
      <w:r w:rsidR="00873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Figure 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01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proofErr w:type="gramEnd"/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B| Similarity between AA composition of the non-VJ region between naive and non-naive (ID and SD combined) CDR3α and CDR3β.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“G” was predominantly observed regarding the TCR chains and T-cell population but, it is more enriched in the CDR3β due to extra D segment. </w:t>
      </w:r>
    </w:p>
    <w:p w14:paraId="71060446" w14:textId="0EDEDA8F" w:rsidR="00C01464" w:rsidRDefault="00C01464" w:rsidP="00C014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734D6F" w14:textId="606E589D" w:rsidR="00C01464" w:rsidRDefault="00C01464" w:rsidP="00C014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4A6F35" w14:textId="3698F482" w:rsidR="00C01464" w:rsidRDefault="00C01464" w:rsidP="00C014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E8F82B" w14:textId="77777777" w:rsidR="00C01464" w:rsidRPr="00C01464" w:rsidRDefault="00C01464" w:rsidP="00C014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55295E27" w14:textId="33E2F560" w:rsidR="001737AD" w:rsidRPr="001737AD" w:rsidRDefault="001737AD" w:rsidP="0017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37A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inline distT="0" distB="0" distL="0" distR="0" wp14:anchorId="24EC3D7E" wp14:editId="7884CBFD">
            <wp:extent cx="5943600" cy="3458845"/>
            <wp:effectExtent l="0" t="0" r="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DCEA4" w14:textId="6FB55A6A" w:rsidR="001737AD" w:rsidRPr="001737AD" w:rsidRDefault="001737AD" w:rsidP="00173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 w:rsidR="00873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uplementary</w:t>
      </w:r>
      <w:proofErr w:type="spellEnd"/>
      <w:r w:rsidR="00873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Figure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014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Heatmap of </w:t>
      </w:r>
      <w:proofErr w:type="spellStart"/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pLES</w:t>
      </w:r>
      <w:proofErr w:type="spellEnd"/>
      <w:r w:rsidRPr="001737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matrix calculated from entire CDR3β containing several epitopes. 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Most of AA were equally presented in ID and SD responses (white color, </w:t>
      </w:r>
      <w:proofErr w:type="spellStart"/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pLES</w:t>
      </w:r>
      <w:proofErr w:type="spellEnd"/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0) while </w:t>
      </w:r>
      <w:r w:rsidR="00873D61">
        <w:rPr>
          <w:rFonts w:ascii="Times New Roman" w:eastAsia="Times New Roman" w:hAnsi="Times New Roman" w:cs="Times New Roman"/>
          <w:color w:val="000000"/>
          <w:sz w:val="24"/>
          <w:szCs w:val="24"/>
        </w:rPr>
        <w:t>enrichment of specific AA</w:t>
      </w:r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SD as indicated by the negative </w:t>
      </w:r>
      <w:proofErr w:type="spellStart"/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>pLES</w:t>
      </w:r>
      <w:proofErr w:type="spellEnd"/>
      <w:r w:rsidRPr="001737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(blue) were observed at 106, 112.1, 115 to 117. “Q” at 107, “E” at 117 and “H” at 112.1 were weakly enriched in ID (red) in relative to SD. </w:t>
      </w:r>
    </w:p>
    <w:p w14:paraId="3FBD4691" w14:textId="77777777" w:rsidR="001737AD" w:rsidRPr="001737AD" w:rsidRDefault="001737AD" w:rsidP="001737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04A0AD" w14:textId="5BD2ED14" w:rsidR="000A1A6C" w:rsidRPr="001737AD" w:rsidRDefault="001737AD" w:rsidP="001737AD">
      <w:r w:rsidRPr="001737AD">
        <w:rPr>
          <w:rFonts w:ascii="Times New Roman" w:eastAsia="Times New Roman" w:hAnsi="Times New Roman" w:cs="Times New Roman"/>
          <w:sz w:val="24"/>
          <w:szCs w:val="24"/>
        </w:rPr>
        <w:br/>
      </w:r>
      <w:r w:rsidRPr="001737AD">
        <w:rPr>
          <w:rFonts w:ascii="Times New Roman" w:eastAsia="Times New Roman" w:hAnsi="Times New Roman" w:cs="Times New Roman"/>
          <w:sz w:val="24"/>
          <w:szCs w:val="24"/>
        </w:rPr>
        <w:br/>
      </w:r>
      <w:r w:rsidRPr="001737AD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0A1A6C" w:rsidRPr="00173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AD"/>
    <w:rsid w:val="000A1A6C"/>
    <w:rsid w:val="001737AD"/>
    <w:rsid w:val="002A4E9D"/>
    <w:rsid w:val="006239AA"/>
    <w:rsid w:val="00873D61"/>
    <w:rsid w:val="00975BFA"/>
    <w:rsid w:val="009F1CAA"/>
    <w:rsid w:val="00A2207D"/>
    <w:rsid w:val="00BB50FC"/>
    <w:rsid w:val="00C01464"/>
    <w:rsid w:val="00C34A8C"/>
    <w:rsid w:val="00F55846"/>
    <w:rsid w:val="00FB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5807E"/>
  <w15:chartTrackingRefBased/>
  <w15:docId w15:val="{CD6488A5-FC64-45A2-A36A-75D32B7B9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173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73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6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963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3899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0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8972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Wannisa Ritmahan</dc:creator>
  <cp:keywords/>
  <dc:description/>
  <cp:lastModifiedBy>Kesmir, C. (Can)</cp:lastModifiedBy>
  <cp:revision>10</cp:revision>
  <dcterms:created xsi:type="dcterms:W3CDTF">2019-09-16T14:16:00Z</dcterms:created>
  <dcterms:modified xsi:type="dcterms:W3CDTF">2019-09-17T10:07:00Z</dcterms:modified>
</cp:coreProperties>
</file>