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828790" w14:textId="3100160F" w:rsidR="007369A8" w:rsidRPr="00307760" w:rsidRDefault="000968E6">
      <w:pPr>
        <w:rPr>
          <w:rFonts w:ascii="Arial" w:hAnsi="Arial" w:cs="Arial"/>
          <w:b/>
          <w:bCs/>
        </w:rPr>
      </w:pPr>
      <w:r w:rsidRPr="00307760">
        <w:rPr>
          <w:rFonts w:ascii="Arial" w:hAnsi="Arial" w:cs="Arial"/>
          <w:b/>
          <w:bCs/>
        </w:rPr>
        <w:t>Supplementa</w:t>
      </w:r>
      <w:r w:rsidR="00743460" w:rsidRPr="00307760">
        <w:rPr>
          <w:rFonts w:ascii="Arial" w:hAnsi="Arial" w:cs="Arial"/>
          <w:b/>
          <w:bCs/>
        </w:rPr>
        <w:t>ry</w:t>
      </w:r>
      <w:r w:rsidRPr="00307760">
        <w:rPr>
          <w:rFonts w:ascii="Arial" w:hAnsi="Arial" w:cs="Arial"/>
          <w:b/>
          <w:bCs/>
        </w:rPr>
        <w:t xml:space="preserve"> </w:t>
      </w:r>
      <w:r w:rsidR="00BE63CE" w:rsidRPr="00307760">
        <w:rPr>
          <w:rFonts w:ascii="Arial" w:hAnsi="Arial" w:cs="Arial"/>
          <w:b/>
          <w:bCs/>
        </w:rPr>
        <w:t>m</w:t>
      </w:r>
      <w:r w:rsidRPr="00307760">
        <w:rPr>
          <w:rFonts w:ascii="Arial" w:hAnsi="Arial" w:cs="Arial"/>
          <w:b/>
          <w:bCs/>
        </w:rPr>
        <w:t xml:space="preserve">aterials &amp; </w:t>
      </w:r>
      <w:r w:rsidR="00BE63CE" w:rsidRPr="00307760">
        <w:rPr>
          <w:rFonts w:ascii="Arial" w:hAnsi="Arial" w:cs="Arial"/>
          <w:b/>
          <w:bCs/>
        </w:rPr>
        <w:t>m</w:t>
      </w:r>
      <w:r w:rsidRPr="00307760">
        <w:rPr>
          <w:rFonts w:ascii="Arial" w:hAnsi="Arial" w:cs="Arial"/>
          <w:b/>
          <w:bCs/>
        </w:rPr>
        <w:t>ethods</w:t>
      </w:r>
    </w:p>
    <w:p w14:paraId="6FFC5A5E" w14:textId="77777777" w:rsidR="00474C46" w:rsidRPr="00307760" w:rsidRDefault="00474C46">
      <w:pPr>
        <w:rPr>
          <w:rFonts w:ascii="Arial" w:hAnsi="Arial" w:cs="Arial"/>
          <w:b/>
          <w:bCs/>
        </w:rPr>
      </w:pPr>
    </w:p>
    <w:p w14:paraId="0A564988" w14:textId="3555FE9C" w:rsidR="700CC6C7" w:rsidRPr="00307760" w:rsidRDefault="700CC6C7" w:rsidP="2407F34E">
      <w:pPr>
        <w:spacing w:line="360" w:lineRule="auto"/>
        <w:rPr>
          <w:rFonts w:ascii="Arial" w:eastAsia="Arial" w:hAnsi="Arial" w:cs="Arial"/>
          <w:lang w:val="en-US"/>
        </w:rPr>
      </w:pPr>
      <w:r w:rsidRPr="00307760">
        <w:rPr>
          <w:rFonts w:ascii="Arial" w:eastAsia="Arial" w:hAnsi="Arial" w:cs="Arial"/>
          <w:lang w:val="en-US"/>
        </w:rPr>
        <w:t>Naïve adaptive immune receptor repertoires in celiac disease assessed by machine learning; Impact of the HLA-DQ2.5 allotype on the TCR repertoire</w:t>
      </w:r>
    </w:p>
    <w:p w14:paraId="64F32CC2" w14:textId="1561D548" w:rsidR="2407F34E" w:rsidRPr="00307760" w:rsidRDefault="2407F34E" w:rsidP="2407F34E">
      <w:pPr>
        <w:spacing w:line="360" w:lineRule="auto"/>
        <w:rPr>
          <w:rFonts w:ascii="Arial" w:eastAsia="Arial" w:hAnsi="Arial" w:cs="Arial"/>
          <w:lang w:val="en-US"/>
        </w:rPr>
      </w:pPr>
    </w:p>
    <w:p w14:paraId="36E2044C" w14:textId="5B2F7B2D" w:rsidR="700CC6C7" w:rsidRPr="00307760" w:rsidRDefault="700CC6C7" w:rsidP="2407F34E">
      <w:pPr>
        <w:spacing w:line="360" w:lineRule="auto"/>
        <w:rPr>
          <w:rFonts w:ascii="Arial" w:eastAsia="Arial" w:hAnsi="Arial" w:cs="Arial"/>
          <w:lang w:val="en-US"/>
        </w:rPr>
      </w:pPr>
      <w:r w:rsidRPr="00307760">
        <w:rPr>
          <w:rFonts w:ascii="Arial" w:eastAsia="Arial" w:hAnsi="Arial" w:cs="Arial"/>
          <w:lang w:val="en-US"/>
        </w:rPr>
        <w:t>Aengus Officer, Ida Lindeman, Milena Pavlovic, Christin Lund-Andersen, Eivind Ness-Jensen, Geir Kjetil Sandve, Ludvig M. Sollid</w:t>
      </w:r>
    </w:p>
    <w:p w14:paraId="5E867D9A" w14:textId="7BE54E4C" w:rsidR="2407F34E" w:rsidRPr="00307760" w:rsidRDefault="2407F34E" w:rsidP="2407F34E">
      <w:pPr>
        <w:spacing w:line="360" w:lineRule="auto"/>
        <w:rPr>
          <w:rFonts w:ascii="Arial" w:eastAsia="Arial" w:hAnsi="Arial" w:cs="Arial"/>
          <w:lang w:val="en-US"/>
        </w:rPr>
      </w:pPr>
    </w:p>
    <w:p w14:paraId="32F6F0AE" w14:textId="258C7214" w:rsidR="700CC6C7" w:rsidRPr="00307760" w:rsidRDefault="700CC6C7" w:rsidP="2407F34E">
      <w:pPr>
        <w:spacing w:line="360" w:lineRule="auto"/>
        <w:jc w:val="center"/>
      </w:pPr>
      <w:r w:rsidRPr="00307760">
        <w:rPr>
          <w:rFonts w:ascii="Arial" w:eastAsia="Arial" w:hAnsi="Arial" w:cs="Arial"/>
          <w:lang w:val="en-US"/>
        </w:rPr>
        <w:t>##</w:t>
      </w:r>
    </w:p>
    <w:p w14:paraId="0C39747C" w14:textId="04159C43" w:rsidR="000968E6" w:rsidRPr="00307760" w:rsidRDefault="000968E6" w:rsidP="2407F34E">
      <w:pPr>
        <w:rPr>
          <w:rFonts w:ascii="Arial" w:hAnsi="Arial" w:cs="Arial"/>
          <w:b/>
          <w:bCs/>
        </w:rPr>
      </w:pPr>
    </w:p>
    <w:p w14:paraId="7D317DBB" w14:textId="77777777" w:rsidR="000968E6" w:rsidRPr="00307760" w:rsidRDefault="000968E6" w:rsidP="00691E1F">
      <w:pPr>
        <w:spacing w:line="360" w:lineRule="auto"/>
        <w:jc w:val="both"/>
        <w:rPr>
          <w:rFonts w:ascii="Arial" w:eastAsia="Times New Roman" w:hAnsi="Arial" w:cs="Arial"/>
          <w:b/>
          <w:bCs/>
          <w:kern w:val="0"/>
          <w:lang w:val="en-US" w:eastAsia="en-GB"/>
          <w14:ligatures w14:val="none"/>
        </w:rPr>
      </w:pPr>
      <w:r w:rsidRPr="00307760">
        <w:rPr>
          <w:rFonts w:ascii="Arial" w:eastAsia="Times New Roman" w:hAnsi="Arial" w:cs="Arial"/>
          <w:b/>
          <w:bCs/>
          <w:kern w:val="0"/>
          <w:lang w:val="en-US" w:eastAsia="en-GB"/>
          <w14:ligatures w14:val="none"/>
        </w:rPr>
        <w:t>TCR repertoire analysis feature encodings</w:t>
      </w:r>
    </w:p>
    <w:p w14:paraId="6EB16970" w14:textId="498C7D24" w:rsidR="000968E6" w:rsidRPr="00307760" w:rsidRDefault="000968E6" w:rsidP="00691E1F">
      <w:p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t>Three analyses using naïve TCR repertoire data were performed: (1) Classification by diagnosis, (2) Classification by diagnosis within HLA-DQ2.5</w:t>
      </w:r>
      <w:r w:rsidR="00BE60FB" w:rsidRPr="00307760">
        <w:rPr>
          <w:rFonts w:ascii="Arial" w:eastAsia="Times New Roman" w:hAnsi="Arial" w:cs="Arial"/>
          <w:kern w:val="0"/>
          <w:vertAlign w:val="superscript"/>
          <w:lang w:val="en-US" w:eastAsia="en-GB"/>
          <w14:ligatures w14:val="none"/>
        </w:rPr>
        <w:t>+</w:t>
      </w:r>
      <w:r w:rsidRPr="00307760">
        <w:rPr>
          <w:rFonts w:ascii="Arial" w:eastAsia="Times New Roman" w:hAnsi="Arial" w:cs="Arial"/>
          <w:kern w:val="0"/>
          <w:lang w:val="en-US" w:eastAsia="en-GB"/>
          <w14:ligatures w14:val="none"/>
        </w:rPr>
        <w:t xml:space="preserve"> individuals, (3) HLA-DQ2.5 classification.</w:t>
      </w:r>
    </w:p>
    <w:p w14:paraId="2726ED4B" w14:textId="77777777" w:rsidR="000968E6" w:rsidRPr="00307760" w:rsidRDefault="000968E6" w:rsidP="00691E1F">
      <w:pPr>
        <w:spacing w:line="360" w:lineRule="auto"/>
        <w:jc w:val="both"/>
        <w:rPr>
          <w:rFonts w:ascii="Arial" w:eastAsia="Times New Roman" w:hAnsi="Arial" w:cs="Arial"/>
          <w:b/>
          <w:bCs/>
          <w:kern w:val="0"/>
          <w:lang w:val="en-US" w:eastAsia="en-GB"/>
          <w14:ligatures w14:val="none"/>
        </w:rPr>
      </w:pPr>
    </w:p>
    <w:p w14:paraId="1B6A169D" w14:textId="77777777" w:rsidR="000968E6" w:rsidRPr="00307760" w:rsidRDefault="000968E6" w:rsidP="00691E1F">
      <w:p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t>CDR3 sequences were represented using 3-mer amino-acid motif frequencies. For each repertoire, the relative frequency of each possible 3-mer was calculated across all unique sequences. Several variants of this encoding were used:</w:t>
      </w:r>
    </w:p>
    <w:p w14:paraId="4FF239A2" w14:textId="77777777" w:rsidR="000968E6" w:rsidRPr="00307760" w:rsidRDefault="000968E6" w:rsidP="00691E1F">
      <w:p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i/>
          <w:iCs/>
          <w:kern w:val="0"/>
          <w:lang w:val="en-US" w:eastAsia="en-GB"/>
          <w14:ligatures w14:val="none"/>
        </w:rPr>
        <w:t>Continuous k-</w:t>
      </w:r>
      <w:proofErr w:type="spellStart"/>
      <w:r w:rsidRPr="00307760">
        <w:rPr>
          <w:rFonts w:ascii="Arial" w:eastAsia="Times New Roman" w:hAnsi="Arial" w:cs="Arial"/>
          <w:i/>
          <w:iCs/>
          <w:kern w:val="0"/>
          <w:lang w:val="en-US" w:eastAsia="en-GB"/>
          <w14:ligatures w14:val="none"/>
        </w:rPr>
        <w:t>mer</w:t>
      </w:r>
      <w:proofErr w:type="spellEnd"/>
      <w:r w:rsidRPr="00307760">
        <w:rPr>
          <w:rFonts w:ascii="Arial" w:eastAsia="Times New Roman" w:hAnsi="Arial" w:cs="Arial"/>
          <w:i/>
          <w:iCs/>
          <w:kern w:val="0"/>
          <w:lang w:val="en-US" w:eastAsia="en-GB"/>
          <w14:ligatures w14:val="none"/>
        </w:rPr>
        <w:t xml:space="preserve"> encoding:</w:t>
      </w:r>
      <w:r w:rsidRPr="00307760">
        <w:rPr>
          <w:rFonts w:ascii="Arial" w:eastAsia="Times New Roman" w:hAnsi="Arial" w:cs="Arial"/>
          <w:kern w:val="0"/>
          <w:lang w:val="en-US" w:eastAsia="en-GB"/>
          <w14:ligatures w14:val="none"/>
        </w:rPr>
        <w:t xml:space="preserve"> 3-mer motifs were extracted directly from the amino-acid CDR3 sequence.</w:t>
      </w:r>
    </w:p>
    <w:p w14:paraId="1A99E953" w14:textId="77777777" w:rsidR="000968E6" w:rsidRPr="00307760" w:rsidRDefault="000968E6" w:rsidP="00691E1F">
      <w:p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i/>
          <w:iCs/>
          <w:kern w:val="0"/>
          <w:lang w:val="en-US" w:eastAsia="en-GB"/>
          <w14:ligatures w14:val="none"/>
        </w:rPr>
        <w:t>IMGT-aligned k-</w:t>
      </w:r>
      <w:proofErr w:type="spellStart"/>
      <w:r w:rsidRPr="00307760">
        <w:rPr>
          <w:rFonts w:ascii="Arial" w:eastAsia="Times New Roman" w:hAnsi="Arial" w:cs="Arial"/>
          <w:i/>
          <w:iCs/>
          <w:kern w:val="0"/>
          <w:lang w:val="en-US" w:eastAsia="en-GB"/>
          <w14:ligatures w14:val="none"/>
        </w:rPr>
        <w:t>mer</w:t>
      </w:r>
      <w:proofErr w:type="spellEnd"/>
      <w:r w:rsidRPr="00307760">
        <w:rPr>
          <w:rFonts w:ascii="Arial" w:eastAsia="Times New Roman" w:hAnsi="Arial" w:cs="Arial"/>
          <w:i/>
          <w:iCs/>
          <w:kern w:val="0"/>
          <w:lang w:val="en-US" w:eastAsia="en-GB"/>
          <w14:ligatures w14:val="none"/>
        </w:rPr>
        <w:t xml:space="preserve"> encoding: </w:t>
      </w:r>
      <w:r w:rsidRPr="00307760">
        <w:rPr>
          <w:rFonts w:ascii="Arial" w:eastAsia="Times New Roman" w:hAnsi="Arial" w:cs="Arial"/>
          <w:kern w:val="0"/>
          <w:lang w:val="en-US" w:eastAsia="en-GB"/>
          <w14:ligatures w14:val="none"/>
        </w:rPr>
        <w:t>3-mers were extracted from CDR3 sequences aligned according to IMGT positional numbering, preserving positional information across sequences.</w:t>
      </w:r>
    </w:p>
    <w:p w14:paraId="1D98D717" w14:textId="77777777" w:rsidR="000968E6" w:rsidRPr="00307760" w:rsidRDefault="000968E6" w:rsidP="00691E1F">
      <w:p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i/>
          <w:iCs/>
          <w:kern w:val="0"/>
          <w:lang w:val="en-US" w:eastAsia="en-GB"/>
          <w14:ligatures w14:val="none"/>
        </w:rPr>
        <w:t>V-gene conditioned k-mers:</w:t>
      </w:r>
      <w:r w:rsidRPr="00307760">
        <w:rPr>
          <w:rFonts w:ascii="Arial" w:eastAsia="Times New Roman" w:hAnsi="Arial" w:cs="Arial"/>
          <w:kern w:val="0"/>
          <w:lang w:val="en-US" w:eastAsia="en-GB"/>
          <w14:ligatures w14:val="none"/>
        </w:rPr>
        <w:t xml:space="preserve"> k-</w:t>
      </w:r>
      <w:proofErr w:type="spellStart"/>
      <w:r w:rsidRPr="00307760">
        <w:rPr>
          <w:rFonts w:ascii="Arial" w:eastAsia="Times New Roman" w:hAnsi="Arial" w:cs="Arial"/>
          <w:kern w:val="0"/>
          <w:lang w:val="en-US" w:eastAsia="en-GB"/>
          <w14:ligatures w14:val="none"/>
        </w:rPr>
        <w:t>mer</w:t>
      </w:r>
      <w:proofErr w:type="spellEnd"/>
      <w:r w:rsidRPr="00307760">
        <w:rPr>
          <w:rFonts w:ascii="Arial" w:eastAsia="Times New Roman" w:hAnsi="Arial" w:cs="Arial"/>
          <w:kern w:val="0"/>
          <w:lang w:val="en-US" w:eastAsia="en-GB"/>
          <w14:ligatures w14:val="none"/>
        </w:rPr>
        <w:t xml:space="preserve"> features were stratified by V-gene usage, allowing motif frequencies to vary conditional on the TRBV gene.</w:t>
      </w:r>
    </w:p>
    <w:p w14:paraId="0B806134" w14:textId="77777777" w:rsidR="000968E6" w:rsidRPr="00307760" w:rsidRDefault="000968E6" w:rsidP="00691E1F">
      <w:p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i/>
          <w:iCs/>
          <w:kern w:val="0"/>
          <w:lang w:val="en-US" w:eastAsia="en-GB"/>
          <w14:ligatures w14:val="none"/>
        </w:rPr>
        <w:t xml:space="preserve">V-gene IMGT-conditioned k-mers: </w:t>
      </w:r>
      <w:r w:rsidRPr="00307760">
        <w:rPr>
          <w:rFonts w:ascii="Arial" w:eastAsia="Times New Roman" w:hAnsi="Arial" w:cs="Arial"/>
          <w:kern w:val="0"/>
          <w:lang w:val="en-US" w:eastAsia="en-GB"/>
          <w14:ligatures w14:val="none"/>
        </w:rPr>
        <w:t>k-mers were conditioned on both V-gene identity and IMGT positional alignment. In all k-</w:t>
      </w:r>
      <w:proofErr w:type="spellStart"/>
      <w:r w:rsidRPr="00307760">
        <w:rPr>
          <w:rFonts w:ascii="Arial" w:eastAsia="Times New Roman" w:hAnsi="Arial" w:cs="Arial"/>
          <w:kern w:val="0"/>
          <w:lang w:val="en-US" w:eastAsia="en-GB"/>
          <w14:ligatures w14:val="none"/>
        </w:rPr>
        <w:t>mer</w:t>
      </w:r>
      <w:proofErr w:type="spellEnd"/>
      <w:r w:rsidRPr="00307760">
        <w:rPr>
          <w:rFonts w:ascii="Arial" w:eastAsia="Times New Roman" w:hAnsi="Arial" w:cs="Arial"/>
          <w:kern w:val="0"/>
          <w:lang w:val="en-US" w:eastAsia="en-GB"/>
          <w14:ligatures w14:val="none"/>
        </w:rPr>
        <w:t xml:space="preserve"> encodings, feature values were expressed as relative frequencies within each repertoire. For some encodings, features were scaled to unit variance before model fitting.</w:t>
      </w:r>
    </w:p>
    <w:p w14:paraId="571DC52E" w14:textId="77777777" w:rsidR="000968E6" w:rsidRPr="00307760" w:rsidRDefault="000968E6" w:rsidP="00691E1F">
      <w:pPr>
        <w:spacing w:line="360" w:lineRule="auto"/>
        <w:jc w:val="both"/>
        <w:rPr>
          <w:rFonts w:ascii="Arial" w:eastAsia="Times New Roman" w:hAnsi="Arial" w:cs="Arial"/>
          <w:kern w:val="0"/>
          <w:lang w:val="en-US" w:eastAsia="en-GB"/>
          <w14:ligatures w14:val="none"/>
        </w:rPr>
      </w:pPr>
    </w:p>
    <w:p w14:paraId="2C2265E1" w14:textId="77777777" w:rsidR="000968E6" w:rsidRPr="00307760" w:rsidRDefault="000968E6" w:rsidP="00691E1F">
      <w:p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t>Gene-usage encoding: Repertoires were encoded using the relative frequencies of V-gene or V- and J-gene usage. These features capture repertoire biases arising from V(D)J recombination and thymic selection.</w:t>
      </w:r>
    </w:p>
    <w:p w14:paraId="3EAB3F5B" w14:textId="77777777" w:rsidR="000968E6" w:rsidRPr="00307760" w:rsidRDefault="000968E6" w:rsidP="00691E1F">
      <w:pPr>
        <w:spacing w:line="360" w:lineRule="auto"/>
        <w:jc w:val="both"/>
        <w:rPr>
          <w:rFonts w:ascii="Arial" w:eastAsia="Times New Roman" w:hAnsi="Arial" w:cs="Arial"/>
          <w:kern w:val="0"/>
          <w:lang w:val="en-US" w:eastAsia="en-GB"/>
          <w14:ligatures w14:val="none"/>
        </w:rPr>
      </w:pPr>
    </w:p>
    <w:p w14:paraId="4AAA5F00" w14:textId="77777777" w:rsidR="000968E6" w:rsidRPr="00307760" w:rsidRDefault="000968E6" w:rsidP="00691E1F">
      <w:p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lastRenderedPageBreak/>
        <w:t>Reference-sequence encodings: To assess whether repertoires contained sequences previously associated with gluten recognition, repertoires were compared with a curated reference set of public gluten-reactive TCR sequences. Two encodings were derived:</w:t>
      </w:r>
    </w:p>
    <w:p w14:paraId="050B4DC8" w14:textId="77777777" w:rsidR="000968E6" w:rsidRPr="00307760" w:rsidRDefault="000968E6" w:rsidP="00691E1F">
      <w:p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i/>
          <w:iCs/>
          <w:kern w:val="0"/>
          <w:lang w:val="en-US" w:eastAsia="en-GB"/>
          <w14:ligatures w14:val="none"/>
        </w:rPr>
        <w:t>Matched-sequence presence:</w:t>
      </w:r>
      <w:r w:rsidRPr="00307760">
        <w:rPr>
          <w:rFonts w:ascii="Arial" w:eastAsia="Times New Roman" w:hAnsi="Arial" w:cs="Arial"/>
          <w:kern w:val="0"/>
          <w:lang w:val="en-US" w:eastAsia="en-GB"/>
          <w14:ligatures w14:val="none"/>
        </w:rPr>
        <w:t xml:space="preserve"> Binary features indicating the presence of exact matches to reference sequences.</w:t>
      </w:r>
    </w:p>
    <w:p w14:paraId="1DB3AFC6" w14:textId="77777777" w:rsidR="000968E6" w:rsidRPr="00307760" w:rsidRDefault="000968E6" w:rsidP="00691E1F">
      <w:p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i/>
          <w:iCs/>
          <w:kern w:val="0"/>
          <w:lang w:val="en-US" w:eastAsia="en-GB"/>
          <w14:ligatures w14:val="none"/>
        </w:rPr>
        <w:t>Matched-sequence summary:</w:t>
      </w:r>
      <w:r w:rsidRPr="00307760">
        <w:rPr>
          <w:rFonts w:ascii="Arial" w:eastAsia="Times New Roman" w:hAnsi="Arial" w:cs="Arial"/>
          <w:kern w:val="0"/>
          <w:lang w:val="en-US" w:eastAsia="en-GB"/>
          <w14:ligatures w14:val="none"/>
        </w:rPr>
        <w:t xml:space="preserve"> A single feature representing the total number of reference sequence matches within the repertoire. Sequence matches required exact CDR3 identity.</w:t>
      </w:r>
    </w:p>
    <w:p w14:paraId="116B08AA" w14:textId="77777777" w:rsidR="000968E6" w:rsidRPr="00307760" w:rsidRDefault="000968E6" w:rsidP="00691E1F">
      <w:pPr>
        <w:spacing w:line="360" w:lineRule="auto"/>
        <w:jc w:val="both"/>
        <w:rPr>
          <w:rFonts w:ascii="Arial" w:eastAsia="Times New Roman" w:hAnsi="Arial" w:cs="Arial"/>
          <w:kern w:val="0"/>
          <w:lang w:val="en-US" w:eastAsia="en-GB"/>
          <w14:ligatures w14:val="none"/>
        </w:rPr>
      </w:pPr>
    </w:p>
    <w:p w14:paraId="52380B0B" w14:textId="4CFDE0F6" w:rsidR="000968E6" w:rsidRPr="00307760" w:rsidRDefault="000968E6" w:rsidP="00691E1F">
      <w:p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t>Shared-clonotype abundance encoding: For TCR analyses (</w:t>
      </w:r>
      <w:r w:rsidR="002B1B00" w:rsidRPr="00307760">
        <w:rPr>
          <w:rFonts w:ascii="Arial" w:eastAsia="Times New Roman" w:hAnsi="Arial" w:cs="Arial"/>
          <w:kern w:val="0"/>
          <w:lang w:val="en-US" w:eastAsia="en-GB"/>
          <w14:ligatures w14:val="none"/>
        </w:rPr>
        <w:t>2</w:t>
      </w:r>
      <w:r w:rsidRPr="00307760">
        <w:rPr>
          <w:rFonts w:ascii="Arial" w:eastAsia="Times New Roman" w:hAnsi="Arial" w:cs="Arial"/>
          <w:kern w:val="0"/>
          <w:lang w:val="en-US" w:eastAsia="en-GB"/>
          <w14:ligatures w14:val="none"/>
        </w:rPr>
        <w:t>) and (</w:t>
      </w:r>
      <w:r w:rsidR="002B1B00" w:rsidRPr="00307760">
        <w:rPr>
          <w:rFonts w:ascii="Arial" w:eastAsia="Times New Roman" w:hAnsi="Arial" w:cs="Arial"/>
          <w:kern w:val="0"/>
          <w:lang w:val="en-US" w:eastAsia="en-GB"/>
          <w14:ligatures w14:val="none"/>
        </w:rPr>
        <w:t>3</w:t>
      </w:r>
      <w:r w:rsidRPr="00307760">
        <w:rPr>
          <w:rFonts w:ascii="Arial" w:eastAsia="Times New Roman" w:hAnsi="Arial" w:cs="Arial"/>
          <w:kern w:val="0"/>
          <w:lang w:val="en-US" w:eastAsia="en-GB"/>
          <w14:ligatures w14:val="none"/>
        </w:rPr>
        <w:t xml:space="preserve">), TCR repertoire similarity across individuals was also evaluated using the </w:t>
      </w:r>
      <w:proofErr w:type="spellStart"/>
      <w:r w:rsidRPr="00307760">
        <w:rPr>
          <w:rFonts w:ascii="Arial" w:eastAsia="Times New Roman" w:hAnsi="Arial" w:cs="Arial"/>
          <w:kern w:val="0"/>
          <w:lang w:val="en-US" w:eastAsia="en-GB"/>
          <w14:ligatures w14:val="none"/>
        </w:rPr>
        <w:t>CompAIRR</w:t>
      </w:r>
      <w:proofErr w:type="spellEnd"/>
      <w:r w:rsidRPr="00307760">
        <w:rPr>
          <w:rFonts w:ascii="Arial" w:eastAsia="Times New Roman" w:hAnsi="Arial" w:cs="Arial"/>
          <w:kern w:val="0"/>
          <w:lang w:val="en-US" w:eastAsia="en-GB"/>
          <w14:ligatures w14:val="none"/>
        </w:rPr>
        <w:t xml:space="preserve"> algorithm. This method identifies sequences shared across repertoires and quantifies their relative abundance. </w:t>
      </w:r>
    </w:p>
    <w:p w14:paraId="4B0C820F" w14:textId="77777777" w:rsidR="000968E6" w:rsidRPr="00307760" w:rsidRDefault="000968E6" w:rsidP="00691E1F">
      <w:pPr>
        <w:spacing w:line="360" w:lineRule="auto"/>
        <w:jc w:val="both"/>
        <w:rPr>
          <w:rFonts w:ascii="Arial" w:eastAsia="Times New Roman" w:hAnsi="Arial" w:cs="Arial"/>
          <w:kern w:val="0"/>
          <w:lang w:val="en-US" w:eastAsia="en-GB"/>
          <w14:ligatures w14:val="none"/>
        </w:rPr>
      </w:pPr>
    </w:p>
    <w:p w14:paraId="39E643DB" w14:textId="77777777" w:rsidR="000968E6" w:rsidRPr="00307760" w:rsidRDefault="000968E6" w:rsidP="00691E1F">
      <w:pPr>
        <w:spacing w:line="360" w:lineRule="auto"/>
        <w:jc w:val="both"/>
        <w:rPr>
          <w:rFonts w:ascii="Arial" w:eastAsia="Times New Roman" w:hAnsi="Arial" w:cs="Arial"/>
          <w:b/>
          <w:bCs/>
          <w:kern w:val="0"/>
          <w:lang w:val="en-NO" w:eastAsia="en-GB"/>
          <w14:ligatures w14:val="none"/>
        </w:rPr>
      </w:pPr>
      <w:r w:rsidRPr="00307760">
        <w:rPr>
          <w:rFonts w:ascii="Arial" w:eastAsia="Times New Roman" w:hAnsi="Arial" w:cs="Arial"/>
          <w:b/>
          <w:bCs/>
          <w:kern w:val="0"/>
          <w:lang w:val="en-NO" w:eastAsia="en-GB"/>
          <w14:ligatures w14:val="none"/>
        </w:rPr>
        <w:t>TCR analysis machine-learning models</w:t>
      </w:r>
    </w:p>
    <w:p w14:paraId="51C5EA32" w14:textId="77777777" w:rsidR="000968E6" w:rsidRPr="00307760" w:rsidRDefault="000968E6" w:rsidP="00691E1F">
      <w:pPr>
        <w:spacing w:line="360" w:lineRule="auto"/>
        <w:jc w:val="both"/>
        <w:rPr>
          <w:rFonts w:ascii="Arial" w:eastAsia="Times New Roman" w:hAnsi="Arial" w:cs="Arial"/>
          <w:kern w:val="0"/>
          <w:lang w:val="en-NO" w:eastAsia="en-GB"/>
          <w14:ligatures w14:val="none"/>
        </w:rPr>
      </w:pPr>
      <w:r w:rsidRPr="00307760">
        <w:rPr>
          <w:rFonts w:ascii="Arial" w:eastAsia="Times New Roman" w:hAnsi="Arial" w:cs="Arial"/>
          <w:kern w:val="0"/>
          <w:lang w:val="en-NO" w:eastAsia="en-GB"/>
          <w14:ligatures w14:val="none"/>
        </w:rPr>
        <w:t>Three different classifier types were used:</w:t>
      </w:r>
    </w:p>
    <w:p w14:paraId="30B65E80" w14:textId="77777777" w:rsidR="000968E6" w:rsidRPr="00307760" w:rsidRDefault="000968E6" w:rsidP="00691E1F">
      <w:pPr>
        <w:spacing w:line="360" w:lineRule="auto"/>
        <w:jc w:val="both"/>
        <w:rPr>
          <w:rFonts w:ascii="Arial" w:eastAsia="Times New Roman" w:hAnsi="Arial" w:cs="Arial"/>
          <w:i/>
          <w:iCs/>
          <w:kern w:val="0"/>
          <w:lang w:val="en-NO" w:eastAsia="en-GB"/>
          <w14:ligatures w14:val="none"/>
        </w:rPr>
      </w:pPr>
      <w:r w:rsidRPr="00307760">
        <w:rPr>
          <w:rFonts w:ascii="Arial" w:eastAsia="Times New Roman" w:hAnsi="Arial" w:cs="Arial"/>
          <w:i/>
          <w:iCs/>
          <w:kern w:val="0"/>
          <w:lang w:val="en-NO" w:eastAsia="en-GB"/>
          <w14:ligatures w14:val="none"/>
        </w:rPr>
        <w:t xml:space="preserve">Logistic regression: </w:t>
      </w:r>
      <w:r w:rsidRPr="00307760">
        <w:rPr>
          <w:rFonts w:ascii="Arial" w:eastAsia="Times New Roman" w:hAnsi="Arial" w:cs="Arial"/>
          <w:kern w:val="0"/>
          <w:lang w:val="en-NO" w:eastAsia="en-GB"/>
          <w14:ligatures w14:val="none"/>
        </w:rPr>
        <w:t xml:space="preserve">Most classification models used logistic regression with L1 regularization (LASSO). For a repertoire feature vector </w:t>
      </w:r>
      <m:oMath>
        <m:r>
          <w:rPr>
            <w:rFonts w:ascii="Cambria Math" w:eastAsia="Times New Roman" w:hAnsi="Cambria Math" w:cs="Arial"/>
            <w:kern w:val="0"/>
            <w:lang w:val="en-NO" w:eastAsia="en-GB"/>
            <w14:ligatures w14:val="none"/>
          </w:rPr>
          <m:t>x</m:t>
        </m:r>
      </m:oMath>
      <w:r w:rsidRPr="00307760">
        <w:rPr>
          <w:rFonts w:ascii="Arial" w:eastAsia="Times New Roman" w:hAnsi="Arial" w:cs="Arial"/>
          <w:kern w:val="0"/>
          <w:lang w:val="en-NO" w:eastAsia="en-GB"/>
          <w14:ligatures w14:val="none"/>
        </w:rPr>
        <w:t>, the probability of class membership was modeled as</w:t>
      </w:r>
    </w:p>
    <w:p w14:paraId="5F542246" w14:textId="77777777" w:rsidR="000968E6" w:rsidRPr="00307760" w:rsidRDefault="000968E6" w:rsidP="00691E1F">
      <w:pPr>
        <w:spacing w:line="360" w:lineRule="auto"/>
        <w:jc w:val="both"/>
        <w:rPr>
          <w:rFonts w:ascii="Arial" w:eastAsia="Times New Roman" w:hAnsi="Arial" w:cs="Arial"/>
          <w:kern w:val="0"/>
          <w:lang w:val="en-NO" w:eastAsia="en-GB"/>
          <w14:ligatures w14:val="none"/>
        </w:rPr>
      </w:pPr>
      <m:oMathPara>
        <m:oMath>
          <m:r>
            <w:rPr>
              <w:rFonts w:ascii="Cambria Math" w:eastAsia="Times New Roman" w:hAnsi="Cambria Math" w:cs="Arial"/>
              <w:kern w:val="0"/>
              <w:lang w:val="en-NO" w:eastAsia="en-GB"/>
              <w14:ligatures w14:val="none"/>
            </w:rPr>
            <m:t>P(y=1</m:t>
          </m:r>
          <m:r>
            <m:rPr>
              <m:sty m:val="p"/>
            </m:rPr>
            <w:rPr>
              <w:rFonts w:ascii="Cambria Math" w:eastAsia="Times New Roman" w:hAnsi="Cambria Math" w:cs="Arial"/>
              <w:kern w:val="0"/>
              <w:lang w:val="en-NO" w:eastAsia="en-GB"/>
              <w14:ligatures w14:val="none"/>
            </w:rPr>
            <m:t>∣</m:t>
          </m:r>
          <m:r>
            <w:rPr>
              <w:rFonts w:ascii="Cambria Math" w:eastAsia="Times New Roman" w:hAnsi="Cambria Math" w:cs="Arial"/>
              <w:kern w:val="0"/>
              <w:lang w:val="en-NO" w:eastAsia="en-GB"/>
              <w14:ligatures w14:val="none"/>
            </w:rPr>
            <m:t>x)=</m:t>
          </m:r>
          <m:f>
            <m:fPr>
              <m:ctrlPr>
                <w:rPr>
                  <w:rFonts w:ascii="Cambria Math" w:eastAsia="Times New Roman" w:hAnsi="Cambria Math" w:cs="Arial"/>
                  <w:kern w:val="0"/>
                  <w:lang w:val="en-NO" w:eastAsia="en-GB"/>
                  <w14:ligatures w14:val="none"/>
                </w:rPr>
              </m:ctrlPr>
            </m:fPr>
            <m:num>
              <m:r>
                <w:rPr>
                  <w:rFonts w:ascii="Cambria Math" w:eastAsia="Times New Roman" w:hAnsi="Cambria Math" w:cs="Arial"/>
                  <w:kern w:val="0"/>
                  <w:lang w:val="en-NO" w:eastAsia="en-GB"/>
                  <w14:ligatures w14:val="none"/>
                </w:rPr>
                <m:t>1</m:t>
              </m:r>
            </m:num>
            <m:den>
              <m:r>
                <w:rPr>
                  <w:rFonts w:ascii="Cambria Math" w:eastAsia="Times New Roman" w:hAnsi="Cambria Math" w:cs="Arial"/>
                  <w:kern w:val="0"/>
                  <w:lang w:val="en-NO" w:eastAsia="en-GB"/>
                  <w14:ligatures w14:val="none"/>
                </w:rPr>
                <m:t>1+</m:t>
              </m:r>
              <m:sSup>
                <m:sSupPr>
                  <m:ctrlPr>
                    <w:rPr>
                      <w:rFonts w:ascii="Cambria Math" w:eastAsia="Times New Roman" w:hAnsi="Cambria Math" w:cs="Arial"/>
                      <w:kern w:val="0"/>
                      <w:lang w:val="en-NO" w:eastAsia="en-GB"/>
                      <w14:ligatures w14:val="none"/>
                    </w:rPr>
                  </m:ctrlPr>
                </m:sSupPr>
                <m:e>
                  <m:r>
                    <w:rPr>
                      <w:rFonts w:ascii="Cambria Math" w:eastAsia="Times New Roman" w:hAnsi="Cambria Math" w:cs="Arial"/>
                      <w:kern w:val="0"/>
                      <w:lang w:val="en-NO" w:eastAsia="en-GB"/>
                      <w14:ligatures w14:val="none"/>
                    </w:rPr>
                    <m:t>e</m:t>
                  </m:r>
                </m:e>
                <m:sup>
                  <m:r>
                    <w:rPr>
                      <w:rFonts w:ascii="Cambria Math" w:eastAsia="Times New Roman" w:hAnsi="Cambria Math" w:cs="Arial"/>
                      <w:kern w:val="0"/>
                      <w:lang w:val="en-NO" w:eastAsia="en-GB"/>
                      <w14:ligatures w14:val="none"/>
                    </w:rPr>
                    <m:t>-(</m:t>
                  </m:r>
                  <m:sSub>
                    <m:sSubPr>
                      <m:ctrlPr>
                        <w:rPr>
                          <w:rFonts w:ascii="Cambria Math" w:eastAsia="Times New Roman" w:hAnsi="Cambria Math" w:cs="Arial"/>
                          <w:kern w:val="0"/>
                          <w:lang w:val="en-NO" w:eastAsia="en-GB"/>
                          <w14:ligatures w14:val="none"/>
                        </w:rPr>
                      </m:ctrlPr>
                    </m:sSubPr>
                    <m:e>
                      <m:r>
                        <w:rPr>
                          <w:rFonts w:ascii="Cambria Math" w:eastAsia="Times New Roman" w:hAnsi="Cambria Math" w:cs="Arial"/>
                          <w:kern w:val="0"/>
                          <w:lang w:val="en-NO" w:eastAsia="en-GB"/>
                          <w14:ligatures w14:val="none"/>
                        </w:rPr>
                        <m:t>β</m:t>
                      </m:r>
                    </m:e>
                    <m:sub>
                      <m:r>
                        <w:rPr>
                          <w:rFonts w:ascii="Cambria Math" w:eastAsia="Times New Roman" w:hAnsi="Cambria Math" w:cs="Arial"/>
                          <w:kern w:val="0"/>
                          <w:lang w:val="en-NO" w:eastAsia="en-GB"/>
                          <w14:ligatures w14:val="none"/>
                        </w:rPr>
                        <m:t>0</m:t>
                      </m:r>
                    </m:sub>
                  </m:sSub>
                  <m:r>
                    <w:rPr>
                      <w:rFonts w:ascii="Cambria Math" w:eastAsia="Times New Roman" w:hAnsi="Cambria Math" w:cs="Arial"/>
                      <w:kern w:val="0"/>
                      <w:lang w:val="en-NO" w:eastAsia="en-GB"/>
                      <w14:ligatures w14:val="none"/>
                    </w:rPr>
                    <m:t>+</m:t>
                  </m:r>
                  <m:sSup>
                    <m:sSupPr>
                      <m:ctrlPr>
                        <w:rPr>
                          <w:rFonts w:ascii="Cambria Math" w:eastAsia="Times New Roman" w:hAnsi="Cambria Math" w:cs="Arial"/>
                          <w:kern w:val="0"/>
                          <w:lang w:val="en-NO" w:eastAsia="en-GB"/>
                          <w14:ligatures w14:val="none"/>
                        </w:rPr>
                      </m:ctrlPr>
                    </m:sSupPr>
                    <m:e>
                      <m:r>
                        <w:rPr>
                          <w:rFonts w:ascii="Cambria Math" w:eastAsia="Times New Roman" w:hAnsi="Cambria Math" w:cs="Arial"/>
                          <w:kern w:val="0"/>
                          <w:lang w:val="en-NO" w:eastAsia="en-GB"/>
                          <w14:ligatures w14:val="none"/>
                        </w:rPr>
                        <m:t>β</m:t>
                      </m:r>
                    </m:e>
                    <m:sup>
                      <m:r>
                        <w:rPr>
                          <w:rFonts w:ascii="Cambria Math" w:eastAsia="Times New Roman" w:hAnsi="Cambria Math" w:cs="Arial"/>
                          <w:kern w:val="0"/>
                          <w:lang w:val="en-NO" w:eastAsia="en-GB"/>
                          <w14:ligatures w14:val="none"/>
                        </w:rPr>
                        <m:t>T</m:t>
                      </m:r>
                    </m:sup>
                  </m:sSup>
                  <m:r>
                    <w:rPr>
                      <w:rFonts w:ascii="Cambria Math" w:eastAsia="Times New Roman" w:hAnsi="Cambria Math" w:cs="Arial"/>
                      <w:kern w:val="0"/>
                      <w:lang w:val="en-NO" w:eastAsia="en-GB"/>
                      <w14:ligatures w14:val="none"/>
                    </w:rPr>
                    <m:t>x)</m:t>
                  </m:r>
                </m:sup>
              </m:sSup>
            </m:den>
          </m:f>
          <m:r>
            <m:rPr>
              <m:sty m:val="p"/>
            </m:rPr>
            <w:rPr>
              <w:rFonts w:ascii="Cambria Math" w:eastAsia="Times New Roman" w:hAnsi="Cambria Math" w:cs="Arial"/>
              <w:kern w:val="0"/>
              <w:lang w:val="en-NO" w:eastAsia="en-GB"/>
              <w14:ligatures w14:val="none"/>
            </w:rPr>
            <w:br/>
          </m:r>
        </m:oMath>
      </m:oMathPara>
    </w:p>
    <w:p w14:paraId="39B3C619" w14:textId="77777777" w:rsidR="000968E6" w:rsidRPr="00307760" w:rsidRDefault="000968E6" w:rsidP="00691E1F">
      <w:pPr>
        <w:spacing w:line="360" w:lineRule="auto"/>
        <w:jc w:val="both"/>
        <w:rPr>
          <w:rFonts w:ascii="Arial" w:eastAsia="Times New Roman" w:hAnsi="Arial" w:cs="Arial"/>
          <w:kern w:val="0"/>
          <w:lang w:val="en-NO" w:eastAsia="en-GB"/>
          <w14:ligatures w14:val="none"/>
        </w:rPr>
      </w:pPr>
      <w:r w:rsidRPr="00307760">
        <w:rPr>
          <w:rFonts w:ascii="Arial" w:eastAsia="Times New Roman" w:hAnsi="Arial" w:cs="Arial"/>
          <w:kern w:val="0"/>
          <w:lang w:val="en-NO" w:eastAsia="en-GB"/>
          <w14:ligatures w14:val="none"/>
        </w:rPr>
        <w:t>Model parameters were estimated by minimizing the penalized logistic loss</w:t>
      </w:r>
    </w:p>
    <w:p w14:paraId="40C391C9" w14:textId="77777777" w:rsidR="000968E6" w:rsidRPr="00307760" w:rsidRDefault="000968E6" w:rsidP="00691E1F">
      <w:pPr>
        <w:spacing w:line="360" w:lineRule="auto"/>
        <w:jc w:val="both"/>
        <w:rPr>
          <w:rFonts w:ascii="Arial" w:eastAsia="Times New Roman" w:hAnsi="Arial" w:cs="Arial"/>
          <w:kern w:val="0"/>
          <w:lang w:val="en-NO" w:eastAsia="en-GB"/>
          <w14:ligatures w14:val="none"/>
        </w:rPr>
      </w:pPr>
      <m:oMathPara>
        <m:oMath>
          <m:r>
            <w:rPr>
              <w:rFonts w:ascii="Cambria Math" w:eastAsia="Times New Roman" w:hAnsi="Cambria Math" w:cs="Arial"/>
              <w:kern w:val="0"/>
              <w:lang w:val="en-NO" w:eastAsia="en-GB"/>
              <w14:ligatures w14:val="none"/>
            </w:rPr>
            <m:t>L(β)=-</m:t>
          </m:r>
          <m:r>
            <m:rPr>
              <m:scr m:val="script"/>
              <m:sty m:val="p"/>
            </m:rPr>
            <w:rPr>
              <w:rFonts w:ascii="Cambria Math" w:eastAsia="Times New Roman" w:hAnsi="Cambria Math" w:cs="Arial"/>
              <w:kern w:val="0"/>
              <w:lang w:val="en-NO" w:eastAsia="en-GB"/>
              <w14:ligatures w14:val="none"/>
            </w:rPr>
            <m:t>l</m:t>
          </m:r>
          <m:r>
            <w:rPr>
              <w:rFonts w:ascii="Cambria Math" w:eastAsia="Times New Roman" w:hAnsi="Cambria Math" w:cs="Arial"/>
              <w:kern w:val="0"/>
              <w:lang w:val="en-NO" w:eastAsia="en-GB"/>
              <w14:ligatures w14:val="none"/>
            </w:rPr>
            <m:t>(β)+λ</m:t>
          </m:r>
          <m:r>
            <m:rPr>
              <m:sty m:val="p"/>
            </m:rPr>
            <w:rPr>
              <w:rFonts w:ascii="Cambria Math" w:eastAsia="Times New Roman" w:hAnsi="Cambria Math" w:cs="Arial"/>
              <w:kern w:val="0"/>
              <w:lang w:val="en-NO" w:eastAsia="en-GB"/>
              <w14:ligatures w14:val="none"/>
            </w:rPr>
            <m:t>∣∣</m:t>
          </m:r>
          <m:r>
            <w:rPr>
              <w:rFonts w:ascii="Cambria Math" w:eastAsia="Times New Roman" w:hAnsi="Cambria Math" w:cs="Arial"/>
              <w:kern w:val="0"/>
              <w:lang w:val="en-NO" w:eastAsia="en-GB"/>
              <w14:ligatures w14:val="none"/>
            </w:rPr>
            <m:t>β</m:t>
          </m:r>
          <m:r>
            <m:rPr>
              <m:sty m:val="p"/>
            </m:rPr>
            <w:rPr>
              <w:rFonts w:ascii="Cambria Math" w:eastAsia="Times New Roman" w:hAnsi="Cambria Math" w:cs="Arial"/>
              <w:kern w:val="0"/>
              <w:lang w:val="en-NO" w:eastAsia="en-GB"/>
              <w14:ligatures w14:val="none"/>
            </w:rPr>
            <m:t>∣</m:t>
          </m:r>
          <m:sSub>
            <m:sSubPr>
              <m:ctrlPr>
                <w:rPr>
                  <w:rFonts w:ascii="Cambria Math" w:eastAsia="Times New Roman" w:hAnsi="Cambria Math" w:cs="Arial"/>
                  <w:kern w:val="0"/>
                  <w:lang w:val="en-NO" w:eastAsia="en-GB"/>
                  <w14:ligatures w14:val="none"/>
                </w:rPr>
              </m:ctrlPr>
            </m:sSubPr>
            <m:e>
              <m:r>
                <m:rPr>
                  <m:sty m:val="p"/>
                </m:rPr>
                <w:rPr>
                  <w:rFonts w:ascii="Cambria Math" w:eastAsia="Times New Roman" w:hAnsi="Cambria Math" w:cs="Arial"/>
                  <w:kern w:val="0"/>
                  <w:lang w:val="en-NO" w:eastAsia="en-GB"/>
                  <w14:ligatures w14:val="none"/>
                </w:rPr>
                <m:t>∣</m:t>
              </m:r>
            </m:e>
            <m:sub>
              <m:r>
                <w:rPr>
                  <w:rFonts w:ascii="Cambria Math" w:eastAsia="Times New Roman" w:hAnsi="Cambria Math" w:cs="Arial"/>
                  <w:kern w:val="0"/>
                  <w:lang w:val="en-NO" w:eastAsia="en-GB"/>
                  <w14:ligatures w14:val="none"/>
                </w:rPr>
                <m:t>1</m:t>
              </m:r>
            </m:sub>
          </m:sSub>
          <m:r>
            <m:rPr>
              <m:sty m:val="p"/>
            </m:rPr>
            <w:rPr>
              <w:rFonts w:ascii="Cambria Math" w:eastAsia="Times New Roman" w:hAnsi="Cambria Math" w:cs="Arial"/>
              <w:kern w:val="0"/>
              <w:lang w:val="en-NO" w:eastAsia="en-GB"/>
              <w14:ligatures w14:val="none"/>
            </w:rPr>
            <w:br/>
          </m:r>
        </m:oMath>
      </m:oMathPara>
    </w:p>
    <w:p w14:paraId="29BCAAA8" w14:textId="77777777" w:rsidR="000968E6" w:rsidRPr="00307760" w:rsidRDefault="000968E6" w:rsidP="00691E1F">
      <w:pPr>
        <w:spacing w:line="360" w:lineRule="auto"/>
        <w:jc w:val="both"/>
        <w:rPr>
          <w:rFonts w:ascii="Arial" w:eastAsia="Times New Roman" w:hAnsi="Arial" w:cs="Arial"/>
          <w:kern w:val="0"/>
          <w:lang w:val="en-NO" w:eastAsia="en-GB"/>
          <w14:ligatures w14:val="none"/>
        </w:rPr>
      </w:pPr>
      <w:r w:rsidRPr="00307760">
        <w:rPr>
          <w:rFonts w:ascii="Arial" w:eastAsia="Times New Roman" w:hAnsi="Arial" w:cs="Arial"/>
          <w:kern w:val="0"/>
          <w:lang w:val="en-NO" w:eastAsia="en-GB"/>
          <w14:ligatures w14:val="none"/>
        </w:rPr>
        <w:t xml:space="preserve">where </w:t>
      </w:r>
      <m:oMath>
        <m:r>
          <m:rPr>
            <m:sty m:val="p"/>
          </m:rPr>
          <w:rPr>
            <w:rFonts w:ascii="Cambria Math" w:eastAsia="Times New Roman" w:hAnsi="Cambria Math" w:cs="Arial"/>
            <w:kern w:val="0"/>
            <w:lang w:val="en-NO" w:eastAsia="en-GB"/>
            <w14:ligatures w14:val="none"/>
          </w:rPr>
          <m:t>∣∣</m:t>
        </m:r>
        <m:r>
          <w:rPr>
            <w:rFonts w:ascii="Cambria Math" w:eastAsia="Times New Roman" w:hAnsi="Cambria Math" w:cs="Arial"/>
            <w:kern w:val="0"/>
            <w:lang w:val="en-NO" w:eastAsia="en-GB"/>
            <w14:ligatures w14:val="none"/>
          </w:rPr>
          <m:t>β</m:t>
        </m:r>
        <m:r>
          <m:rPr>
            <m:sty m:val="p"/>
          </m:rPr>
          <w:rPr>
            <w:rFonts w:ascii="Cambria Math" w:eastAsia="Times New Roman" w:hAnsi="Cambria Math" w:cs="Arial"/>
            <w:kern w:val="0"/>
            <w:lang w:val="en-NO" w:eastAsia="en-GB"/>
            <w14:ligatures w14:val="none"/>
          </w:rPr>
          <m:t>∣</m:t>
        </m:r>
        <m:sSub>
          <m:sSubPr>
            <m:ctrlPr>
              <w:rPr>
                <w:rFonts w:ascii="Cambria Math" w:eastAsia="Times New Roman" w:hAnsi="Cambria Math" w:cs="Arial"/>
                <w:kern w:val="0"/>
                <w:lang w:val="en-NO" w:eastAsia="en-GB"/>
                <w14:ligatures w14:val="none"/>
              </w:rPr>
            </m:ctrlPr>
          </m:sSubPr>
          <m:e>
            <m:r>
              <m:rPr>
                <m:sty m:val="p"/>
              </m:rPr>
              <w:rPr>
                <w:rFonts w:ascii="Cambria Math" w:eastAsia="Times New Roman" w:hAnsi="Cambria Math" w:cs="Arial"/>
                <w:kern w:val="0"/>
                <w:lang w:val="en-NO" w:eastAsia="en-GB"/>
                <w14:ligatures w14:val="none"/>
              </w:rPr>
              <m:t>∣</m:t>
            </m:r>
          </m:e>
          <m:sub>
            <m:r>
              <w:rPr>
                <w:rFonts w:ascii="Cambria Math" w:eastAsia="Times New Roman" w:hAnsi="Cambria Math" w:cs="Arial"/>
                <w:kern w:val="0"/>
                <w:lang w:val="en-NO" w:eastAsia="en-GB"/>
                <w14:ligatures w14:val="none"/>
              </w:rPr>
              <m:t>1</m:t>
            </m:r>
          </m:sub>
        </m:sSub>
      </m:oMath>
      <w:r w:rsidRPr="00307760">
        <w:rPr>
          <w:rFonts w:ascii="Arial" w:eastAsia="Times New Roman" w:hAnsi="Arial" w:cs="Arial"/>
          <w:kern w:val="0"/>
          <w:lang w:val="en-NO" w:eastAsia="en-GB"/>
          <w14:ligatures w14:val="none"/>
        </w:rPr>
        <w:t xml:space="preserve">denotes the L1 norm of the coefficient vector and </w:t>
      </w:r>
      <m:oMath>
        <m:r>
          <w:rPr>
            <w:rFonts w:ascii="Cambria Math" w:eastAsia="Times New Roman" w:hAnsi="Cambria Math" w:cs="Arial"/>
            <w:kern w:val="0"/>
            <w:lang w:val="en-NO" w:eastAsia="en-GB"/>
            <w14:ligatures w14:val="none"/>
          </w:rPr>
          <m:t>λ</m:t>
        </m:r>
      </m:oMath>
      <w:r w:rsidRPr="00307760">
        <w:rPr>
          <w:rFonts w:ascii="Arial" w:eastAsia="Times New Roman" w:hAnsi="Arial" w:cs="Arial"/>
          <w:kern w:val="0"/>
          <w:lang w:val="en-NO" w:eastAsia="en-GB"/>
          <w14:ligatures w14:val="none"/>
        </w:rPr>
        <w:t xml:space="preserve"> controls the strength of regularization.</w:t>
      </w:r>
    </w:p>
    <w:p w14:paraId="45EBB251" w14:textId="77777777" w:rsidR="000968E6" w:rsidRPr="00307760" w:rsidRDefault="000968E6" w:rsidP="00691E1F">
      <w:pPr>
        <w:spacing w:line="360" w:lineRule="auto"/>
        <w:jc w:val="both"/>
        <w:rPr>
          <w:rFonts w:ascii="Arial" w:eastAsia="Times New Roman" w:hAnsi="Arial" w:cs="Arial"/>
          <w:kern w:val="0"/>
          <w:lang w:val="en-NO" w:eastAsia="en-GB"/>
          <w14:ligatures w14:val="none"/>
        </w:rPr>
      </w:pPr>
      <w:r w:rsidRPr="00307760">
        <w:rPr>
          <w:rFonts w:ascii="Arial" w:eastAsia="Times New Roman" w:hAnsi="Arial" w:cs="Arial"/>
          <w:kern w:val="0"/>
          <w:lang w:val="en-NO" w:eastAsia="en-GB"/>
          <w14:ligatures w14:val="none"/>
        </w:rPr>
        <w:t xml:space="preserve">The inverse regularization parameter </w:t>
      </w:r>
      <m:oMath>
        <m:r>
          <w:rPr>
            <w:rFonts w:ascii="Cambria Math" w:eastAsia="Times New Roman" w:hAnsi="Cambria Math" w:cs="Arial"/>
            <w:kern w:val="0"/>
            <w:lang w:val="en-NO" w:eastAsia="en-GB"/>
            <w14:ligatures w14:val="none"/>
          </w:rPr>
          <m:t>C=1</m:t>
        </m:r>
        <m:r>
          <m:rPr>
            <m:sty m:val="p"/>
          </m:rPr>
          <w:rPr>
            <w:rFonts w:ascii="Cambria Math" w:eastAsia="Times New Roman" w:hAnsi="Cambria Math" w:cs="Arial"/>
            <w:kern w:val="0"/>
            <w:lang w:val="en-NO" w:eastAsia="en-GB"/>
            <w14:ligatures w14:val="none"/>
          </w:rPr>
          <m:t>/</m:t>
        </m:r>
        <m:r>
          <w:rPr>
            <w:rFonts w:ascii="Cambria Math" w:eastAsia="Times New Roman" w:hAnsi="Cambria Math" w:cs="Arial"/>
            <w:kern w:val="0"/>
            <w:lang w:val="en-NO" w:eastAsia="en-GB"/>
            <w14:ligatures w14:val="none"/>
          </w:rPr>
          <m:t>λ</m:t>
        </m:r>
      </m:oMath>
      <w:r w:rsidRPr="00307760">
        <w:rPr>
          <w:rFonts w:ascii="Arial" w:eastAsia="Times New Roman" w:hAnsi="Arial" w:cs="Arial"/>
          <w:kern w:val="0"/>
          <w:lang w:val="en-NO" w:eastAsia="en-GB"/>
          <w14:ligatures w14:val="none"/>
        </w:rPr>
        <w:t xml:space="preserve"> was selected by grid search over the values:</w:t>
      </w:r>
    </w:p>
    <w:p w14:paraId="7E24AB9B" w14:textId="77777777" w:rsidR="000968E6" w:rsidRPr="00307760" w:rsidRDefault="000968E6" w:rsidP="00691E1F">
      <w:pPr>
        <w:spacing w:line="360" w:lineRule="auto"/>
        <w:jc w:val="both"/>
        <w:rPr>
          <w:rFonts w:ascii="Arial" w:eastAsia="Times New Roman" w:hAnsi="Arial" w:cs="Arial"/>
          <w:kern w:val="0"/>
          <w:lang w:val="en-NO" w:eastAsia="en-GB"/>
          <w14:ligatures w14:val="none"/>
        </w:rPr>
      </w:pPr>
      <m:oMathPara>
        <m:oMath>
          <m:r>
            <w:rPr>
              <w:rFonts w:ascii="Cambria Math" w:eastAsia="Times New Roman" w:hAnsi="Cambria Math" w:cs="Arial"/>
              <w:kern w:val="0"/>
              <w:lang w:val="en-NO" w:eastAsia="en-GB"/>
              <w14:ligatures w14:val="none"/>
            </w:rPr>
            <m:t>C∈{0.01,</m:t>
          </m:r>
          <m:r>
            <m:rPr>
              <m:nor/>
            </m:rPr>
            <w:rPr>
              <w:rFonts w:ascii="Arial" w:eastAsia="Times New Roman" w:hAnsi="Arial" w:cs="Arial"/>
              <w:kern w:val="0"/>
              <w:lang w:val="en-NO" w:eastAsia="en-GB"/>
              <w14:ligatures w14:val="none"/>
            </w:rPr>
            <m:t> </m:t>
          </m:r>
          <m:r>
            <w:rPr>
              <w:rFonts w:ascii="Cambria Math" w:eastAsia="Times New Roman" w:hAnsi="Cambria Math" w:cs="Arial"/>
              <w:kern w:val="0"/>
              <w:lang w:val="en-NO" w:eastAsia="en-GB"/>
              <w14:ligatures w14:val="none"/>
            </w:rPr>
            <m:t>0.1,</m:t>
          </m:r>
          <m:r>
            <m:rPr>
              <m:nor/>
            </m:rPr>
            <w:rPr>
              <w:rFonts w:ascii="Arial" w:eastAsia="Times New Roman" w:hAnsi="Arial" w:cs="Arial"/>
              <w:kern w:val="0"/>
              <w:lang w:val="en-NO" w:eastAsia="en-GB"/>
              <w14:ligatures w14:val="none"/>
            </w:rPr>
            <m:t> </m:t>
          </m:r>
          <m:r>
            <w:rPr>
              <w:rFonts w:ascii="Cambria Math" w:eastAsia="Times New Roman" w:hAnsi="Cambria Math" w:cs="Arial"/>
              <w:kern w:val="0"/>
              <w:lang w:val="en-NO" w:eastAsia="en-GB"/>
              <w14:ligatures w14:val="none"/>
            </w:rPr>
            <m:t>1,</m:t>
          </m:r>
          <m:r>
            <m:rPr>
              <m:nor/>
            </m:rPr>
            <w:rPr>
              <w:rFonts w:ascii="Arial" w:eastAsia="Times New Roman" w:hAnsi="Arial" w:cs="Arial"/>
              <w:kern w:val="0"/>
              <w:lang w:val="en-NO" w:eastAsia="en-GB"/>
              <w14:ligatures w14:val="none"/>
            </w:rPr>
            <m:t> </m:t>
          </m:r>
          <m:r>
            <w:rPr>
              <w:rFonts w:ascii="Cambria Math" w:eastAsia="Times New Roman" w:hAnsi="Cambria Math" w:cs="Arial"/>
              <w:kern w:val="0"/>
              <w:lang w:val="en-NO" w:eastAsia="en-GB"/>
              <w14:ligatures w14:val="none"/>
            </w:rPr>
            <m:t>10,</m:t>
          </m:r>
          <m:r>
            <m:rPr>
              <m:nor/>
            </m:rPr>
            <w:rPr>
              <w:rFonts w:ascii="Arial" w:eastAsia="Times New Roman" w:hAnsi="Arial" w:cs="Arial"/>
              <w:kern w:val="0"/>
              <w:lang w:val="en-NO" w:eastAsia="en-GB"/>
              <w14:ligatures w14:val="none"/>
            </w:rPr>
            <m:t> </m:t>
          </m:r>
          <m:r>
            <w:rPr>
              <w:rFonts w:ascii="Cambria Math" w:eastAsia="Times New Roman" w:hAnsi="Cambria Math" w:cs="Arial"/>
              <w:kern w:val="0"/>
              <w:lang w:val="en-NO" w:eastAsia="en-GB"/>
              <w14:ligatures w14:val="none"/>
            </w:rPr>
            <m:t>100}</m:t>
          </m:r>
          <m:r>
            <m:rPr>
              <m:sty m:val="p"/>
            </m:rPr>
            <w:rPr>
              <w:rFonts w:ascii="Cambria Math" w:eastAsia="Times New Roman" w:hAnsi="Cambria Math" w:cs="Arial"/>
              <w:kern w:val="0"/>
              <w:lang w:val="en-NO" w:eastAsia="en-GB"/>
              <w14:ligatures w14:val="none"/>
            </w:rPr>
            <m:t>.</m:t>
          </m:r>
          <m:r>
            <m:rPr>
              <m:sty m:val="p"/>
            </m:rPr>
            <w:rPr>
              <w:rFonts w:ascii="Cambria Math" w:eastAsia="Times New Roman" w:hAnsi="Cambria Math" w:cs="Arial"/>
              <w:kern w:val="0"/>
              <w:lang w:val="en-NO" w:eastAsia="en-GB"/>
              <w14:ligatures w14:val="none"/>
            </w:rPr>
            <w:br/>
          </m:r>
        </m:oMath>
      </m:oMathPara>
    </w:p>
    <w:p w14:paraId="5FD865DF" w14:textId="77777777" w:rsidR="000968E6" w:rsidRPr="00307760" w:rsidRDefault="000968E6" w:rsidP="00691E1F">
      <w:pPr>
        <w:spacing w:line="360" w:lineRule="auto"/>
        <w:jc w:val="both"/>
        <w:rPr>
          <w:rFonts w:ascii="Arial" w:eastAsia="Times New Roman" w:hAnsi="Arial" w:cs="Arial"/>
          <w:i/>
          <w:iCs/>
          <w:kern w:val="0"/>
          <w:lang w:val="en-NO" w:eastAsia="en-GB"/>
          <w14:ligatures w14:val="none"/>
        </w:rPr>
      </w:pPr>
      <w:r w:rsidRPr="00307760">
        <w:rPr>
          <w:rFonts w:ascii="Arial" w:eastAsia="Times New Roman" w:hAnsi="Arial" w:cs="Arial"/>
          <w:i/>
          <w:iCs/>
          <w:kern w:val="0"/>
          <w:lang w:val="en-NO" w:eastAsia="en-GB"/>
          <w14:ligatures w14:val="none"/>
        </w:rPr>
        <w:t xml:space="preserve">Logistic regression with selective regularization: </w:t>
      </w:r>
      <w:r w:rsidRPr="00307760">
        <w:rPr>
          <w:rFonts w:ascii="Arial" w:eastAsia="Times New Roman" w:hAnsi="Arial" w:cs="Arial"/>
          <w:kern w:val="0"/>
          <w:lang w:val="en-NO" w:eastAsia="en-GB"/>
          <w14:ligatures w14:val="none"/>
        </w:rPr>
        <w:t xml:space="preserve">For the model in analysis 1 that incorporated HLA metadata (“k-mers + HLA”), we used a modified logistic regression </w:t>
      </w:r>
      <w:r w:rsidRPr="00307760">
        <w:rPr>
          <w:rFonts w:ascii="Arial" w:eastAsia="Times New Roman" w:hAnsi="Arial" w:cs="Arial"/>
          <w:kern w:val="0"/>
          <w:lang w:val="en-NO" w:eastAsia="en-GB"/>
          <w14:ligatures w14:val="none"/>
        </w:rPr>
        <w:lastRenderedPageBreak/>
        <w:t xml:space="preserve">in which regularization was applied to sequence-derived features but not to the HLA covariate. </w:t>
      </w:r>
      <w:r w:rsidRPr="00307760">
        <w:rPr>
          <w:rFonts w:ascii="Arial" w:eastAsia="Times New Roman" w:hAnsi="Arial" w:cs="Arial"/>
          <w:kern w:val="0"/>
          <w:lang w:eastAsia="en-GB"/>
          <w14:ligatures w14:val="none"/>
        </w:rPr>
        <w:t xml:space="preserve">This approach allowed the model to account for the contribution of HLA genotype while regularizing the high-dimensional sequence-derived feature space and thereby assessing whether repertoire features provided predictive signal beyond HLA as described previously </w:t>
      </w:r>
      <w:r w:rsidRPr="00307760">
        <w:rPr>
          <w:rFonts w:ascii="Arial" w:eastAsia="Times New Roman" w:hAnsi="Arial" w:cs="Arial"/>
          <w:kern w:val="0"/>
          <w:lang w:eastAsia="en-GB"/>
          <w14:ligatures w14:val="none"/>
        </w:rPr>
        <w:fldChar w:fldCharType="begin"/>
      </w:r>
      <w:r w:rsidRPr="00307760">
        <w:rPr>
          <w:rFonts w:ascii="Arial" w:eastAsia="Times New Roman" w:hAnsi="Arial" w:cs="Arial"/>
          <w:kern w:val="0"/>
          <w:lang w:eastAsia="en-GB"/>
          <w14:ligatures w14:val="none"/>
        </w:rPr>
        <w:instrText xml:space="preserve"> ADDIN ZOTERO_ITEM CSL_CITATION {"citationID":"oR7hma7I","properties":{"formattedCitation":"(De Bin et al., 2020)","plainCitation":"(De Bin et al., 2020)","noteIndex":0},"citationItems":[{"id":1212,"uris":["http://zotero.org/users/14518082/items/68N46L8D"],"itemData":{"id":1212,"type":"article-journal","abstract":"Data integration, i.e. the use of different sources of information for data analysis, is becoming one of the most important topics in modern statistics. Especially in, but not limited to, biomedical applications, a relevant issue is the combination of low-dimensional (e.g. clinical data) and high-dimensional (e.g. molecular data such as gene expressions) data sources in a prediction model. Not only the different characteristics of the data, but also the complex correlation structure within and between the two data sources, pose challenging issues. In this paper, we investigate these issues via simulations, providing some useful insight into strategies to combine low- and high-dimensional data in a regression prediction model. In particular, we focus on the effect of the correlation structure on the results, while accounting for the influence of our specific choices in the design of the simulation study.","container-title":"Briefings in Bioinformatics","DOI":"10.1093/bib/bbz136","ISSN":"1477-4054","issue":"6","journalAbbreviation":"Brief Bioinform","page":"1904-1919","source":"Silverchair","title":"Combining clinical and molecular data in regression prediction models: insights from a simulation study","title-short":"Combining clinical and molecular data in regression prediction models","volume":"21","author":[{"family":"De Bin","given":"Riccardo"},{"family":"Boulesteix","given":"Anne-Laure"},{"family":"Benner","given":"Axel"},{"family":"Becker","given":"Natalia"},{"family":"Sauerbrei","given":"Willi"}],"issued":{"date-parts":[["2020",12,1]]}}}],"schema":"https://github.com/citation-style-language/schema/raw/master/csl-citation.json"} </w:instrText>
      </w:r>
      <w:r w:rsidRPr="00307760">
        <w:rPr>
          <w:rFonts w:ascii="Arial" w:eastAsia="Times New Roman" w:hAnsi="Arial" w:cs="Arial"/>
          <w:kern w:val="0"/>
          <w:lang w:eastAsia="en-GB"/>
          <w14:ligatures w14:val="none"/>
        </w:rPr>
        <w:fldChar w:fldCharType="separate"/>
      </w:r>
      <w:r w:rsidRPr="00307760">
        <w:rPr>
          <w:rFonts w:ascii="Arial" w:hAnsi="Arial" w:cs="Arial"/>
          <w:kern w:val="0"/>
        </w:rPr>
        <w:t>(De Bin et al., 2020)</w:t>
      </w:r>
      <w:r w:rsidRPr="00307760">
        <w:rPr>
          <w:rFonts w:ascii="Arial" w:eastAsia="Times New Roman" w:hAnsi="Arial" w:cs="Arial"/>
          <w:kern w:val="0"/>
          <w:lang w:eastAsia="en-GB"/>
          <w14:ligatures w14:val="none"/>
        </w:rPr>
        <w:fldChar w:fldCharType="end"/>
      </w:r>
      <w:r w:rsidRPr="00307760">
        <w:rPr>
          <w:rFonts w:ascii="Arial" w:eastAsia="Times New Roman" w:hAnsi="Arial" w:cs="Arial"/>
          <w:kern w:val="0"/>
          <w:lang w:eastAsia="en-GB"/>
          <w14:ligatures w14:val="none"/>
        </w:rPr>
        <w:t>. For the “V gene frequency + k-mers + custom penalty”, we employed model regularization on the k-mers, but not on the gene covariate as we wanted the overall effect of V-genes to be captured in the gene coefficient rather than being spread across multiple V-gene-specific k-</w:t>
      </w:r>
      <w:proofErr w:type="spellStart"/>
      <w:r w:rsidRPr="00307760">
        <w:rPr>
          <w:rFonts w:ascii="Arial" w:eastAsia="Times New Roman" w:hAnsi="Arial" w:cs="Arial"/>
          <w:kern w:val="0"/>
          <w:lang w:eastAsia="en-GB"/>
          <w14:ligatures w14:val="none"/>
        </w:rPr>
        <w:t>mer</w:t>
      </w:r>
      <w:proofErr w:type="spellEnd"/>
      <w:r w:rsidRPr="00307760">
        <w:rPr>
          <w:rFonts w:ascii="Arial" w:eastAsia="Times New Roman" w:hAnsi="Arial" w:cs="Arial"/>
          <w:kern w:val="0"/>
          <w:lang w:eastAsia="en-GB"/>
          <w14:ligatures w14:val="none"/>
        </w:rPr>
        <w:t xml:space="preserve"> coefficients. </w:t>
      </w:r>
    </w:p>
    <w:p w14:paraId="0BC912ED" w14:textId="77777777" w:rsidR="000968E6" w:rsidRPr="00307760" w:rsidRDefault="000968E6" w:rsidP="00691E1F">
      <w:pPr>
        <w:spacing w:line="360" w:lineRule="auto"/>
        <w:jc w:val="both"/>
        <w:rPr>
          <w:rFonts w:ascii="Arial" w:eastAsia="Times New Roman" w:hAnsi="Arial" w:cs="Arial"/>
          <w:kern w:val="0"/>
          <w:lang w:val="en-NO" w:eastAsia="en-GB"/>
          <w14:ligatures w14:val="none"/>
        </w:rPr>
      </w:pPr>
    </w:p>
    <w:p w14:paraId="3BE7CBB0" w14:textId="2122DBE4" w:rsidR="000968E6" w:rsidRPr="00307760" w:rsidRDefault="000968E6" w:rsidP="00691E1F">
      <w:pPr>
        <w:spacing w:line="360" w:lineRule="auto"/>
        <w:jc w:val="both"/>
        <w:rPr>
          <w:rFonts w:ascii="Arial" w:eastAsia="Times New Roman" w:hAnsi="Arial" w:cs="Arial"/>
          <w:i/>
          <w:iCs/>
          <w:kern w:val="0"/>
          <w:lang w:val="en-NO" w:eastAsia="en-GB"/>
          <w14:ligatures w14:val="none"/>
        </w:rPr>
      </w:pPr>
      <w:r w:rsidRPr="00307760">
        <w:rPr>
          <w:rFonts w:ascii="Arial" w:eastAsia="Times New Roman" w:hAnsi="Arial" w:cs="Arial"/>
          <w:i/>
          <w:iCs/>
          <w:kern w:val="0"/>
          <w:lang w:val="en-NO" w:eastAsia="en-GB"/>
          <w14:ligatures w14:val="none"/>
        </w:rPr>
        <w:t xml:space="preserve">Probabilistic binary classifier: </w:t>
      </w:r>
      <w:r w:rsidRPr="00307760">
        <w:rPr>
          <w:rFonts w:ascii="Arial" w:eastAsia="Times New Roman" w:hAnsi="Arial" w:cs="Arial"/>
          <w:kern w:val="0"/>
          <w:lang w:val="en-NO" w:eastAsia="en-GB"/>
          <w14:ligatures w14:val="none"/>
        </w:rPr>
        <w:t xml:space="preserve">Shared-sequence abundance features derived using CompAIRR were evaluated using a probabilistic binary classifier optimized via iterative likelihood maximization. Model fitting was performed for up to 50,000 iterations with an update rate of 0.01. </w:t>
      </w:r>
      <w:r w:rsidRPr="00307760">
        <w:rPr>
          <w:rFonts w:ascii="Arial" w:eastAsia="Times New Roman" w:hAnsi="Arial" w:cs="Arial"/>
          <w:kern w:val="0"/>
          <w:lang w:val="en-US" w:eastAsia="en-GB"/>
          <w14:ligatures w14:val="none"/>
        </w:rPr>
        <w:t xml:space="preserve">Two sequences were considered an exact match if they had matching V- and J-gene assignments and CDR3 amino acid sequences. We did this in a similar manner to the approach in </w:t>
      </w:r>
      <w:r w:rsidRPr="00307760">
        <w:rPr>
          <w:rFonts w:ascii="Arial" w:eastAsia="Times New Roman" w:hAnsi="Arial" w:cs="Arial"/>
          <w:kern w:val="0"/>
          <w:lang w:val="en-US" w:eastAsia="en-GB"/>
          <w14:ligatures w14:val="none"/>
        </w:rPr>
        <w:fldChar w:fldCharType="begin"/>
      </w:r>
      <w:r w:rsidR="000077BD" w:rsidRPr="00307760">
        <w:rPr>
          <w:rFonts w:ascii="Arial" w:eastAsia="Times New Roman" w:hAnsi="Arial" w:cs="Arial"/>
          <w:kern w:val="0"/>
          <w:lang w:val="en-US" w:eastAsia="en-GB"/>
          <w14:ligatures w14:val="none"/>
        </w:rPr>
        <w:instrText xml:space="preserve"> ADDIN ZOTERO_ITEM CSL_CITATION {"citationID":"kspyl0Ln","properties":{"formattedCitation":"(Emerson et al., 2017)","plainCitation":"(Emerson et al., 2017)","dontUpdate":true,"noteIndex":0},"citationItems":[{"id":941,"uris":["http://zotero.org/users/14518082/items/NDTSAQKK"],"itemData":{"id":941,"type":"article-journal","abstract":"Ryan Emerson and colleagues report immunosequencing of the variable region of the TCRβ chain in 666 individuals with known cytomegalovirus (CMV) status. They show that CMV status and HLA genotype shape the T cell repertoire and demonstrate proof of principle that TCRβ sequencing can be used as a specific diagnostic of pathogen exposure.","container-title":"Nature Genetics","DOI":"10.1038/ng.3822","ISSN":"1546-1718","issue":"5","journalAbbreviation":"Nat Genet","language":"en","license":"2017 Springer Nature America, Inc.","page":"659-665","publisher":"Nature Publishing Group","source":"www.nature.com","title":"Immunosequencing identifies signatures of cytomegalovirus exposure history and HLA-mediated effects on the T cell repertoire","volume":"49","author":[{"family":"Emerson","given":"Ryan O."},{"family":"DeWitt","given":"William S."},{"family":"Vignali","given":"Marissa"},{"family":"Gravley","given":"Jenna"},{"family":"Hu","given":"Joyce K."},{"family":"Osborne","given":"Edward J."},{"family":"Desmarais","given":"Cindy"},{"family":"Klinger","given":"Mark"},{"family":"Carlson","given":"Christopher S."},{"family":"Hansen","given":"John A."},{"family":"Rieder","given":"Mark"},{"family":"Robins","given":"Harlan S."}],"issued":{"date-parts":[["2017",5]]}}}],"schema":"https://github.com/citation-style-language/schema/raw/master/csl-citation.json"} </w:instrText>
      </w:r>
      <w:r w:rsidRPr="00307760">
        <w:rPr>
          <w:rFonts w:ascii="Arial" w:eastAsia="Times New Roman" w:hAnsi="Arial" w:cs="Arial"/>
          <w:kern w:val="0"/>
          <w:lang w:val="en-US" w:eastAsia="en-GB"/>
          <w14:ligatures w14:val="none"/>
        </w:rPr>
        <w:fldChar w:fldCharType="separate"/>
      </w:r>
      <w:r w:rsidRPr="00307760">
        <w:rPr>
          <w:rFonts w:ascii="Arial" w:hAnsi="Arial" w:cs="Arial"/>
          <w:kern w:val="0"/>
        </w:rPr>
        <w:t>Emerson et al., 2017</w:t>
      </w:r>
      <w:r w:rsidRPr="00307760">
        <w:rPr>
          <w:rFonts w:ascii="Arial" w:eastAsia="Times New Roman" w:hAnsi="Arial" w:cs="Arial"/>
          <w:kern w:val="0"/>
          <w:lang w:val="en-US" w:eastAsia="en-GB"/>
          <w14:ligatures w14:val="none"/>
        </w:rPr>
        <w:fldChar w:fldCharType="end"/>
      </w:r>
      <w:r w:rsidRPr="00307760">
        <w:rPr>
          <w:rFonts w:ascii="Arial" w:eastAsia="Times New Roman" w:hAnsi="Arial" w:cs="Arial"/>
          <w:kern w:val="0"/>
          <w:lang w:val="en-US" w:eastAsia="en-GB"/>
          <w14:ligatures w14:val="none"/>
        </w:rPr>
        <w:t xml:space="preserve">, where we used the set of all receptor sequences present in any repertoire as our features, and then encoded each repertoire based on which of these receptor sequences were present in a given repertoire using a method detailed elsewhere </w:t>
      </w:r>
      <w:r w:rsidRPr="00307760">
        <w:rPr>
          <w:rFonts w:ascii="Arial" w:eastAsia="Times New Roman" w:hAnsi="Arial" w:cs="Arial"/>
          <w:kern w:val="0"/>
          <w:lang w:val="en-US" w:eastAsia="en-GB"/>
          <w14:ligatures w14:val="none"/>
        </w:rPr>
        <w:fldChar w:fldCharType="begin"/>
      </w:r>
      <w:r w:rsidRPr="00307760">
        <w:rPr>
          <w:rFonts w:ascii="Arial" w:eastAsia="Times New Roman" w:hAnsi="Arial" w:cs="Arial"/>
          <w:kern w:val="0"/>
          <w:lang w:val="en-US" w:eastAsia="en-GB"/>
          <w14:ligatures w14:val="none"/>
        </w:rPr>
        <w:instrText xml:space="preserve"> ADDIN ZOTERO_ITEM CSL_CITATION {"citationID":"SC5hZVtw","properties":{"formattedCitation":"(Rognes et al., 2022)","plainCitation":"(Rognes et al., 2022)","noteIndex":0},"citationItems":[{"id":1209,"uris":["http://zotero.org/users/14518082/items/9YLN8KKC"],"itemData":{"id":1209,"type":"article-journal","abstract":"Adaptive immune receptor (AIR) repertoires (AIRRs) record past immune encounters with exquisite specificity. Therefore, identifying identical or similar AIR sequences across individuals is a key step in AIRR analysis for revealing convergent immune response patterns that may be exploited for diagnostics and therapy. Existing methods for quantifying AIRR overlap scale poorly with increasing dataset numbers and sizes. To address this limitation, we developed CompAIRR, which enables ultra-fast computation of AIRR overlap, based on either exact or approximate sequence matching.CompAIRR improves computational speed 1000-fold relative to the state of the art and uses only one-third of the memory: on the same machine, the exact pairwise AIRR overlap of 104 AIRRs with 105 sequences is found in </w:instrText>
      </w:r>
      <w:r w:rsidRPr="00307760">
        <w:rPr>
          <w:rFonts w:ascii="Cambria Math" w:eastAsia="Times New Roman" w:hAnsi="Cambria Math" w:cs="Cambria Math"/>
          <w:kern w:val="0"/>
          <w:lang w:val="en-US" w:eastAsia="en-GB"/>
          <w14:ligatures w14:val="none"/>
        </w:rPr>
        <w:instrText>∼</w:instrText>
      </w:r>
      <w:r w:rsidRPr="00307760">
        <w:rPr>
          <w:rFonts w:ascii="Arial" w:eastAsia="Times New Roman" w:hAnsi="Arial" w:cs="Arial"/>
          <w:kern w:val="0"/>
          <w:lang w:val="en-US" w:eastAsia="en-GB"/>
          <w14:ligatures w14:val="none"/>
        </w:rPr>
        <w:instrText xml:space="preserve">17 min, while the fastest alternative tool requires 10 days. CompAIRR has been integrated with the machine learning ecosystem immuneML to speed up commonly used AIRR-based machine learning applications.CompAIRR code and documentation are available at https://github.com/uio-bmi/compairr. Docker images are available at https://hub.docker.com/r/torognes/compairr. The code to replicate the synthetic datasets, scripts for benchmarking and creating figures, and all raw data underlying the figures are available at https://github.com/uio-bmi/compairr-benchmarking.Supplementary data are available at Bioinformatics online.","container-title":"Bioinformatics","DOI":"10.1093/bioinformatics/btac505","ISSN":"1367-4803","issue":"17","journalAbbreviation":"Bioinformatics","page":"4230-4232","source":"Silverchair","title":"CompAIRR: ultra-fast comparison of adaptive immune receptor repertoires by exact and approximate sequence matching","title-short":"CompAIRR","volume":"38","author":[{"family":"Rognes","given":"Torbjørn"},{"family":"Scheffer","given":"Lonneke"},{"family":"Greiff","given":"Victor"},{"family":"Sandve","given":"Geir Kjetil"}],"issued":{"date-parts":[["2022",9,2]]}}}],"schema":"https://github.com/citation-style-language/schema/raw/master/csl-citation.json"} </w:instrText>
      </w:r>
      <w:r w:rsidRPr="00307760">
        <w:rPr>
          <w:rFonts w:ascii="Arial" w:eastAsia="Times New Roman" w:hAnsi="Arial" w:cs="Arial"/>
          <w:kern w:val="0"/>
          <w:lang w:val="en-US" w:eastAsia="en-GB"/>
          <w14:ligatures w14:val="none"/>
        </w:rPr>
        <w:fldChar w:fldCharType="separate"/>
      </w:r>
      <w:r w:rsidRPr="00307760">
        <w:rPr>
          <w:rFonts w:ascii="Arial" w:hAnsi="Arial" w:cs="Arial"/>
          <w:kern w:val="0"/>
        </w:rPr>
        <w:t>(Rognes et al., 2022)</w:t>
      </w:r>
      <w:r w:rsidRPr="00307760">
        <w:rPr>
          <w:rFonts w:ascii="Arial" w:eastAsia="Times New Roman" w:hAnsi="Arial" w:cs="Arial"/>
          <w:kern w:val="0"/>
          <w:lang w:val="en-US" w:eastAsia="en-GB"/>
          <w14:ligatures w14:val="none"/>
        </w:rPr>
        <w:fldChar w:fldCharType="end"/>
      </w:r>
      <w:r w:rsidRPr="00307760">
        <w:rPr>
          <w:rFonts w:ascii="Arial" w:eastAsia="Times New Roman" w:hAnsi="Arial" w:cs="Arial"/>
          <w:kern w:val="0"/>
          <w:lang w:val="en-US" w:eastAsia="en-GB"/>
          <w14:ligatures w14:val="none"/>
        </w:rPr>
        <w:t xml:space="preserve"> to compute this efficiently.</w:t>
      </w:r>
    </w:p>
    <w:p w14:paraId="467E049D" w14:textId="77777777" w:rsidR="000968E6" w:rsidRPr="00307760" w:rsidRDefault="000968E6" w:rsidP="00691E1F">
      <w:pPr>
        <w:spacing w:line="360" w:lineRule="auto"/>
        <w:jc w:val="both"/>
        <w:rPr>
          <w:rFonts w:ascii="Arial" w:eastAsia="Times New Roman" w:hAnsi="Arial" w:cs="Arial"/>
          <w:kern w:val="0"/>
          <w:lang w:val="en-NO" w:eastAsia="en-GB"/>
          <w14:ligatures w14:val="none"/>
        </w:rPr>
      </w:pPr>
    </w:p>
    <w:p w14:paraId="6B83E787" w14:textId="77777777" w:rsidR="000968E6" w:rsidRPr="00307760" w:rsidRDefault="000968E6" w:rsidP="00691E1F">
      <w:pPr>
        <w:spacing w:line="360" w:lineRule="auto"/>
        <w:jc w:val="both"/>
        <w:rPr>
          <w:rFonts w:ascii="Arial" w:eastAsia="Times New Roman" w:hAnsi="Arial" w:cs="Arial"/>
          <w:b/>
          <w:bCs/>
          <w:kern w:val="0"/>
          <w:lang w:val="en-NO" w:eastAsia="en-GB"/>
          <w14:ligatures w14:val="none"/>
        </w:rPr>
      </w:pPr>
      <w:r w:rsidRPr="00307760">
        <w:rPr>
          <w:rFonts w:ascii="Arial" w:eastAsia="Times New Roman" w:hAnsi="Arial" w:cs="Arial"/>
          <w:b/>
          <w:bCs/>
          <w:kern w:val="0"/>
          <w:lang w:val="en-NO" w:eastAsia="en-GB"/>
          <w14:ligatures w14:val="none"/>
        </w:rPr>
        <w:t>TCR analysis model evaluation and hyperparameter optimization</w:t>
      </w:r>
    </w:p>
    <w:p w14:paraId="3E5626D8" w14:textId="77777777" w:rsidR="000968E6" w:rsidRPr="00307760" w:rsidRDefault="000968E6" w:rsidP="2407F34E">
      <w:p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t>Model hyperparameters were optimized using grid search with cross-validation.</w:t>
      </w:r>
    </w:p>
    <w:p w14:paraId="0A1D0F9A" w14:textId="77777777" w:rsidR="000968E6" w:rsidRPr="00307760" w:rsidRDefault="000968E6" w:rsidP="00691E1F">
      <w:pPr>
        <w:spacing w:line="360" w:lineRule="auto"/>
        <w:jc w:val="both"/>
        <w:rPr>
          <w:rFonts w:ascii="Arial" w:eastAsia="Times New Roman" w:hAnsi="Arial" w:cs="Arial"/>
          <w:kern w:val="0"/>
          <w:lang w:val="en-NO" w:eastAsia="en-GB"/>
          <w14:ligatures w14:val="none"/>
        </w:rPr>
      </w:pPr>
      <w:r w:rsidRPr="00307760">
        <w:rPr>
          <w:rFonts w:ascii="Arial" w:eastAsia="Times New Roman" w:hAnsi="Arial" w:cs="Arial"/>
          <w:kern w:val="0"/>
          <w:lang w:val="en-NO" w:eastAsia="en-GB"/>
          <w14:ligatures w14:val="none"/>
        </w:rPr>
        <w:t>During model selection:</w:t>
      </w:r>
    </w:p>
    <w:p w14:paraId="17EC4656" w14:textId="77777777" w:rsidR="000968E6" w:rsidRPr="00307760" w:rsidRDefault="000968E6" w:rsidP="00691E1F">
      <w:pPr>
        <w:numPr>
          <w:ilvl w:val="0"/>
          <w:numId w:val="1"/>
        </w:numPr>
        <w:spacing w:line="360" w:lineRule="auto"/>
        <w:jc w:val="both"/>
        <w:rPr>
          <w:rFonts w:ascii="Arial" w:eastAsia="Times New Roman" w:hAnsi="Arial" w:cs="Arial"/>
          <w:kern w:val="0"/>
          <w:lang w:val="en-NO" w:eastAsia="en-GB"/>
          <w14:ligatures w14:val="none"/>
        </w:rPr>
      </w:pPr>
      <w:r w:rsidRPr="00307760">
        <w:rPr>
          <w:rFonts w:ascii="Arial" w:eastAsia="Times New Roman" w:hAnsi="Arial" w:cs="Arial"/>
          <w:kern w:val="0"/>
          <w:lang w:val="en-NO" w:eastAsia="en-GB"/>
          <w14:ligatures w14:val="none"/>
        </w:rPr>
        <w:t>5-fold cross-validation was used for analyses (2) and (3).</w:t>
      </w:r>
    </w:p>
    <w:p w14:paraId="5E531E58" w14:textId="77777777" w:rsidR="000968E6" w:rsidRPr="00307760" w:rsidRDefault="000968E6" w:rsidP="00691E1F">
      <w:pPr>
        <w:numPr>
          <w:ilvl w:val="0"/>
          <w:numId w:val="1"/>
        </w:numPr>
        <w:spacing w:line="360" w:lineRule="auto"/>
        <w:jc w:val="both"/>
        <w:rPr>
          <w:rFonts w:ascii="Arial" w:eastAsia="Times New Roman" w:hAnsi="Arial" w:cs="Arial"/>
          <w:kern w:val="0"/>
          <w:lang w:val="en-NO" w:eastAsia="en-GB"/>
          <w14:ligatures w14:val="none"/>
        </w:rPr>
      </w:pPr>
      <w:r w:rsidRPr="00307760">
        <w:rPr>
          <w:rFonts w:ascii="Arial" w:eastAsia="Times New Roman" w:hAnsi="Arial" w:cs="Arial"/>
          <w:kern w:val="0"/>
          <w:lang w:val="en-NO" w:eastAsia="en-GB"/>
          <w14:ligatures w14:val="none"/>
        </w:rPr>
        <w:t>3-fold cross-validation was used for analysis (1).</w:t>
      </w:r>
    </w:p>
    <w:p w14:paraId="35BFEC49" w14:textId="4A24AFE9" w:rsidR="000968E6" w:rsidRPr="00307760" w:rsidRDefault="000968E6" w:rsidP="00691E1F">
      <w:pPr>
        <w:spacing w:line="360" w:lineRule="auto"/>
        <w:jc w:val="both"/>
        <w:rPr>
          <w:rFonts w:ascii="Arial" w:eastAsia="Times New Roman" w:hAnsi="Arial" w:cs="Arial"/>
          <w:kern w:val="0"/>
          <w:lang w:val="en-NO" w:eastAsia="en-GB"/>
          <w14:ligatures w14:val="none"/>
        </w:rPr>
      </w:pPr>
      <w:r w:rsidRPr="00307760">
        <w:rPr>
          <w:rFonts w:ascii="Arial" w:eastAsia="Times New Roman" w:hAnsi="Arial" w:cs="Arial"/>
          <w:kern w:val="0"/>
          <w:lang w:val="en-NO" w:eastAsia="en-GB"/>
          <w14:ligatures w14:val="none"/>
        </w:rPr>
        <w:t>Models were trained on 70% of the data and evaluated on the remaining 30%. For final assessment, three independent random splits of the dataset were performed</w:t>
      </w:r>
      <w:r w:rsidR="00CF0BB0" w:rsidRPr="00307760">
        <w:rPr>
          <w:rFonts w:ascii="Arial" w:eastAsia="Times New Roman" w:hAnsi="Arial" w:cs="Arial"/>
          <w:kern w:val="0"/>
          <w:lang w:val="en-NO" w:eastAsia="en-GB"/>
          <w14:ligatures w14:val="none"/>
        </w:rPr>
        <w:t>.</w:t>
      </w:r>
    </w:p>
    <w:p w14:paraId="1ED88FF4" w14:textId="77777777" w:rsidR="000968E6" w:rsidRPr="00307760" w:rsidRDefault="000968E6" w:rsidP="00691E1F">
      <w:pPr>
        <w:spacing w:line="360" w:lineRule="auto"/>
        <w:jc w:val="both"/>
        <w:rPr>
          <w:rFonts w:ascii="Arial" w:eastAsia="Times New Roman" w:hAnsi="Arial" w:cs="Arial"/>
          <w:kern w:val="0"/>
          <w:lang w:val="en-US" w:eastAsia="en-GB"/>
          <w14:ligatures w14:val="none"/>
        </w:rPr>
      </w:pPr>
    </w:p>
    <w:p w14:paraId="75173889" w14:textId="77777777" w:rsidR="000968E6" w:rsidRPr="00307760" w:rsidRDefault="000968E6" w:rsidP="00691E1F">
      <w:pPr>
        <w:spacing w:line="360" w:lineRule="auto"/>
        <w:jc w:val="both"/>
        <w:rPr>
          <w:rFonts w:ascii="Arial" w:eastAsia="Times New Roman" w:hAnsi="Arial" w:cs="Arial"/>
          <w:b/>
          <w:bCs/>
          <w:kern w:val="0"/>
          <w:lang w:val="en-NO" w:eastAsia="en-GB"/>
          <w14:ligatures w14:val="none"/>
        </w:rPr>
      </w:pPr>
      <w:r w:rsidRPr="00307760">
        <w:rPr>
          <w:rFonts w:ascii="Arial" w:eastAsia="Times New Roman" w:hAnsi="Arial" w:cs="Arial"/>
          <w:b/>
          <w:bCs/>
          <w:kern w:val="0"/>
          <w:lang w:val="en-NO" w:eastAsia="en-GB"/>
          <w14:ligatures w14:val="none"/>
        </w:rPr>
        <w:t>TCR analysis encodings evaluated for each classification task</w:t>
      </w:r>
    </w:p>
    <w:p w14:paraId="16E0E91E" w14:textId="77777777" w:rsidR="000968E6" w:rsidRPr="00307760" w:rsidRDefault="000968E6" w:rsidP="00691E1F">
      <w:pPr>
        <w:spacing w:line="360" w:lineRule="auto"/>
        <w:jc w:val="both"/>
        <w:rPr>
          <w:rFonts w:ascii="Arial" w:eastAsia="Times New Roman" w:hAnsi="Arial" w:cs="Arial"/>
          <w:kern w:val="0"/>
          <w:lang w:val="en-NO" w:eastAsia="en-GB"/>
          <w14:ligatures w14:val="none"/>
        </w:rPr>
      </w:pPr>
      <w:r w:rsidRPr="00307760">
        <w:rPr>
          <w:rFonts w:ascii="Arial" w:eastAsia="Times New Roman" w:hAnsi="Arial" w:cs="Arial"/>
          <w:kern w:val="0"/>
          <w:lang w:val="en-NO" w:eastAsia="en-GB"/>
          <w14:ligatures w14:val="none"/>
        </w:rPr>
        <w:t>The following feature encodings were evaluated in each analysis.</w:t>
      </w:r>
    </w:p>
    <w:p w14:paraId="4D5BD56D" w14:textId="77777777" w:rsidR="000968E6" w:rsidRPr="00307760" w:rsidRDefault="000968E6" w:rsidP="00691E1F">
      <w:pPr>
        <w:spacing w:line="360" w:lineRule="auto"/>
        <w:jc w:val="both"/>
        <w:rPr>
          <w:rFonts w:ascii="Arial" w:eastAsia="Times New Roman" w:hAnsi="Arial" w:cs="Arial"/>
          <w:i/>
          <w:iCs/>
          <w:kern w:val="0"/>
          <w:lang w:val="en-NO" w:eastAsia="en-GB"/>
          <w14:ligatures w14:val="none"/>
        </w:rPr>
      </w:pPr>
      <w:r w:rsidRPr="00307760">
        <w:rPr>
          <w:rFonts w:ascii="Arial" w:eastAsia="Times New Roman" w:hAnsi="Arial" w:cs="Arial"/>
          <w:i/>
          <w:iCs/>
          <w:kern w:val="0"/>
          <w:lang w:val="en-NO" w:eastAsia="en-GB"/>
          <w14:ligatures w14:val="none"/>
        </w:rPr>
        <w:t xml:space="preserve">Analysis 1: </w:t>
      </w:r>
      <w:r w:rsidRPr="00307760">
        <w:rPr>
          <w:rFonts w:ascii="Arial" w:eastAsia="Times New Roman" w:hAnsi="Arial" w:cs="Arial"/>
          <w:i/>
          <w:iCs/>
          <w:kern w:val="0"/>
          <w:lang w:val="en-US" w:eastAsia="en-GB"/>
          <w14:ligatures w14:val="none"/>
        </w:rPr>
        <w:t>Classification by diagnosis</w:t>
      </w:r>
    </w:p>
    <w:p w14:paraId="571792E9" w14:textId="77777777" w:rsidR="000968E6" w:rsidRPr="00307760" w:rsidRDefault="000968E6" w:rsidP="00691E1F">
      <w:pPr>
        <w:spacing w:line="360" w:lineRule="auto"/>
        <w:jc w:val="both"/>
        <w:rPr>
          <w:rFonts w:ascii="Arial" w:eastAsia="Times New Roman" w:hAnsi="Arial" w:cs="Arial"/>
          <w:kern w:val="0"/>
          <w:lang w:val="en-NO" w:eastAsia="en-GB"/>
          <w14:ligatures w14:val="none"/>
        </w:rPr>
      </w:pPr>
      <w:r w:rsidRPr="00307760">
        <w:rPr>
          <w:rFonts w:ascii="Arial" w:eastAsia="Times New Roman" w:hAnsi="Arial" w:cs="Arial"/>
          <w:kern w:val="0"/>
          <w:lang w:val="en-NO" w:eastAsia="en-GB"/>
          <w14:ligatures w14:val="none"/>
        </w:rPr>
        <w:t>Five models were evaluated:</w:t>
      </w:r>
    </w:p>
    <w:p w14:paraId="3E6BC618" w14:textId="77777777" w:rsidR="000968E6" w:rsidRPr="00307760" w:rsidRDefault="000968E6" w:rsidP="00691E1F">
      <w:pPr>
        <w:numPr>
          <w:ilvl w:val="0"/>
          <w:numId w:val="2"/>
        </w:numPr>
        <w:spacing w:line="360" w:lineRule="auto"/>
        <w:jc w:val="both"/>
        <w:rPr>
          <w:rFonts w:ascii="Arial" w:eastAsia="Times New Roman" w:hAnsi="Arial" w:cs="Arial"/>
          <w:kern w:val="0"/>
          <w:lang w:val="en-NO" w:eastAsia="en-GB"/>
          <w14:ligatures w14:val="none"/>
        </w:rPr>
      </w:pPr>
      <w:r w:rsidRPr="00307760">
        <w:rPr>
          <w:rFonts w:ascii="Arial" w:eastAsia="Times New Roman" w:hAnsi="Arial" w:cs="Arial"/>
          <w:kern w:val="0"/>
          <w:lang w:val="en-NO" w:eastAsia="en-GB"/>
          <w14:ligatures w14:val="none"/>
        </w:rPr>
        <w:t>V-gene frequency encoding with logistic regression.</w:t>
      </w:r>
    </w:p>
    <w:p w14:paraId="479B4B34" w14:textId="77777777" w:rsidR="000968E6" w:rsidRPr="00307760" w:rsidRDefault="000968E6" w:rsidP="2407F34E">
      <w:pPr>
        <w:numPr>
          <w:ilvl w:val="0"/>
          <w:numId w:val="2"/>
        </w:num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lastRenderedPageBreak/>
        <w:t>V-gene conditioned CDR3 k-mer encoding with logistic regression.</w:t>
      </w:r>
    </w:p>
    <w:p w14:paraId="2BA0E47B" w14:textId="77777777" w:rsidR="000968E6" w:rsidRPr="00307760" w:rsidRDefault="000968E6" w:rsidP="2407F34E">
      <w:pPr>
        <w:numPr>
          <w:ilvl w:val="0"/>
          <w:numId w:val="2"/>
        </w:num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t>CDR3 k-mer encoding combined with HLA status using logistic regression with selective regularization.</w:t>
      </w:r>
    </w:p>
    <w:p w14:paraId="566A0D50" w14:textId="77777777" w:rsidR="000968E6" w:rsidRPr="00307760" w:rsidRDefault="000968E6" w:rsidP="2407F34E">
      <w:pPr>
        <w:numPr>
          <w:ilvl w:val="0"/>
          <w:numId w:val="2"/>
        </w:num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t>Exact matches to public gluten-reactive TCR sequences with logistic regression.</w:t>
      </w:r>
    </w:p>
    <w:p w14:paraId="3D8D8C9B" w14:textId="77777777" w:rsidR="000968E6" w:rsidRPr="00307760" w:rsidRDefault="000968E6" w:rsidP="2407F34E">
      <w:pPr>
        <w:pStyle w:val="ListParagraph"/>
        <w:numPr>
          <w:ilvl w:val="0"/>
          <w:numId w:val="2"/>
        </w:num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t>Logistic regression model trained on combined V-gene usage frequencies and CDR3 k-mer features, with L1 regularization applied to k-mer features while V-gene-derived features are exempt from penalization.</w:t>
      </w:r>
    </w:p>
    <w:p w14:paraId="7A57E847" w14:textId="77777777" w:rsidR="000968E6" w:rsidRPr="00307760" w:rsidRDefault="000968E6" w:rsidP="00691E1F">
      <w:pPr>
        <w:spacing w:line="360" w:lineRule="auto"/>
        <w:jc w:val="both"/>
        <w:rPr>
          <w:rFonts w:ascii="Arial" w:eastAsia="Times New Roman" w:hAnsi="Arial" w:cs="Arial"/>
          <w:kern w:val="0"/>
          <w:lang w:val="en-NO" w:eastAsia="en-GB"/>
          <w14:ligatures w14:val="none"/>
        </w:rPr>
      </w:pPr>
    </w:p>
    <w:p w14:paraId="1976E10F" w14:textId="77777777" w:rsidR="000968E6" w:rsidRPr="00307760" w:rsidRDefault="000968E6" w:rsidP="00691E1F">
      <w:pPr>
        <w:spacing w:line="360" w:lineRule="auto"/>
        <w:jc w:val="both"/>
        <w:rPr>
          <w:rFonts w:ascii="Arial" w:eastAsia="Times New Roman" w:hAnsi="Arial" w:cs="Arial"/>
          <w:i/>
          <w:iCs/>
          <w:kern w:val="0"/>
          <w:lang w:val="en-NO" w:eastAsia="en-GB"/>
          <w14:ligatures w14:val="none"/>
        </w:rPr>
      </w:pPr>
      <w:r w:rsidRPr="00307760">
        <w:rPr>
          <w:rFonts w:ascii="Arial" w:eastAsia="Times New Roman" w:hAnsi="Arial" w:cs="Arial"/>
          <w:i/>
          <w:iCs/>
          <w:kern w:val="0"/>
          <w:lang w:val="en-NO" w:eastAsia="en-GB"/>
          <w14:ligatures w14:val="none"/>
        </w:rPr>
        <w:t xml:space="preserve">Analysis 2: </w:t>
      </w:r>
      <w:r w:rsidRPr="00307760">
        <w:rPr>
          <w:rFonts w:ascii="Arial" w:eastAsia="Times New Roman" w:hAnsi="Arial" w:cs="Arial"/>
          <w:i/>
          <w:iCs/>
          <w:kern w:val="0"/>
          <w:lang w:val="en-US" w:eastAsia="en-GB"/>
          <w14:ligatures w14:val="none"/>
        </w:rPr>
        <w:t>Classification by diagnosis within HLA-DQ2.5 individuals</w:t>
      </w:r>
    </w:p>
    <w:p w14:paraId="00A4BA45" w14:textId="77777777" w:rsidR="000968E6" w:rsidRPr="00307760" w:rsidRDefault="000968E6" w:rsidP="00691E1F">
      <w:pPr>
        <w:spacing w:line="360" w:lineRule="auto"/>
        <w:jc w:val="both"/>
        <w:rPr>
          <w:rFonts w:ascii="Arial" w:eastAsia="Times New Roman" w:hAnsi="Arial" w:cs="Arial"/>
          <w:kern w:val="0"/>
          <w:lang w:val="en-NO" w:eastAsia="en-GB"/>
          <w14:ligatures w14:val="none"/>
        </w:rPr>
      </w:pPr>
      <w:r w:rsidRPr="00307760">
        <w:rPr>
          <w:rFonts w:ascii="Arial" w:eastAsia="Times New Roman" w:hAnsi="Arial" w:cs="Arial"/>
          <w:kern w:val="0"/>
          <w:lang w:val="en-NO" w:eastAsia="en-GB"/>
          <w14:ligatures w14:val="none"/>
        </w:rPr>
        <w:t>Six models were evaluated:</w:t>
      </w:r>
    </w:p>
    <w:p w14:paraId="4A8A96EC" w14:textId="77777777" w:rsidR="000968E6" w:rsidRPr="00307760" w:rsidRDefault="000968E6" w:rsidP="2407F34E">
      <w:pPr>
        <w:numPr>
          <w:ilvl w:val="0"/>
          <w:numId w:val="3"/>
        </w:num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t>Continuous CDR3 k-mer encoding.</w:t>
      </w:r>
    </w:p>
    <w:p w14:paraId="41CCBBDE" w14:textId="77777777" w:rsidR="000968E6" w:rsidRPr="00307760" w:rsidRDefault="000968E6" w:rsidP="2407F34E">
      <w:pPr>
        <w:numPr>
          <w:ilvl w:val="0"/>
          <w:numId w:val="3"/>
        </w:num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t>IMGT-aligned CDR3 k-mer encoding.</w:t>
      </w:r>
    </w:p>
    <w:p w14:paraId="66501AAC" w14:textId="77777777" w:rsidR="000968E6" w:rsidRPr="00307760" w:rsidRDefault="000968E6" w:rsidP="2407F34E">
      <w:pPr>
        <w:numPr>
          <w:ilvl w:val="0"/>
          <w:numId w:val="3"/>
        </w:num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t>V-gene conditioned k-mer encoding.</w:t>
      </w:r>
    </w:p>
    <w:p w14:paraId="2A1C2F53" w14:textId="77777777" w:rsidR="000968E6" w:rsidRPr="00307760" w:rsidRDefault="000968E6" w:rsidP="2407F34E">
      <w:pPr>
        <w:numPr>
          <w:ilvl w:val="0"/>
          <w:numId w:val="3"/>
        </w:num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t>V-gene and IMGT conditioned k-mer encoding.</w:t>
      </w:r>
    </w:p>
    <w:p w14:paraId="165039C7" w14:textId="77777777" w:rsidR="000968E6" w:rsidRPr="00307760" w:rsidRDefault="000968E6" w:rsidP="00691E1F">
      <w:pPr>
        <w:numPr>
          <w:ilvl w:val="0"/>
          <w:numId w:val="3"/>
        </w:numPr>
        <w:spacing w:line="360" w:lineRule="auto"/>
        <w:jc w:val="both"/>
        <w:rPr>
          <w:rFonts w:ascii="Arial" w:eastAsia="Times New Roman" w:hAnsi="Arial" w:cs="Arial"/>
          <w:kern w:val="0"/>
          <w:lang w:val="en-NO" w:eastAsia="en-GB"/>
          <w14:ligatures w14:val="none"/>
        </w:rPr>
      </w:pPr>
      <w:r w:rsidRPr="00307760">
        <w:rPr>
          <w:rFonts w:ascii="Arial" w:eastAsia="Times New Roman" w:hAnsi="Arial" w:cs="Arial"/>
          <w:kern w:val="0"/>
          <w:lang w:val="en-NO" w:eastAsia="en-GB"/>
          <w14:ligatures w14:val="none"/>
        </w:rPr>
        <w:t>V- and J-gene frequency encoding.</w:t>
      </w:r>
    </w:p>
    <w:p w14:paraId="1EC54ABB" w14:textId="77777777" w:rsidR="000968E6" w:rsidRPr="00307760" w:rsidRDefault="000968E6" w:rsidP="2407F34E">
      <w:pPr>
        <w:numPr>
          <w:ilvl w:val="0"/>
          <w:numId w:val="3"/>
        </w:num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t>Shared-sequence abundance encoding using CompAIRR with a probabilistic classifier.</w:t>
      </w:r>
    </w:p>
    <w:p w14:paraId="11D0ADB2" w14:textId="77777777" w:rsidR="000968E6" w:rsidRPr="00307760" w:rsidRDefault="000968E6" w:rsidP="00691E1F">
      <w:pPr>
        <w:spacing w:line="360" w:lineRule="auto"/>
        <w:jc w:val="both"/>
        <w:rPr>
          <w:rFonts w:ascii="Arial" w:eastAsia="Times New Roman" w:hAnsi="Arial" w:cs="Arial"/>
          <w:kern w:val="0"/>
          <w:lang w:val="en-NO" w:eastAsia="en-GB"/>
          <w14:ligatures w14:val="none"/>
        </w:rPr>
      </w:pPr>
    </w:p>
    <w:p w14:paraId="0DA43D44" w14:textId="77777777" w:rsidR="000968E6" w:rsidRPr="00307760" w:rsidRDefault="000968E6" w:rsidP="00691E1F">
      <w:pPr>
        <w:spacing w:line="360" w:lineRule="auto"/>
        <w:jc w:val="both"/>
        <w:rPr>
          <w:rFonts w:ascii="Arial" w:eastAsia="Times New Roman" w:hAnsi="Arial" w:cs="Arial"/>
          <w:i/>
          <w:iCs/>
          <w:kern w:val="0"/>
          <w:lang w:val="en-NO" w:eastAsia="en-GB"/>
          <w14:ligatures w14:val="none"/>
        </w:rPr>
      </w:pPr>
      <w:r w:rsidRPr="00307760">
        <w:rPr>
          <w:rFonts w:ascii="Arial" w:eastAsia="Times New Roman" w:hAnsi="Arial" w:cs="Arial"/>
          <w:i/>
          <w:iCs/>
          <w:kern w:val="0"/>
          <w:lang w:val="en-NO" w:eastAsia="en-GB"/>
          <w14:ligatures w14:val="none"/>
        </w:rPr>
        <w:t>Analysis 3: HLA-DQ2.5 classification</w:t>
      </w:r>
    </w:p>
    <w:p w14:paraId="70CF04A2" w14:textId="77777777" w:rsidR="000968E6" w:rsidRPr="00307760" w:rsidRDefault="000968E6" w:rsidP="00691E1F">
      <w:pPr>
        <w:spacing w:line="360" w:lineRule="auto"/>
        <w:jc w:val="both"/>
        <w:rPr>
          <w:rFonts w:ascii="Arial" w:eastAsia="Times New Roman" w:hAnsi="Arial" w:cs="Arial"/>
          <w:kern w:val="0"/>
          <w:lang w:val="en-NO" w:eastAsia="en-GB"/>
          <w14:ligatures w14:val="none"/>
        </w:rPr>
      </w:pPr>
      <w:r w:rsidRPr="00307760">
        <w:rPr>
          <w:rFonts w:ascii="Arial" w:eastAsia="Times New Roman" w:hAnsi="Arial" w:cs="Arial"/>
          <w:kern w:val="0"/>
          <w:lang w:val="en-NO" w:eastAsia="en-GB"/>
          <w14:ligatures w14:val="none"/>
        </w:rPr>
        <w:t>The same six repertoire encodings used in analysis 2 were evaluated to classify individuals with HLA-DQ2.5 from individuals carrying other HLA-DQ types.</w:t>
      </w:r>
    </w:p>
    <w:p w14:paraId="50F1BE20" w14:textId="77777777" w:rsidR="000968E6" w:rsidRPr="00307760" w:rsidRDefault="000968E6" w:rsidP="00691E1F">
      <w:pPr>
        <w:spacing w:line="360" w:lineRule="auto"/>
        <w:jc w:val="both"/>
        <w:rPr>
          <w:rFonts w:ascii="Arial" w:eastAsia="Times New Roman" w:hAnsi="Arial" w:cs="Arial"/>
          <w:i/>
          <w:iCs/>
          <w:kern w:val="0"/>
          <w:lang w:val="en-US" w:eastAsia="en-GB"/>
          <w14:ligatures w14:val="none"/>
        </w:rPr>
      </w:pPr>
    </w:p>
    <w:p w14:paraId="6517B474" w14:textId="77777777" w:rsidR="000968E6" w:rsidRPr="00307760" w:rsidRDefault="000968E6" w:rsidP="00691E1F">
      <w:pPr>
        <w:spacing w:line="360" w:lineRule="auto"/>
        <w:jc w:val="both"/>
        <w:rPr>
          <w:rFonts w:ascii="Arial" w:eastAsia="Times New Roman" w:hAnsi="Arial" w:cs="Arial"/>
          <w:b/>
          <w:bCs/>
          <w:kern w:val="0"/>
          <w:lang w:val="en-US" w:eastAsia="en-GB"/>
          <w14:ligatures w14:val="none"/>
        </w:rPr>
      </w:pPr>
      <w:r w:rsidRPr="00307760">
        <w:rPr>
          <w:rFonts w:ascii="Arial" w:eastAsia="Times New Roman" w:hAnsi="Arial" w:cs="Arial"/>
          <w:b/>
          <w:bCs/>
          <w:kern w:val="0"/>
          <w:lang w:val="en-US" w:eastAsia="en-GB"/>
          <w14:ligatures w14:val="none"/>
        </w:rPr>
        <w:t xml:space="preserve">BCR repertoire analysis </w:t>
      </w:r>
    </w:p>
    <w:p w14:paraId="5972B662" w14:textId="36AD96FB" w:rsidR="000968E6" w:rsidRPr="00307760" w:rsidRDefault="000968E6" w:rsidP="2407F34E">
      <w:p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t>We evaluated a range of machine learning models, including logistic regression (LR) and support vector machines (SVM), applied to multiple BCR repertoire encodings implemented in ImmuneML. These encodings employed gene usage features, k-mer based sequence representations and reference-matching approaches.</w:t>
      </w:r>
    </w:p>
    <w:p w14:paraId="20CBAB30" w14:textId="77777777" w:rsidR="000968E6" w:rsidRPr="00307760" w:rsidRDefault="000968E6" w:rsidP="00691E1F">
      <w:pPr>
        <w:spacing w:line="360" w:lineRule="auto"/>
        <w:jc w:val="both"/>
        <w:rPr>
          <w:rFonts w:ascii="Arial" w:eastAsia="Times New Roman" w:hAnsi="Arial" w:cs="Arial"/>
          <w:b/>
          <w:bCs/>
          <w:kern w:val="0"/>
          <w:lang w:val="en-NO" w:eastAsia="en-GB"/>
          <w14:ligatures w14:val="none"/>
        </w:rPr>
      </w:pPr>
    </w:p>
    <w:p w14:paraId="40732542" w14:textId="77777777" w:rsidR="000968E6" w:rsidRPr="00307760" w:rsidRDefault="000968E6" w:rsidP="00691E1F">
      <w:pPr>
        <w:spacing w:line="360" w:lineRule="auto"/>
        <w:jc w:val="both"/>
        <w:rPr>
          <w:rFonts w:ascii="Arial" w:eastAsia="Times New Roman" w:hAnsi="Arial" w:cs="Arial"/>
          <w:i/>
          <w:iCs/>
          <w:kern w:val="0"/>
          <w:lang w:val="en-NO" w:eastAsia="en-GB"/>
          <w14:ligatures w14:val="none"/>
        </w:rPr>
      </w:pPr>
      <w:r w:rsidRPr="00307760">
        <w:rPr>
          <w:rFonts w:ascii="Arial" w:eastAsia="Times New Roman" w:hAnsi="Arial" w:cs="Arial"/>
          <w:i/>
          <w:iCs/>
          <w:kern w:val="0"/>
          <w:lang w:val="en-NO" w:eastAsia="en-GB"/>
          <w14:ligatures w14:val="none"/>
        </w:rPr>
        <w:t>BCR dataset 1</w:t>
      </w:r>
    </w:p>
    <w:p w14:paraId="1C692022" w14:textId="4EB1812B" w:rsidR="000968E6" w:rsidRPr="00307760" w:rsidRDefault="000968E6" w:rsidP="00691E1F">
      <w:pPr>
        <w:spacing w:line="360" w:lineRule="auto"/>
        <w:jc w:val="both"/>
        <w:rPr>
          <w:rFonts w:ascii="Arial" w:eastAsia="Times New Roman" w:hAnsi="Arial" w:cs="Arial"/>
          <w:kern w:val="0"/>
          <w:lang w:val="en-NO" w:eastAsia="en-GB"/>
          <w14:ligatures w14:val="none"/>
        </w:rPr>
      </w:pPr>
      <w:r w:rsidRPr="00307760">
        <w:rPr>
          <w:rFonts w:ascii="Arial" w:eastAsia="Times New Roman" w:hAnsi="Arial" w:cs="Arial"/>
          <w:kern w:val="0"/>
          <w:lang w:val="en-NO" w:eastAsia="en-GB"/>
          <w14:ligatures w14:val="none"/>
        </w:rPr>
        <w:t xml:space="preserve">Reference sequence-based encodings: each repertoire was represented by its similarity to a predefined set of reference BCR sequences. A sequence was considered a match if it shared V- and J-gene assignments and a CDR3 amino acid </w:t>
      </w:r>
      <w:r w:rsidRPr="00307760">
        <w:rPr>
          <w:rFonts w:ascii="Arial" w:eastAsia="Times New Roman" w:hAnsi="Arial" w:cs="Arial"/>
          <w:kern w:val="0"/>
          <w:lang w:val="en-NO" w:eastAsia="en-GB"/>
          <w14:ligatures w14:val="none"/>
        </w:rPr>
        <w:lastRenderedPageBreak/>
        <w:t xml:space="preserve">sequence matching the reference sequence, allowing for up to one amino acid mismatch to account for somatic hypermutation. </w:t>
      </w:r>
    </w:p>
    <w:p w14:paraId="080272F3" w14:textId="77777777" w:rsidR="000968E6" w:rsidRPr="00307760" w:rsidRDefault="000968E6" w:rsidP="00691E1F">
      <w:pPr>
        <w:spacing w:line="360" w:lineRule="auto"/>
        <w:jc w:val="both"/>
        <w:rPr>
          <w:rFonts w:ascii="Arial" w:eastAsia="Times New Roman" w:hAnsi="Arial" w:cs="Arial"/>
          <w:kern w:val="0"/>
          <w:lang w:val="en-NO" w:eastAsia="en-GB"/>
          <w14:ligatures w14:val="none"/>
        </w:rPr>
      </w:pPr>
      <w:r w:rsidRPr="00307760">
        <w:rPr>
          <w:rFonts w:ascii="Arial" w:eastAsia="Times New Roman" w:hAnsi="Arial" w:cs="Arial"/>
          <w:kern w:val="0"/>
          <w:lang w:val="en-NO" w:eastAsia="en-GB"/>
          <w14:ligatures w14:val="none"/>
        </w:rPr>
        <w:t>Gene frequency encodings: based on the relative usage of V genes across each repertoire.</w:t>
      </w:r>
    </w:p>
    <w:p w14:paraId="61008966" w14:textId="77777777" w:rsidR="000968E6" w:rsidRPr="00307760" w:rsidRDefault="000968E6" w:rsidP="2407F34E">
      <w:p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t>Position-aware k-mer encodings: derived from CDR3 amino acid sequences, including 3-mers indexed with IMGT positional information and V-gene context, enabling joint modeling of local sequence structure and germline gene usage.</w:t>
      </w:r>
    </w:p>
    <w:p w14:paraId="6CA405F0" w14:textId="77777777" w:rsidR="000968E6" w:rsidRPr="00307760" w:rsidRDefault="000968E6" w:rsidP="2407F34E">
      <w:p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t xml:space="preserve">Gene frequency and k-mer </w:t>
      </w:r>
      <w:proofErr w:type="gramStart"/>
      <w:r w:rsidRPr="00307760">
        <w:rPr>
          <w:rFonts w:ascii="Arial" w:eastAsia="Times New Roman" w:hAnsi="Arial" w:cs="Arial"/>
          <w:kern w:val="0"/>
          <w:lang w:val="en-US" w:eastAsia="en-GB"/>
          <w14:ligatures w14:val="none"/>
        </w:rPr>
        <w:t>encoding:</w:t>
      </w:r>
      <w:proofErr w:type="gramEnd"/>
      <w:r w:rsidRPr="00307760">
        <w:rPr>
          <w:rFonts w:ascii="Arial" w:eastAsia="Times New Roman" w:hAnsi="Arial" w:cs="Arial"/>
          <w:kern w:val="0"/>
          <w:lang w:val="en-US" w:eastAsia="en-GB"/>
          <w14:ligatures w14:val="none"/>
        </w:rPr>
        <w:t xml:space="preserve"> combining k-mer features and V-gene frequencies, allowing simultaneous modeling of sequence-level motifs and gene-level effects within a unified feature space.</w:t>
      </w:r>
    </w:p>
    <w:p w14:paraId="6B84BA00" w14:textId="77777777" w:rsidR="000968E6" w:rsidRPr="00307760" w:rsidRDefault="000968E6" w:rsidP="00691E1F">
      <w:pPr>
        <w:spacing w:line="360" w:lineRule="auto"/>
        <w:jc w:val="both"/>
        <w:rPr>
          <w:rFonts w:ascii="Arial" w:eastAsia="Times New Roman" w:hAnsi="Arial" w:cs="Arial"/>
          <w:kern w:val="0"/>
          <w:lang w:val="en-NO" w:eastAsia="en-GB"/>
          <w14:ligatures w14:val="none"/>
        </w:rPr>
      </w:pPr>
    </w:p>
    <w:p w14:paraId="5DE08EE7" w14:textId="77777777" w:rsidR="000968E6" w:rsidRPr="00307760" w:rsidRDefault="000968E6" w:rsidP="00691E1F">
      <w:pPr>
        <w:spacing w:line="360" w:lineRule="auto"/>
        <w:jc w:val="both"/>
        <w:rPr>
          <w:rFonts w:ascii="Arial" w:eastAsia="Times New Roman" w:hAnsi="Arial" w:cs="Arial"/>
          <w:i/>
          <w:iCs/>
          <w:kern w:val="0"/>
          <w:lang w:val="en-NO" w:eastAsia="en-GB"/>
          <w14:ligatures w14:val="none"/>
        </w:rPr>
      </w:pPr>
      <w:r w:rsidRPr="00307760">
        <w:rPr>
          <w:rFonts w:ascii="Arial" w:eastAsia="Times New Roman" w:hAnsi="Arial" w:cs="Arial"/>
          <w:i/>
          <w:iCs/>
          <w:kern w:val="0"/>
          <w:lang w:val="en-NO" w:eastAsia="en-GB"/>
          <w14:ligatures w14:val="none"/>
        </w:rPr>
        <w:t>BCR dataset 2</w:t>
      </w:r>
    </w:p>
    <w:p w14:paraId="0AD72C55" w14:textId="77777777" w:rsidR="000968E6" w:rsidRPr="00307760" w:rsidRDefault="000968E6" w:rsidP="2407F34E">
      <w:p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t xml:space="preserve">B cell receptor repertoires were encoded using V-gene–conditioned k-mer frequency representations derived from CDR3 amino acid sequences. Two feature sets were constructed using k = 3 and k = 4, which integrates local sequence composition with V-gene identity. Additionally, V- and J-gene frequency encodings were also used. </w:t>
      </w:r>
    </w:p>
    <w:p w14:paraId="7BCC6861" w14:textId="77777777" w:rsidR="000968E6" w:rsidRPr="00307760" w:rsidRDefault="000968E6" w:rsidP="2407F34E">
      <w:pPr>
        <w:spacing w:line="360" w:lineRule="auto"/>
        <w:jc w:val="both"/>
        <w:rPr>
          <w:rFonts w:ascii="Arial" w:eastAsia="Times New Roman" w:hAnsi="Arial" w:cs="Arial"/>
          <w:kern w:val="0"/>
          <w:lang w:val="en-US" w:eastAsia="en-GB"/>
          <w14:ligatures w14:val="none"/>
        </w:rPr>
      </w:pPr>
      <w:r w:rsidRPr="00307760">
        <w:rPr>
          <w:rFonts w:ascii="Arial" w:eastAsia="Times New Roman" w:hAnsi="Arial" w:cs="Arial"/>
          <w:kern w:val="0"/>
          <w:lang w:val="en-US" w:eastAsia="en-GB"/>
          <w14:ligatures w14:val="none"/>
        </w:rPr>
        <w:t xml:space="preserve">Support vector machines and logistic regression models were trained on each encoding variant. Repertoires were filtered to IMGT CDR3 amino acid sequences with a minimum length of five amino acids, and only productive sequences were retained. </w:t>
      </w:r>
    </w:p>
    <w:p w14:paraId="6BCD5795" w14:textId="77777777" w:rsidR="000968E6" w:rsidRPr="00307760" w:rsidRDefault="000968E6" w:rsidP="00691E1F">
      <w:pPr>
        <w:spacing w:line="360" w:lineRule="auto"/>
        <w:jc w:val="both"/>
        <w:rPr>
          <w:rFonts w:ascii="Arial" w:hAnsi="Arial" w:cs="Arial"/>
          <w:b/>
          <w:bCs/>
          <w:lang w:val="en-US"/>
        </w:rPr>
      </w:pPr>
    </w:p>
    <w:p w14:paraId="3FA5E331" w14:textId="77777777" w:rsidR="000968E6" w:rsidRPr="00307760" w:rsidRDefault="000968E6" w:rsidP="00691E1F">
      <w:pPr>
        <w:spacing w:line="360" w:lineRule="auto"/>
        <w:jc w:val="both"/>
        <w:rPr>
          <w:rFonts w:ascii="Arial" w:hAnsi="Arial" w:cs="Arial"/>
          <w:b/>
          <w:bCs/>
          <w:lang w:val="en-US"/>
        </w:rPr>
      </w:pPr>
      <w:r w:rsidRPr="00307760">
        <w:rPr>
          <w:rFonts w:ascii="Arial" w:hAnsi="Arial" w:cs="Arial"/>
          <w:b/>
          <w:bCs/>
          <w:lang w:val="en-US"/>
        </w:rPr>
        <w:t>Cross validation</w:t>
      </w:r>
    </w:p>
    <w:p w14:paraId="5A09B693" w14:textId="78DACFE9" w:rsidR="000968E6" w:rsidRPr="00307760" w:rsidRDefault="000968E6" w:rsidP="00691E1F">
      <w:pPr>
        <w:spacing w:line="360" w:lineRule="auto"/>
        <w:jc w:val="both"/>
        <w:rPr>
          <w:rFonts w:ascii="Arial" w:hAnsi="Arial" w:cs="Arial"/>
          <w:lang w:val="en-US"/>
        </w:rPr>
      </w:pPr>
      <w:r w:rsidRPr="00307760">
        <w:rPr>
          <w:rFonts w:ascii="Arial" w:hAnsi="Arial" w:cs="Arial"/>
          <w:lang w:val="en-US"/>
        </w:rPr>
        <w:t xml:space="preserve">To evaluate performance, datasets were separated into training, validation and independent test subsets. </w:t>
      </w:r>
      <w:r w:rsidR="00C83F8F" w:rsidRPr="00307760">
        <w:rPr>
          <w:rFonts w:ascii="Arial" w:hAnsi="Arial" w:cs="Arial"/>
          <w:lang w:val="en-US"/>
        </w:rPr>
        <w:t>Either t</w:t>
      </w:r>
      <w:r w:rsidRPr="00307760">
        <w:rPr>
          <w:rFonts w:ascii="Arial" w:hAnsi="Arial" w:cs="Arial"/>
          <w:lang w:val="en-US"/>
        </w:rPr>
        <w:t>hree</w:t>
      </w:r>
      <w:r w:rsidR="00C83F8F" w:rsidRPr="00307760">
        <w:rPr>
          <w:rFonts w:ascii="Arial" w:hAnsi="Arial" w:cs="Arial"/>
          <w:lang w:val="en-US"/>
        </w:rPr>
        <w:t xml:space="preserve"> or </w:t>
      </w:r>
      <w:r w:rsidR="00740D34" w:rsidRPr="00307760">
        <w:rPr>
          <w:rFonts w:ascii="Arial" w:hAnsi="Arial" w:cs="Arial"/>
          <w:lang w:val="en-US"/>
        </w:rPr>
        <w:t>five</w:t>
      </w:r>
      <w:r w:rsidRPr="00307760">
        <w:rPr>
          <w:rFonts w:ascii="Arial" w:hAnsi="Arial" w:cs="Arial"/>
          <w:lang w:val="en-US"/>
        </w:rPr>
        <w:t>-fold cross-validation was performed to test how well the models generalized by training the models on the training split, choosing model hyper-parameters on the validation split and getting an unbiased performance estimate of each model on the assessment split.</w:t>
      </w:r>
    </w:p>
    <w:p w14:paraId="7539C430" w14:textId="77777777" w:rsidR="00B039C4" w:rsidRPr="00307760" w:rsidRDefault="00B039C4" w:rsidP="00691E1F">
      <w:pPr>
        <w:spacing w:line="360" w:lineRule="auto"/>
        <w:jc w:val="both"/>
        <w:rPr>
          <w:rFonts w:ascii="Arial" w:hAnsi="Arial" w:cs="Arial"/>
          <w:lang w:val="en-US"/>
        </w:rPr>
      </w:pPr>
    </w:p>
    <w:p w14:paraId="0C48504C" w14:textId="11A6166C" w:rsidR="00B039C4" w:rsidRPr="00307760" w:rsidRDefault="00B039C4" w:rsidP="00691E1F">
      <w:pPr>
        <w:spacing w:line="360" w:lineRule="auto"/>
        <w:jc w:val="both"/>
        <w:rPr>
          <w:rFonts w:ascii="Arial" w:hAnsi="Arial" w:cs="Arial"/>
          <w:b/>
          <w:bCs/>
          <w:lang w:val="en-US"/>
        </w:rPr>
      </w:pPr>
      <w:r w:rsidRPr="00307760">
        <w:rPr>
          <w:rFonts w:ascii="Arial" w:hAnsi="Arial" w:cs="Arial"/>
          <w:b/>
          <w:bCs/>
          <w:lang w:val="en-US"/>
        </w:rPr>
        <w:t xml:space="preserve">Supplementary </w:t>
      </w:r>
      <w:r w:rsidR="00665754" w:rsidRPr="00307760">
        <w:rPr>
          <w:rFonts w:ascii="Arial" w:hAnsi="Arial" w:cs="Arial"/>
          <w:b/>
          <w:bCs/>
          <w:lang w:val="en-US"/>
        </w:rPr>
        <w:t>m</w:t>
      </w:r>
      <w:r w:rsidRPr="00307760">
        <w:rPr>
          <w:rFonts w:ascii="Arial" w:hAnsi="Arial" w:cs="Arial"/>
          <w:b/>
          <w:bCs/>
          <w:lang w:val="en-US"/>
        </w:rPr>
        <w:t xml:space="preserve">aterials &amp; </w:t>
      </w:r>
      <w:r w:rsidR="00665754" w:rsidRPr="00307760">
        <w:rPr>
          <w:rFonts w:ascii="Arial" w:hAnsi="Arial" w:cs="Arial"/>
          <w:b/>
          <w:bCs/>
          <w:lang w:val="en-US"/>
        </w:rPr>
        <w:t>m</w:t>
      </w:r>
      <w:r w:rsidRPr="00307760">
        <w:rPr>
          <w:rFonts w:ascii="Arial" w:hAnsi="Arial" w:cs="Arial"/>
          <w:b/>
          <w:bCs/>
          <w:lang w:val="en-US"/>
        </w:rPr>
        <w:t xml:space="preserve">ethods </w:t>
      </w:r>
      <w:r w:rsidR="00665754" w:rsidRPr="00307760">
        <w:rPr>
          <w:rFonts w:ascii="Arial" w:hAnsi="Arial" w:cs="Arial"/>
          <w:b/>
          <w:bCs/>
          <w:lang w:val="en-US"/>
        </w:rPr>
        <w:t>r</w:t>
      </w:r>
      <w:r w:rsidRPr="00307760">
        <w:rPr>
          <w:rFonts w:ascii="Arial" w:hAnsi="Arial" w:cs="Arial"/>
          <w:b/>
          <w:bCs/>
          <w:lang w:val="en-US"/>
        </w:rPr>
        <w:t>eferences</w:t>
      </w:r>
    </w:p>
    <w:p w14:paraId="6DE970B2" w14:textId="77777777" w:rsidR="000077BD" w:rsidRPr="00307760" w:rsidRDefault="000077BD" w:rsidP="000077BD">
      <w:pPr>
        <w:pStyle w:val="Bibliography"/>
        <w:rPr>
          <w:rFonts w:ascii="Arial" w:hAnsi="Arial" w:cs="Arial"/>
        </w:rPr>
      </w:pPr>
      <w:r w:rsidRPr="00307760">
        <w:rPr>
          <w:rFonts w:ascii="Arial" w:hAnsi="Arial" w:cs="Arial"/>
          <w:lang w:val="en-US"/>
        </w:rPr>
        <w:fldChar w:fldCharType="begin"/>
      </w:r>
      <w:r w:rsidRPr="00307760">
        <w:rPr>
          <w:rFonts w:ascii="Arial" w:hAnsi="Arial" w:cs="Arial"/>
          <w:lang w:val="en-US"/>
        </w:rPr>
        <w:instrText xml:space="preserve"> ADDIN ZOTERO_BIBL {"uncited":[],"omitted":[],"custom":[]} CSL_BIBLIOGRAPHY </w:instrText>
      </w:r>
      <w:r w:rsidRPr="00307760">
        <w:rPr>
          <w:rFonts w:ascii="Arial" w:hAnsi="Arial" w:cs="Arial"/>
          <w:lang w:val="en-US"/>
        </w:rPr>
        <w:fldChar w:fldCharType="separate"/>
      </w:r>
      <w:r w:rsidRPr="00307760">
        <w:rPr>
          <w:rFonts w:ascii="Arial" w:hAnsi="Arial" w:cs="Arial"/>
        </w:rPr>
        <w:t xml:space="preserve">De Bin, R., Boulesteix, A.-L., Benner, A., Becker, N., &amp; Sauerbrei, W. (2020). Combining clinical and molecular data in regression prediction models: Insights from a simulation study. </w:t>
      </w:r>
      <w:r w:rsidRPr="00307760">
        <w:rPr>
          <w:rFonts w:ascii="Arial" w:hAnsi="Arial" w:cs="Arial"/>
          <w:i/>
          <w:iCs/>
        </w:rPr>
        <w:t>Briefings in Bioinformatics</w:t>
      </w:r>
      <w:r w:rsidRPr="00307760">
        <w:rPr>
          <w:rFonts w:ascii="Arial" w:hAnsi="Arial" w:cs="Arial"/>
        </w:rPr>
        <w:t xml:space="preserve">, </w:t>
      </w:r>
      <w:r w:rsidRPr="00307760">
        <w:rPr>
          <w:rFonts w:ascii="Arial" w:hAnsi="Arial" w:cs="Arial"/>
          <w:i/>
          <w:iCs/>
        </w:rPr>
        <w:t>21</w:t>
      </w:r>
      <w:r w:rsidRPr="00307760">
        <w:rPr>
          <w:rFonts w:ascii="Arial" w:hAnsi="Arial" w:cs="Arial"/>
        </w:rPr>
        <w:t>(6), 1904–1919. https://doi.org/10.1093/bib/bbz136</w:t>
      </w:r>
    </w:p>
    <w:p w14:paraId="2F955DB1" w14:textId="77777777" w:rsidR="000077BD" w:rsidRPr="00307760" w:rsidRDefault="000077BD" w:rsidP="000077BD">
      <w:pPr>
        <w:pStyle w:val="Bibliography"/>
        <w:rPr>
          <w:rFonts w:ascii="Arial" w:hAnsi="Arial" w:cs="Arial"/>
        </w:rPr>
      </w:pPr>
      <w:r w:rsidRPr="00307760">
        <w:rPr>
          <w:rFonts w:ascii="Arial" w:hAnsi="Arial" w:cs="Arial"/>
        </w:rPr>
        <w:lastRenderedPageBreak/>
        <w:t xml:space="preserve">Emerson, R. O., DeWitt, W. S., Vignali, M., Gravley, J., Hu, J. K., Osborne, E. J., Desmarais, C., Klinger, M., Carlson, C. S., Hansen, J. A., Rieder, M., &amp; Robins, H. S. (2017). Immunosequencing identifies signatures of cytomegalovirus exposure history and HLA-mediated effects on the T cell repertoire. </w:t>
      </w:r>
      <w:r w:rsidRPr="00307760">
        <w:rPr>
          <w:rFonts w:ascii="Arial" w:hAnsi="Arial" w:cs="Arial"/>
          <w:i/>
          <w:iCs/>
        </w:rPr>
        <w:t>Nature Genetics</w:t>
      </w:r>
      <w:r w:rsidRPr="00307760">
        <w:rPr>
          <w:rFonts w:ascii="Arial" w:hAnsi="Arial" w:cs="Arial"/>
        </w:rPr>
        <w:t xml:space="preserve">, </w:t>
      </w:r>
      <w:r w:rsidRPr="00307760">
        <w:rPr>
          <w:rFonts w:ascii="Arial" w:hAnsi="Arial" w:cs="Arial"/>
          <w:i/>
          <w:iCs/>
        </w:rPr>
        <w:t>49</w:t>
      </w:r>
      <w:r w:rsidRPr="00307760">
        <w:rPr>
          <w:rFonts w:ascii="Arial" w:hAnsi="Arial" w:cs="Arial"/>
        </w:rPr>
        <w:t>(5), 659–665. https://doi.org/10.1038/ng.3822</w:t>
      </w:r>
    </w:p>
    <w:p w14:paraId="103820E7" w14:textId="77777777" w:rsidR="000077BD" w:rsidRPr="00307760" w:rsidRDefault="000077BD" w:rsidP="000077BD">
      <w:pPr>
        <w:pStyle w:val="Bibliography"/>
        <w:rPr>
          <w:rFonts w:ascii="Arial" w:hAnsi="Arial" w:cs="Arial"/>
        </w:rPr>
      </w:pPr>
      <w:r w:rsidRPr="00307760">
        <w:rPr>
          <w:rFonts w:ascii="Arial" w:hAnsi="Arial" w:cs="Arial"/>
        </w:rPr>
        <w:t xml:space="preserve">Rognes, T., Scheffer, L., Greiff, V., &amp; Sandve, G. K. (2022). CompAIRR: Ultra-fast comparison of adaptive immune receptor repertoires by exact and approximate sequence matching. </w:t>
      </w:r>
      <w:r w:rsidRPr="00307760">
        <w:rPr>
          <w:rFonts w:ascii="Arial" w:hAnsi="Arial" w:cs="Arial"/>
          <w:i/>
          <w:iCs/>
        </w:rPr>
        <w:t>Bioinformatics</w:t>
      </w:r>
      <w:r w:rsidRPr="00307760">
        <w:rPr>
          <w:rFonts w:ascii="Arial" w:hAnsi="Arial" w:cs="Arial"/>
        </w:rPr>
        <w:t xml:space="preserve">, </w:t>
      </w:r>
      <w:r w:rsidRPr="00307760">
        <w:rPr>
          <w:rFonts w:ascii="Arial" w:hAnsi="Arial" w:cs="Arial"/>
          <w:i/>
          <w:iCs/>
        </w:rPr>
        <w:t>38</w:t>
      </w:r>
      <w:r w:rsidRPr="00307760">
        <w:rPr>
          <w:rFonts w:ascii="Arial" w:hAnsi="Arial" w:cs="Arial"/>
        </w:rPr>
        <w:t>(17), 4230–4232. https://doi.org/10.1093/bioinformatics/btac505</w:t>
      </w:r>
    </w:p>
    <w:p w14:paraId="50460F81" w14:textId="5452E9FA" w:rsidR="00B039C4" w:rsidRPr="00307760" w:rsidRDefault="000077BD" w:rsidP="00691E1F">
      <w:pPr>
        <w:spacing w:line="360" w:lineRule="auto"/>
        <w:jc w:val="both"/>
        <w:rPr>
          <w:rFonts w:ascii="Arial" w:hAnsi="Arial" w:cs="Arial"/>
          <w:lang w:val="en-US"/>
        </w:rPr>
      </w:pPr>
      <w:r w:rsidRPr="00307760">
        <w:rPr>
          <w:rFonts w:ascii="Arial" w:hAnsi="Arial" w:cs="Arial"/>
          <w:lang w:val="en-US"/>
        </w:rPr>
        <w:fldChar w:fldCharType="end"/>
      </w:r>
    </w:p>
    <w:p w14:paraId="623A99F7" w14:textId="77777777" w:rsidR="000968E6" w:rsidRPr="00307760" w:rsidRDefault="000968E6" w:rsidP="00691E1F">
      <w:pPr>
        <w:jc w:val="both"/>
        <w:rPr>
          <w:b/>
          <w:bCs/>
        </w:rPr>
      </w:pPr>
    </w:p>
    <w:sectPr w:rsidR="000968E6" w:rsidRPr="003077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66214"/>
    <w:multiLevelType w:val="multilevel"/>
    <w:tmpl w:val="EBE8A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B93CFF"/>
    <w:multiLevelType w:val="multilevel"/>
    <w:tmpl w:val="9600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441C68"/>
    <w:multiLevelType w:val="multilevel"/>
    <w:tmpl w:val="FC9CB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9116379">
    <w:abstractNumId w:val="1"/>
  </w:num>
  <w:num w:numId="2" w16cid:durableId="1804032162">
    <w:abstractNumId w:val="2"/>
  </w:num>
  <w:num w:numId="3" w16cid:durableId="10857642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8E6"/>
    <w:rsid w:val="000077BD"/>
    <w:rsid w:val="00090256"/>
    <w:rsid w:val="000968E6"/>
    <w:rsid w:val="00110FA1"/>
    <w:rsid w:val="001A6C12"/>
    <w:rsid w:val="001F2F20"/>
    <w:rsid w:val="002B1B00"/>
    <w:rsid w:val="00307760"/>
    <w:rsid w:val="00474C46"/>
    <w:rsid w:val="0049603C"/>
    <w:rsid w:val="004A7A04"/>
    <w:rsid w:val="005360DA"/>
    <w:rsid w:val="00665754"/>
    <w:rsid w:val="00691E1F"/>
    <w:rsid w:val="007369A8"/>
    <w:rsid w:val="00740D34"/>
    <w:rsid w:val="00743460"/>
    <w:rsid w:val="008C3E8D"/>
    <w:rsid w:val="008F7BEA"/>
    <w:rsid w:val="009615E2"/>
    <w:rsid w:val="009B3250"/>
    <w:rsid w:val="00B039C4"/>
    <w:rsid w:val="00BE60FB"/>
    <w:rsid w:val="00BE63CE"/>
    <w:rsid w:val="00C83F8F"/>
    <w:rsid w:val="00CC56AD"/>
    <w:rsid w:val="00CF0BB0"/>
    <w:rsid w:val="00EB5654"/>
    <w:rsid w:val="2407F34E"/>
    <w:rsid w:val="2EAF14E3"/>
    <w:rsid w:val="700CC6C7"/>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15358398"/>
  <w15:chartTrackingRefBased/>
  <w15:docId w15:val="{4F490C83-A9FF-3A4B-8E94-7C3E85F64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0968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68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68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68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68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68E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68E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68E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68E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8E6"/>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0968E6"/>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0968E6"/>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0968E6"/>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0968E6"/>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0968E6"/>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968E6"/>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968E6"/>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968E6"/>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968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8E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968E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68E6"/>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968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968E6"/>
    <w:rPr>
      <w:i/>
      <w:iCs/>
      <w:color w:val="404040" w:themeColor="text1" w:themeTint="BF"/>
      <w:lang w:val="en-GB"/>
    </w:rPr>
  </w:style>
  <w:style w:type="paragraph" w:styleId="ListParagraph">
    <w:name w:val="List Paragraph"/>
    <w:basedOn w:val="Normal"/>
    <w:uiPriority w:val="34"/>
    <w:qFormat/>
    <w:rsid w:val="000968E6"/>
    <w:pPr>
      <w:ind w:left="720"/>
      <w:contextualSpacing/>
    </w:pPr>
  </w:style>
  <w:style w:type="character" w:styleId="IntenseEmphasis">
    <w:name w:val="Intense Emphasis"/>
    <w:basedOn w:val="DefaultParagraphFont"/>
    <w:uiPriority w:val="21"/>
    <w:qFormat/>
    <w:rsid w:val="000968E6"/>
    <w:rPr>
      <w:i/>
      <w:iCs/>
      <w:color w:val="0F4761" w:themeColor="accent1" w:themeShade="BF"/>
    </w:rPr>
  </w:style>
  <w:style w:type="paragraph" w:styleId="IntenseQuote">
    <w:name w:val="Intense Quote"/>
    <w:basedOn w:val="Normal"/>
    <w:next w:val="Normal"/>
    <w:link w:val="IntenseQuoteChar"/>
    <w:uiPriority w:val="30"/>
    <w:qFormat/>
    <w:rsid w:val="000968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68E6"/>
    <w:rPr>
      <w:i/>
      <w:iCs/>
      <w:color w:val="0F4761" w:themeColor="accent1" w:themeShade="BF"/>
      <w:lang w:val="en-GB"/>
    </w:rPr>
  </w:style>
  <w:style w:type="character" w:styleId="IntenseReference">
    <w:name w:val="Intense Reference"/>
    <w:basedOn w:val="DefaultParagraphFont"/>
    <w:uiPriority w:val="32"/>
    <w:qFormat/>
    <w:rsid w:val="000968E6"/>
    <w:rPr>
      <w:b/>
      <w:bCs/>
      <w:smallCaps/>
      <w:color w:val="0F4761" w:themeColor="accent1" w:themeShade="BF"/>
      <w:spacing w:val="5"/>
    </w:rPr>
  </w:style>
  <w:style w:type="paragraph" w:styleId="Bibliography">
    <w:name w:val="Bibliography"/>
    <w:basedOn w:val="Normal"/>
    <w:next w:val="Normal"/>
    <w:uiPriority w:val="37"/>
    <w:unhideWhenUsed/>
    <w:rsid w:val="000077BD"/>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2346</Words>
  <Characters>13376</Characters>
  <Application>Microsoft Office Word</Application>
  <DocSecurity>0</DocSecurity>
  <Lines>111</Lines>
  <Paragraphs>31</Paragraphs>
  <ScaleCrop>false</ScaleCrop>
  <Company/>
  <LinksUpToDate>false</LinksUpToDate>
  <CharactersWithSpaces>15691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Aengus Officer</dc:creator>
  <cp:keywords/>
  <dc:description/>
  <cp:lastModifiedBy>Aengus Officer</cp:lastModifiedBy>
  <cp:revision>2</cp:revision>
  <dcterms:created xsi:type="dcterms:W3CDTF">2026-08-11T12:03:00Z</dcterms:created>
  <dcterms:modified xsi:type="dcterms:W3CDTF">2026-08-11T12:03:00Z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id="XNhfK4YV"/&gt;&lt;style id="http://www.zotero.org/styles/apa" locale="en-US" hasBibliography="1" bibliographyStyleHasBeenSet="1"/&gt;&lt;prefs&gt;&lt;pref name="fieldType" value="Field"/&gt;&lt;/prefs&gt;&lt;/data&gt;</vt:lpwstr>
  </property>
</Properties>
</file>