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3AF491" w14:textId="7E05621C" w:rsidR="007369A8" w:rsidRDefault="4299F1EA" w:rsidP="00B95247">
      <w:pPr>
        <w:spacing w:line="360" w:lineRule="auto"/>
        <w:rPr>
          <w:rFonts w:ascii="Arial" w:hAnsi="Arial" w:cs="Arial"/>
          <w:b/>
          <w:bCs/>
        </w:rPr>
      </w:pPr>
      <w:r w:rsidRPr="5DE68AAD">
        <w:rPr>
          <w:rFonts w:ascii="Arial" w:hAnsi="Arial" w:cs="Arial"/>
          <w:b/>
          <w:bCs/>
        </w:rPr>
        <w:t xml:space="preserve">Supplementary </w:t>
      </w:r>
      <w:r w:rsidR="55DEED31" w:rsidRPr="5DE68AAD">
        <w:rPr>
          <w:rFonts w:ascii="Arial" w:hAnsi="Arial" w:cs="Arial"/>
          <w:b/>
          <w:bCs/>
        </w:rPr>
        <w:t>figures</w:t>
      </w:r>
    </w:p>
    <w:p w14:paraId="2C812CC6" w14:textId="77777777" w:rsidR="00B95247" w:rsidRDefault="00B95247" w:rsidP="00B95247">
      <w:pPr>
        <w:spacing w:line="360" w:lineRule="auto"/>
        <w:rPr>
          <w:rFonts w:ascii="Arial" w:hAnsi="Arial" w:cs="Arial"/>
          <w:b/>
          <w:bCs/>
        </w:rPr>
      </w:pPr>
    </w:p>
    <w:p w14:paraId="540778D6" w14:textId="0A11AB90" w:rsidR="19F60D35" w:rsidRDefault="19F60D35" w:rsidP="5DE68AAD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5DE68AAD">
        <w:rPr>
          <w:rFonts w:ascii="Arial" w:eastAsia="Arial" w:hAnsi="Arial" w:cs="Arial"/>
          <w:color w:val="000000" w:themeColor="text1"/>
          <w:lang w:val="en-US"/>
        </w:rPr>
        <w:t>Naïve adaptive immune receptor repertoires in celiac disease assessed by machine learning; Impact of the HLA-DQ2.5 allotype on the TCR repertoire</w:t>
      </w:r>
    </w:p>
    <w:p w14:paraId="33267174" w14:textId="329FC572" w:rsidR="5DE68AAD" w:rsidRDefault="5DE68AAD" w:rsidP="5DE68AAD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2B173FC" w14:textId="17ECC213" w:rsidR="19F60D35" w:rsidRDefault="19F60D35" w:rsidP="5DE68AAD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5DE68AAD">
        <w:rPr>
          <w:rFonts w:ascii="Arial" w:eastAsia="Arial" w:hAnsi="Arial" w:cs="Arial"/>
          <w:color w:val="000000" w:themeColor="text1"/>
          <w:lang w:val="en-US"/>
        </w:rPr>
        <w:t>Aengus Officer, Ida Lindeman, Milena Pavlovic, Christin Lund-Andersen, Eivind Ness-Jensen, Geir Kjetil Sandve, Ludvig M. Sollid</w:t>
      </w:r>
    </w:p>
    <w:p w14:paraId="530C0611" w14:textId="63AC22E9" w:rsidR="5DE68AAD" w:rsidRDefault="5DE68AAD" w:rsidP="5DE68AAD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0481AA1" w14:textId="0D3A5D85" w:rsidR="19F60D35" w:rsidRDefault="19F60D35" w:rsidP="5DE68AAD">
      <w:pPr>
        <w:spacing w:line="360" w:lineRule="auto"/>
        <w:jc w:val="center"/>
        <w:rPr>
          <w:rFonts w:ascii="Arial" w:eastAsia="Arial" w:hAnsi="Arial" w:cs="Arial"/>
          <w:color w:val="000000" w:themeColor="text1"/>
        </w:rPr>
      </w:pPr>
      <w:r w:rsidRPr="5DE68AAD">
        <w:rPr>
          <w:rFonts w:ascii="Arial" w:eastAsia="Arial" w:hAnsi="Arial" w:cs="Arial"/>
          <w:color w:val="000000" w:themeColor="text1"/>
          <w:lang w:val="en-US"/>
        </w:rPr>
        <w:t>##</w:t>
      </w:r>
    </w:p>
    <w:p w14:paraId="3BF157C8" w14:textId="5CC1BE27" w:rsidR="5DE68AAD" w:rsidRDefault="5DE68AAD" w:rsidP="5DE68AAD">
      <w:pPr>
        <w:rPr>
          <w:rFonts w:ascii="Arial" w:eastAsia="Arial" w:hAnsi="Arial" w:cs="Arial"/>
          <w:color w:val="000000" w:themeColor="text1"/>
        </w:rPr>
      </w:pPr>
    </w:p>
    <w:p w14:paraId="09B1A9BB" w14:textId="6303FCE0" w:rsidR="5DE68AAD" w:rsidRDefault="5DE68AAD" w:rsidP="5DE68AAD">
      <w:pPr>
        <w:spacing w:line="360" w:lineRule="auto"/>
        <w:rPr>
          <w:rFonts w:ascii="Arial" w:hAnsi="Arial" w:cs="Arial"/>
          <w:b/>
          <w:bCs/>
        </w:rPr>
      </w:pPr>
    </w:p>
    <w:p w14:paraId="6845C226" w14:textId="5D6FBC06" w:rsidR="00B95247" w:rsidRDefault="00B21F39" w:rsidP="00B95247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228D0FD8" wp14:editId="4B8915DD">
            <wp:extent cx="5731510" cy="4656406"/>
            <wp:effectExtent l="0" t="0" r="0" b="0"/>
            <wp:docPr id="1527694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94438" name="Picture 1527694438"/>
                    <pic:cNvPicPr/>
                  </pic:nvPicPr>
                  <pic:blipFill rotWithShape="1">
                    <a:blip r:embed="rId4"/>
                    <a:srcRect b="39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5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ABDCE" w14:textId="700ABBF1" w:rsidR="00B95247" w:rsidRDefault="00B95247" w:rsidP="00B95247">
      <w:pPr>
        <w:tabs>
          <w:tab w:val="left" w:pos="6641"/>
        </w:tabs>
        <w:spacing w:line="360" w:lineRule="auto"/>
        <w:jc w:val="both"/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</w:pPr>
      <w:r w:rsidRPr="00B95247">
        <w:rPr>
          <w:rFonts w:ascii="Arial" w:hAnsi="Arial" w:cs="Arial"/>
          <w:b/>
          <w:bCs/>
          <w:i/>
          <w:iCs/>
          <w:sz w:val="20"/>
          <w:szCs w:val="20"/>
        </w:rPr>
        <w:t>Supplementary figure 1</w:t>
      </w:r>
      <w:r w:rsidRPr="002F575B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 xml:space="preserve">. Diagnosis classification </w:t>
      </w:r>
      <w:r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>using BCR dataset 2</w:t>
      </w:r>
      <w:r w:rsidR="00D8397B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>b</w:t>
      </w:r>
      <w:r w:rsidRPr="002F575B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 xml:space="preserve">. (A) 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Balanced accuracy</w:t>
      </w:r>
      <w:r w:rsidRPr="002F575B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and </w:t>
      </w:r>
      <w:r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 xml:space="preserve">(B) 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AUROC</w:t>
      </w:r>
      <w:r w:rsidRPr="002F575B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diagnosis classification performance using 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the raw subset of BCR dataset 2</w:t>
      </w:r>
      <w:r w:rsidR="00D8397B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b</w:t>
      </w:r>
      <w:r w:rsidRPr="002F575B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for the three </w:t>
      </w:r>
      <w:r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assessment test sets. </w:t>
      </w:r>
      <w:r w:rsidR="00211291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VJ freq</w:t>
      </w:r>
      <w:r w:rsidR="00F32CC7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uency</w:t>
      </w:r>
      <w:r w:rsidR="00A01457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-</w:t>
      </w:r>
      <w:r w:rsidR="00F32CC7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based models were either normalized to a relative frequency or measured as</w:t>
      </w:r>
      <w:r w:rsidR="0032740A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</w:t>
      </w:r>
      <w:r w:rsidR="00A01457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absolute</w:t>
      </w:r>
      <w:r w:rsidR="0032740A"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counts. </w:t>
      </w:r>
      <w:r w:rsidRPr="00B21F39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Individual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datapoints represent the respective scores for each assessment split, bars represent the mean of the three splits ± one standard </w:t>
      </w:r>
      <w:proofErr w:type="gramStart"/>
      <w:r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deviation</w:t>
      </w:r>
      <w:proofErr w:type="gramEnd"/>
      <w:r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.</w:t>
      </w:r>
    </w:p>
    <w:p w14:paraId="18EB640D" w14:textId="77777777" w:rsidR="005E52F8" w:rsidRDefault="005E52F8" w:rsidP="00B95247">
      <w:pPr>
        <w:tabs>
          <w:tab w:val="left" w:pos="6641"/>
        </w:tabs>
        <w:spacing w:line="360" w:lineRule="auto"/>
        <w:jc w:val="both"/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</w:pPr>
    </w:p>
    <w:p w14:paraId="32B6A4DD" w14:textId="125BAE6E" w:rsidR="00AC50B3" w:rsidRPr="00AC50B3" w:rsidRDefault="6488AB6D" w:rsidP="5DE68AAD">
      <w:pPr>
        <w:tabs>
          <w:tab w:val="left" w:pos="6641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5DE68AAD">
        <w:rPr>
          <w:rFonts w:ascii="Arial" w:hAnsi="Arial" w:cs="Arial"/>
          <w:b/>
          <w:bCs/>
        </w:rPr>
        <w:lastRenderedPageBreak/>
        <w:t>A</w:t>
      </w:r>
      <w:r w:rsidRPr="5DE68AA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3DF70A1" w14:textId="4E693BBD" w:rsidR="00AC50B3" w:rsidRPr="00AC50B3" w:rsidRDefault="00AC50B3" w:rsidP="00AC50B3">
      <w:pPr>
        <w:jc w:val="center"/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sz w:val="20"/>
          <w:szCs w:val="20"/>
        </w:rPr>
        <w:t xml:space="preserve">Distribution of CeD individuals in </w:t>
      </w:r>
      <w:r w:rsidR="00D2469B">
        <w:rPr>
          <w:rFonts w:ascii="Arial" w:hAnsi="Arial" w:cs="Arial"/>
          <w:sz w:val="20"/>
          <w:szCs w:val="20"/>
        </w:rPr>
        <w:t xml:space="preserve">TCR </w:t>
      </w:r>
      <w:r w:rsidRPr="00AC50B3">
        <w:rPr>
          <w:rFonts w:ascii="Arial" w:hAnsi="Arial" w:cs="Arial"/>
          <w:sz w:val="20"/>
          <w:szCs w:val="20"/>
        </w:rPr>
        <w:t>analysis (1) by HLA label</w:t>
      </w:r>
    </w:p>
    <w:p w14:paraId="4DF088C2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87AA690" wp14:editId="2454BE8D">
            <wp:extent cx="5731510" cy="988060"/>
            <wp:effectExtent l="0" t="0" r="0" b="2540"/>
            <wp:docPr id="1325195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19510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6421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</w:p>
    <w:p w14:paraId="72FCFDCF" w14:textId="77777777" w:rsidR="00AC50B3" w:rsidRPr="00AC50B3" w:rsidRDefault="00AC50B3" w:rsidP="00AC50B3">
      <w:pPr>
        <w:rPr>
          <w:rFonts w:ascii="Arial" w:hAnsi="Arial" w:cs="Arial"/>
          <w:b/>
          <w:bCs/>
          <w:sz w:val="22"/>
          <w:szCs w:val="22"/>
        </w:rPr>
      </w:pPr>
      <w:r w:rsidRPr="00AC50B3">
        <w:rPr>
          <w:rFonts w:ascii="Arial" w:hAnsi="Arial" w:cs="Arial"/>
          <w:b/>
          <w:bCs/>
        </w:rPr>
        <w:t>B</w:t>
      </w:r>
      <w:r w:rsidRPr="00AC50B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EA1D466" w14:textId="2715F0D3" w:rsidR="00AC50B3" w:rsidRPr="00AC50B3" w:rsidRDefault="00AC50B3" w:rsidP="00AC50B3">
      <w:pPr>
        <w:jc w:val="center"/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sz w:val="20"/>
          <w:szCs w:val="20"/>
        </w:rPr>
        <w:t xml:space="preserve">Distribution of HC individuals in </w:t>
      </w:r>
      <w:r w:rsidR="00D2469B">
        <w:rPr>
          <w:rFonts w:ascii="Arial" w:hAnsi="Arial" w:cs="Arial"/>
          <w:sz w:val="20"/>
          <w:szCs w:val="20"/>
        </w:rPr>
        <w:t xml:space="preserve">TCR </w:t>
      </w:r>
      <w:r w:rsidRPr="00AC50B3">
        <w:rPr>
          <w:rFonts w:ascii="Arial" w:hAnsi="Arial" w:cs="Arial"/>
          <w:sz w:val="20"/>
          <w:szCs w:val="20"/>
        </w:rPr>
        <w:t>analysis (1) by HLA label</w:t>
      </w:r>
    </w:p>
    <w:p w14:paraId="515E43F7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21EF1B3" wp14:editId="582B4EFF">
            <wp:extent cx="5731510" cy="988060"/>
            <wp:effectExtent l="0" t="0" r="0" b="2540"/>
            <wp:docPr id="1182520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207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23EC3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</w:p>
    <w:p w14:paraId="5C0E851F" w14:textId="77777777" w:rsidR="00AC50B3" w:rsidRPr="00AC50B3" w:rsidRDefault="00AC50B3" w:rsidP="00AC50B3">
      <w:pPr>
        <w:rPr>
          <w:rFonts w:ascii="Arial" w:hAnsi="Arial" w:cs="Arial"/>
          <w:b/>
          <w:bCs/>
          <w:sz w:val="20"/>
          <w:szCs w:val="20"/>
        </w:rPr>
      </w:pPr>
      <w:r w:rsidRPr="00AC50B3">
        <w:rPr>
          <w:rFonts w:ascii="Arial" w:hAnsi="Arial" w:cs="Arial"/>
          <w:b/>
          <w:bCs/>
        </w:rPr>
        <w:t>C</w:t>
      </w:r>
      <w:r w:rsidRPr="00AC50B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415DEA3" w14:textId="53E2E298" w:rsidR="00AC50B3" w:rsidRPr="00AC50B3" w:rsidRDefault="00AC50B3" w:rsidP="00AC50B3">
      <w:pPr>
        <w:jc w:val="center"/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sz w:val="20"/>
          <w:szCs w:val="20"/>
        </w:rPr>
        <w:t xml:space="preserve">Distribution of individuals in </w:t>
      </w:r>
      <w:r w:rsidR="00D2469B">
        <w:rPr>
          <w:rFonts w:ascii="Arial" w:hAnsi="Arial" w:cs="Arial"/>
          <w:sz w:val="20"/>
          <w:szCs w:val="20"/>
        </w:rPr>
        <w:t xml:space="preserve">TCR </w:t>
      </w:r>
      <w:r w:rsidRPr="00AC50B3">
        <w:rPr>
          <w:rFonts w:ascii="Arial" w:hAnsi="Arial" w:cs="Arial"/>
          <w:sz w:val="20"/>
          <w:szCs w:val="20"/>
        </w:rPr>
        <w:t>analysis (2) by diagnosis label</w:t>
      </w:r>
    </w:p>
    <w:p w14:paraId="460AEE07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08266DB" wp14:editId="75B08758">
            <wp:extent cx="5731510" cy="615950"/>
            <wp:effectExtent l="0" t="0" r="0" b="6350"/>
            <wp:docPr id="1884520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5203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6214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</w:p>
    <w:p w14:paraId="22716372" w14:textId="77777777" w:rsidR="00AC50B3" w:rsidRPr="00AC50B3" w:rsidRDefault="00AC50B3" w:rsidP="00AC50B3">
      <w:pPr>
        <w:rPr>
          <w:rFonts w:ascii="Arial" w:hAnsi="Arial" w:cs="Arial"/>
          <w:b/>
          <w:bCs/>
          <w:sz w:val="20"/>
          <w:szCs w:val="20"/>
        </w:rPr>
      </w:pPr>
      <w:r w:rsidRPr="00AC50B3">
        <w:rPr>
          <w:rFonts w:ascii="Arial" w:hAnsi="Arial" w:cs="Arial"/>
          <w:b/>
          <w:bCs/>
        </w:rPr>
        <w:t>D</w:t>
      </w:r>
      <w:r w:rsidRPr="00AC50B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300DF82" w14:textId="1C300920" w:rsidR="00AC50B3" w:rsidRPr="00AC50B3" w:rsidRDefault="00AC50B3" w:rsidP="00AC50B3">
      <w:pPr>
        <w:jc w:val="center"/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sz w:val="20"/>
          <w:szCs w:val="20"/>
        </w:rPr>
        <w:t xml:space="preserve">Distribution of CeD individuals in </w:t>
      </w:r>
      <w:r w:rsidR="00D2469B">
        <w:rPr>
          <w:rFonts w:ascii="Arial" w:hAnsi="Arial" w:cs="Arial"/>
          <w:sz w:val="20"/>
          <w:szCs w:val="20"/>
        </w:rPr>
        <w:t xml:space="preserve">TCR </w:t>
      </w:r>
      <w:r w:rsidRPr="00AC50B3">
        <w:rPr>
          <w:rFonts w:ascii="Arial" w:hAnsi="Arial" w:cs="Arial"/>
          <w:sz w:val="20"/>
          <w:szCs w:val="20"/>
        </w:rPr>
        <w:t>analysis (3) by HLA label</w:t>
      </w:r>
    </w:p>
    <w:p w14:paraId="038B68EE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045261F" wp14:editId="47D41CFF">
            <wp:extent cx="5731510" cy="610235"/>
            <wp:effectExtent l="0" t="0" r="0" b="0"/>
            <wp:docPr id="1383631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6310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18C1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</w:p>
    <w:p w14:paraId="73D3509E" w14:textId="77777777" w:rsidR="00AC50B3" w:rsidRPr="00AC50B3" w:rsidRDefault="00AC50B3" w:rsidP="00AC50B3">
      <w:pPr>
        <w:rPr>
          <w:rFonts w:ascii="Arial" w:hAnsi="Arial" w:cs="Arial"/>
          <w:b/>
          <w:bCs/>
          <w:sz w:val="20"/>
          <w:szCs w:val="20"/>
        </w:rPr>
      </w:pPr>
      <w:r w:rsidRPr="00AC50B3">
        <w:rPr>
          <w:rFonts w:ascii="Arial" w:hAnsi="Arial" w:cs="Arial"/>
          <w:b/>
          <w:bCs/>
        </w:rPr>
        <w:t>E</w:t>
      </w:r>
      <w:r w:rsidRPr="00AC50B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CC8B98F" w14:textId="1D66291B" w:rsidR="00AC50B3" w:rsidRPr="00AC50B3" w:rsidRDefault="00AC50B3" w:rsidP="00AC50B3">
      <w:pPr>
        <w:jc w:val="center"/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sz w:val="20"/>
          <w:szCs w:val="20"/>
        </w:rPr>
        <w:t xml:space="preserve">Distribution of HC individuals in </w:t>
      </w:r>
      <w:r w:rsidR="00D2469B">
        <w:rPr>
          <w:rFonts w:ascii="Arial" w:hAnsi="Arial" w:cs="Arial"/>
          <w:sz w:val="20"/>
          <w:szCs w:val="20"/>
        </w:rPr>
        <w:t xml:space="preserve">TCR </w:t>
      </w:r>
      <w:r w:rsidRPr="00AC50B3">
        <w:rPr>
          <w:rFonts w:ascii="Arial" w:hAnsi="Arial" w:cs="Arial"/>
          <w:sz w:val="20"/>
          <w:szCs w:val="20"/>
        </w:rPr>
        <w:t>analysis (3) by HLA label</w:t>
      </w:r>
    </w:p>
    <w:p w14:paraId="0B8355AE" w14:textId="77777777" w:rsidR="00AC50B3" w:rsidRPr="00AC50B3" w:rsidRDefault="00AC50B3" w:rsidP="00AC50B3">
      <w:pPr>
        <w:rPr>
          <w:rFonts w:ascii="Arial" w:hAnsi="Arial" w:cs="Arial"/>
          <w:sz w:val="20"/>
          <w:szCs w:val="20"/>
        </w:rPr>
      </w:pPr>
      <w:r w:rsidRPr="00AC50B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F694325" wp14:editId="7441BA7B">
            <wp:extent cx="5731510" cy="610235"/>
            <wp:effectExtent l="0" t="0" r="0" b="0"/>
            <wp:docPr id="1918947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472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C9819" w14:textId="77777777" w:rsidR="00AC50B3" w:rsidRPr="00AC50B3" w:rsidRDefault="00AC50B3" w:rsidP="00B95247">
      <w:pPr>
        <w:tabs>
          <w:tab w:val="left" w:pos="6641"/>
        </w:tabs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n-US" w:eastAsia="en-GB"/>
          <w14:ligatures w14:val="none"/>
        </w:rPr>
      </w:pPr>
    </w:p>
    <w:p w14:paraId="4FE22AD6" w14:textId="19FBC1A2" w:rsidR="00AC50B3" w:rsidRDefault="005E52F8" w:rsidP="00B95247">
      <w:pPr>
        <w:tabs>
          <w:tab w:val="left" w:pos="6641"/>
        </w:tabs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</w:pPr>
      <w:r w:rsidRPr="00AC50B3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>Supplementary figure 2.</w:t>
      </w:r>
      <w:r w:rsidR="00AC50B3" w:rsidRPr="00AC50B3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 xml:space="preserve"> Distribution of individuals by primary label across TCR repertoire analyses.</w:t>
      </w:r>
      <w:r w:rsidR="002205BD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 xml:space="preserve"> </w:t>
      </w:r>
      <w:r w:rsidR="00AC24C8" w:rsidRPr="00AC24C8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The </w:t>
      </w:r>
      <w:r w:rsidR="00AC24C8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n</w:t>
      </w:r>
      <w:r w:rsidR="002205BD" w:rsidRPr="00F648CD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umbers of </w:t>
      </w:r>
      <w:r w:rsidR="0008239D" w:rsidRPr="00F648CD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individuals</w:t>
      </w:r>
      <w:r w:rsidR="002205BD" w:rsidRPr="00F648CD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 xml:space="preserve"> used in each of the </w:t>
      </w:r>
      <w:r w:rsidR="00DB52AB" w:rsidRPr="00F648CD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en-GB"/>
          <w14:ligatures w14:val="none"/>
        </w:rPr>
        <w:t>three training and three test sets for each of the TCR analyses are shown.</w:t>
      </w:r>
      <w:r w:rsidR="00DB52AB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  <w:t xml:space="preserve"> </w:t>
      </w:r>
    </w:p>
    <w:p w14:paraId="3AB29040" w14:textId="77777777" w:rsidR="002D4B12" w:rsidRDefault="002D4B12" w:rsidP="00B95247">
      <w:pPr>
        <w:tabs>
          <w:tab w:val="left" w:pos="6641"/>
        </w:tabs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val="en-US" w:eastAsia="en-GB"/>
          <w14:ligatures w14:val="none"/>
        </w:rPr>
      </w:pPr>
    </w:p>
    <w:p w14:paraId="4F3B5456" w14:textId="6D1CA2CF" w:rsidR="00B95247" w:rsidRPr="00AC50B3" w:rsidRDefault="00B95247" w:rsidP="5DE68AAD">
      <w:pPr>
        <w:tabs>
          <w:tab w:val="left" w:pos="6641"/>
        </w:tabs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val="en-US" w:eastAsia="en-GB"/>
        </w:rPr>
      </w:pPr>
    </w:p>
    <w:sectPr w:rsidR="00B95247" w:rsidRPr="00AC50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247"/>
    <w:rsid w:val="0008239D"/>
    <w:rsid w:val="00090256"/>
    <w:rsid w:val="001630F2"/>
    <w:rsid w:val="00170BAD"/>
    <w:rsid w:val="001A6C12"/>
    <w:rsid w:val="00211291"/>
    <w:rsid w:val="002205BD"/>
    <w:rsid w:val="0025306D"/>
    <w:rsid w:val="002D4B12"/>
    <w:rsid w:val="002D78BD"/>
    <w:rsid w:val="002E1455"/>
    <w:rsid w:val="0032740A"/>
    <w:rsid w:val="0049603C"/>
    <w:rsid w:val="005360DA"/>
    <w:rsid w:val="005E52F8"/>
    <w:rsid w:val="0064503F"/>
    <w:rsid w:val="006D57FA"/>
    <w:rsid w:val="006E3BB0"/>
    <w:rsid w:val="007369A8"/>
    <w:rsid w:val="008C3E8D"/>
    <w:rsid w:val="009E74DD"/>
    <w:rsid w:val="00A01457"/>
    <w:rsid w:val="00A358B2"/>
    <w:rsid w:val="00A7150E"/>
    <w:rsid w:val="00AC24C8"/>
    <w:rsid w:val="00AC50B3"/>
    <w:rsid w:val="00B025BD"/>
    <w:rsid w:val="00B21F39"/>
    <w:rsid w:val="00B95247"/>
    <w:rsid w:val="00BB5141"/>
    <w:rsid w:val="00CC56AD"/>
    <w:rsid w:val="00D2469B"/>
    <w:rsid w:val="00D8397B"/>
    <w:rsid w:val="00DB52AB"/>
    <w:rsid w:val="00EB5654"/>
    <w:rsid w:val="00F32CC7"/>
    <w:rsid w:val="00F648CD"/>
    <w:rsid w:val="19F60D35"/>
    <w:rsid w:val="28B3F06D"/>
    <w:rsid w:val="4299F1EA"/>
    <w:rsid w:val="55DEED31"/>
    <w:rsid w:val="5DE68AAD"/>
    <w:rsid w:val="6488A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5AAFDB2"/>
  <w15:chartTrackingRefBased/>
  <w15:docId w15:val="{77F47AE9-78B3-7A42-B4D5-7CC9A57A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2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2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2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2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2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2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24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24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24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24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24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24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24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952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24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2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24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952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24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95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24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9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C50B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Aengus Officer</dc:creator>
  <cp:keywords/>
  <dc:description/>
  <cp:lastModifiedBy>Aengus Officer</cp:lastModifiedBy>
  <cp:revision>2</cp:revision>
  <dcterms:created xsi:type="dcterms:W3CDTF">2026-08-11T11:51:00Z</dcterms:created>
  <dcterms:modified xsi:type="dcterms:W3CDTF">2026-08-11T11:51:00Z</dcterms:modified>
</cp:coreProperties>
</file>