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158" w:rsidRPr="002B3F79" w:rsidRDefault="00864158" w:rsidP="00864158">
      <w:pPr>
        <w:spacing w:line="480" w:lineRule="auto"/>
        <w:jc w:val="both"/>
        <w:rPr>
          <w:rFonts w:asciiTheme="majorBidi" w:hAnsiTheme="majorBidi" w:cstheme="majorBidi"/>
          <w:b/>
          <w:bCs/>
          <w:sz w:val="24"/>
          <w:szCs w:val="24"/>
        </w:rPr>
      </w:pPr>
      <w:bookmarkStart w:id="0" w:name="_GoBack"/>
      <w:r w:rsidRPr="002B3F79">
        <w:rPr>
          <w:rFonts w:asciiTheme="majorBidi" w:hAnsiTheme="majorBidi" w:cstheme="majorBidi"/>
          <w:b/>
          <w:bCs/>
          <w:color w:val="212121"/>
          <w:sz w:val="24"/>
          <w:szCs w:val="24"/>
          <w:shd w:val="clear" w:color="auto" w:fill="FFFFFF"/>
        </w:rPr>
        <w:t>S</w:t>
      </w:r>
      <w:r w:rsidRPr="002B3F79">
        <w:rPr>
          <w:rFonts w:asciiTheme="majorBidi" w:hAnsiTheme="majorBidi" w:cstheme="majorBidi"/>
          <w:b/>
          <w:bCs/>
          <w:color w:val="212121"/>
          <w:sz w:val="24"/>
          <w:szCs w:val="24"/>
          <w:shd w:val="clear" w:color="auto" w:fill="FFFFFF"/>
        </w:rPr>
        <w:t>upplementary</w:t>
      </w:r>
      <w:r w:rsidRPr="002B3F79">
        <w:rPr>
          <w:rFonts w:asciiTheme="majorBidi" w:hAnsiTheme="majorBidi" w:cstheme="majorBidi"/>
          <w:b/>
          <w:bCs/>
          <w:color w:val="212121"/>
          <w:sz w:val="24"/>
          <w:szCs w:val="24"/>
          <w:shd w:val="clear" w:color="auto" w:fill="FFFFFF"/>
        </w:rPr>
        <w:t xml:space="preserve"> 1</w:t>
      </w:r>
    </w:p>
    <w:bookmarkEnd w:id="0"/>
    <w:p w:rsidR="00864158" w:rsidRPr="00CF5377" w:rsidRDefault="00864158" w:rsidP="00864158">
      <w:pPr>
        <w:spacing w:line="480" w:lineRule="auto"/>
        <w:jc w:val="both"/>
        <w:rPr>
          <w:rFonts w:asciiTheme="majorBidi" w:hAnsiTheme="majorBidi" w:cstheme="majorBidi"/>
          <w:sz w:val="24"/>
          <w:szCs w:val="24"/>
        </w:rPr>
      </w:pPr>
      <w:r>
        <w:rPr>
          <w:rFonts w:asciiTheme="majorBidi" w:hAnsiTheme="majorBidi" w:cstheme="majorBidi"/>
          <w:sz w:val="24"/>
          <w:szCs w:val="24"/>
        </w:rPr>
        <w:t>Table</w:t>
      </w:r>
      <w:r w:rsidRPr="00CF5377">
        <w:rPr>
          <w:rFonts w:asciiTheme="majorBidi" w:hAnsiTheme="majorBidi" w:cstheme="majorBidi"/>
          <w:sz w:val="24"/>
          <w:szCs w:val="24"/>
        </w:rPr>
        <w:t>: Primer used and thermal cycling conditions employed in the PCR assays</w:t>
      </w:r>
    </w:p>
    <w:tbl>
      <w:tblPr>
        <w:tblStyle w:val="TableGrid"/>
        <w:tblW w:w="9265" w:type="dxa"/>
        <w:tblLook w:val="04A0" w:firstRow="1" w:lastRow="0" w:firstColumn="1" w:lastColumn="0" w:noHBand="0" w:noVBand="1"/>
      </w:tblPr>
      <w:tblGrid>
        <w:gridCol w:w="1067"/>
        <w:gridCol w:w="3248"/>
        <w:gridCol w:w="1710"/>
        <w:gridCol w:w="1170"/>
        <w:gridCol w:w="2070"/>
      </w:tblGrid>
      <w:tr w:rsidR="00864158" w:rsidRPr="00CF5377" w:rsidTr="00DC0232">
        <w:tc>
          <w:tcPr>
            <w:tcW w:w="1067" w:type="dxa"/>
          </w:tcPr>
          <w:p w:rsidR="00864158" w:rsidRPr="00CF5377" w:rsidRDefault="00864158" w:rsidP="00DC0232">
            <w:pPr>
              <w:spacing w:line="360" w:lineRule="auto"/>
              <w:jc w:val="center"/>
              <w:rPr>
                <w:rFonts w:asciiTheme="majorBidi" w:hAnsiTheme="majorBidi" w:cstheme="majorBidi"/>
                <w:b/>
                <w:bCs/>
                <w:sz w:val="20"/>
                <w:szCs w:val="20"/>
                <w:lang w:bidi="ar-EG"/>
              </w:rPr>
            </w:pPr>
            <w:r w:rsidRPr="00CF5377">
              <w:rPr>
                <w:rFonts w:asciiTheme="majorBidi" w:hAnsiTheme="majorBidi" w:cstheme="majorBidi"/>
                <w:b/>
                <w:bCs/>
                <w:sz w:val="20"/>
                <w:szCs w:val="20"/>
                <w:lang w:bidi="ar-EG"/>
              </w:rPr>
              <w:t>Primer name</w:t>
            </w:r>
          </w:p>
        </w:tc>
        <w:tc>
          <w:tcPr>
            <w:tcW w:w="3248" w:type="dxa"/>
          </w:tcPr>
          <w:p w:rsidR="00864158" w:rsidRPr="00CF5377" w:rsidRDefault="00864158" w:rsidP="00DC0232">
            <w:pPr>
              <w:spacing w:line="360" w:lineRule="auto"/>
              <w:jc w:val="center"/>
              <w:rPr>
                <w:rFonts w:asciiTheme="majorBidi" w:hAnsiTheme="majorBidi" w:cstheme="majorBidi"/>
                <w:b/>
                <w:bCs/>
                <w:sz w:val="20"/>
                <w:szCs w:val="20"/>
                <w:lang w:bidi="ar-EG"/>
              </w:rPr>
            </w:pPr>
            <w:r w:rsidRPr="00CF5377">
              <w:rPr>
                <w:rFonts w:asciiTheme="majorBidi" w:hAnsiTheme="majorBidi" w:cstheme="majorBidi"/>
                <w:b/>
                <w:bCs/>
                <w:sz w:val="20"/>
                <w:szCs w:val="20"/>
                <w:lang w:bidi="ar-EG"/>
              </w:rPr>
              <w:t>Sequence (5’-3’)</w:t>
            </w:r>
          </w:p>
        </w:tc>
        <w:tc>
          <w:tcPr>
            <w:tcW w:w="1710" w:type="dxa"/>
          </w:tcPr>
          <w:p w:rsidR="00864158" w:rsidRPr="00CF5377" w:rsidRDefault="00864158" w:rsidP="00DC0232">
            <w:pPr>
              <w:spacing w:line="360" w:lineRule="auto"/>
              <w:jc w:val="center"/>
              <w:rPr>
                <w:rFonts w:asciiTheme="majorBidi" w:hAnsiTheme="majorBidi" w:cstheme="majorBidi"/>
                <w:b/>
                <w:bCs/>
                <w:sz w:val="20"/>
                <w:szCs w:val="20"/>
                <w:lang w:bidi="ar-EG"/>
              </w:rPr>
            </w:pPr>
            <w:r w:rsidRPr="00CF5377">
              <w:rPr>
                <w:rFonts w:asciiTheme="majorBidi" w:hAnsiTheme="majorBidi" w:cstheme="majorBidi"/>
                <w:b/>
                <w:bCs/>
                <w:sz w:val="20"/>
                <w:szCs w:val="20"/>
                <w:lang w:bidi="ar-EG"/>
              </w:rPr>
              <w:t>Annealing temperature(</w:t>
            </w:r>
            <w:r w:rsidRPr="00CF5377">
              <w:rPr>
                <w:rFonts w:ascii="Cambria Math" w:hAnsi="Cambria Math" w:cs="Cambria Math"/>
                <w:b/>
                <w:bCs/>
                <w:sz w:val="20"/>
                <w:szCs w:val="20"/>
                <w:lang w:bidi="ar-EG"/>
              </w:rPr>
              <w:t>℃</w:t>
            </w:r>
            <w:r w:rsidRPr="00CF5377">
              <w:rPr>
                <w:rFonts w:asciiTheme="majorBidi" w:hAnsiTheme="majorBidi" w:cstheme="majorBidi"/>
                <w:b/>
                <w:bCs/>
                <w:sz w:val="20"/>
                <w:szCs w:val="20"/>
                <w:lang w:bidi="ar-EG"/>
              </w:rPr>
              <w:t>)</w:t>
            </w:r>
          </w:p>
        </w:tc>
        <w:tc>
          <w:tcPr>
            <w:tcW w:w="1170" w:type="dxa"/>
          </w:tcPr>
          <w:p w:rsidR="00864158" w:rsidRPr="00CF5377" w:rsidRDefault="00864158" w:rsidP="00DC0232">
            <w:pPr>
              <w:spacing w:line="360" w:lineRule="auto"/>
              <w:jc w:val="center"/>
              <w:rPr>
                <w:rFonts w:asciiTheme="majorBidi" w:hAnsiTheme="majorBidi" w:cstheme="majorBidi"/>
                <w:b/>
                <w:bCs/>
                <w:sz w:val="20"/>
                <w:szCs w:val="20"/>
                <w:lang w:bidi="ar-EG"/>
              </w:rPr>
            </w:pPr>
            <w:r w:rsidRPr="00CF5377">
              <w:rPr>
                <w:rFonts w:asciiTheme="majorBidi" w:hAnsiTheme="majorBidi" w:cstheme="majorBidi"/>
                <w:b/>
                <w:bCs/>
                <w:sz w:val="20"/>
                <w:szCs w:val="20"/>
                <w:lang w:bidi="ar-EG"/>
              </w:rPr>
              <w:t>Size (</w:t>
            </w:r>
            <w:proofErr w:type="spellStart"/>
            <w:r w:rsidRPr="00CF5377">
              <w:rPr>
                <w:rFonts w:asciiTheme="majorBidi" w:hAnsiTheme="majorBidi" w:cstheme="majorBidi"/>
                <w:b/>
                <w:bCs/>
                <w:sz w:val="20"/>
                <w:szCs w:val="20"/>
                <w:lang w:bidi="ar-EG"/>
              </w:rPr>
              <w:t>bp</w:t>
            </w:r>
            <w:proofErr w:type="spellEnd"/>
            <w:r w:rsidRPr="00CF5377">
              <w:rPr>
                <w:rFonts w:asciiTheme="majorBidi" w:hAnsiTheme="majorBidi" w:cstheme="majorBidi"/>
                <w:b/>
                <w:bCs/>
                <w:sz w:val="20"/>
                <w:szCs w:val="20"/>
                <w:lang w:bidi="ar-EG"/>
              </w:rPr>
              <w:t>)</w:t>
            </w:r>
          </w:p>
        </w:tc>
        <w:tc>
          <w:tcPr>
            <w:tcW w:w="2070" w:type="dxa"/>
          </w:tcPr>
          <w:p w:rsidR="00864158" w:rsidRPr="00CF5377" w:rsidRDefault="00864158" w:rsidP="00DC0232">
            <w:pPr>
              <w:spacing w:line="360" w:lineRule="auto"/>
              <w:jc w:val="center"/>
              <w:rPr>
                <w:rFonts w:asciiTheme="majorBidi" w:hAnsiTheme="majorBidi" w:cstheme="majorBidi"/>
                <w:b/>
                <w:bCs/>
                <w:sz w:val="20"/>
                <w:szCs w:val="20"/>
                <w:lang w:bidi="ar-EG"/>
              </w:rPr>
            </w:pPr>
            <w:r w:rsidRPr="00CF5377">
              <w:rPr>
                <w:rFonts w:asciiTheme="majorBidi" w:hAnsiTheme="majorBidi" w:cstheme="majorBidi"/>
                <w:b/>
                <w:bCs/>
                <w:sz w:val="20"/>
                <w:szCs w:val="20"/>
                <w:lang w:bidi="ar-EG"/>
              </w:rPr>
              <w:t>References</w:t>
            </w:r>
          </w:p>
        </w:tc>
      </w:tr>
      <w:tr w:rsidR="00864158" w:rsidRPr="00CF5377" w:rsidTr="00DC0232">
        <w:tc>
          <w:tcPr>
            <w:tcW w:w="1067" w:type="dxa"/>
          </w:tcPr>
          <w:p w:rsidR="00864158" w:rsidRPr="00CF5377" w:rsidRDefault="00864158" w:rsidP="00DC0232">
            <w:pPr>
              <w:spacing w:line="360" w:lineRule="auto"/>
              <w:jc w:val="center"/>
              <w:rPr>
                <w:rFonts w:asciiTheme="majorBidi" w:hAnsiTheme="majorBidi" w:cstheme="majorBidi"/>
                <w:sz w:val="20"/>
                <w:szCs w:val="20"/>
                <w:lang w:bidi="ar-EG"/>
              </w:rPr>
            </w:pPr>
            <w:proofErr w:type="spellStart"/>
            <w:r w:rsidRPr="00CF5377">
              <w:rPr>
                <w:rFonts w:asciiTheme="majorBidi" w:hAnsiTheme="majorBidi" w:cstheme="majorBidi"/>
                <w:sz w:val="20"/>
                <w:szCs w:val="20"/>
                <w:lang w:bidi="ar-EG"/>
              </w:rPr>
              <w:t>mecA</w:t>
            </w:r>
            <w:proofErr w:type="spellEnd"/>
          </w:p>
        </w:tc>
        <w:tc>
          <w:tcPr>
            <w:tcW w:w="3248" w:type="dxa"/>
          </w:tcPr>
          <w:p w:rsidR="00864158" w:rsidRPr="00CF5377" w:rsidRDefault="00864158" w:rsidP="00DC0232">
            <w:pPr>
              <w:spacing w:line="360" w:lineRule="auto"/>
              <w:rPr>
                <w:rFonts w:asciiTheme="majorBidi" w:hAnsiTheme="majorBidi" w:cstheme="majorBidi"/>
                <w:sz w:val="20"/>
                <w:szCs w:val="20"/>
                <w:lang w:bidi="ar-EG"/>
              </w:rPr>
            </w:pPr>
            <w:r w:rsidRPr="00CF5377">
              <w:rPr>
                <w:rFonts w:asciiTheme="majorBidi" w:hAnsiTheme="majorBidi" w:cstheme="majorBidi"/>
                <w:sz w:val="20"/>
                <w:szCs w:val="20"/>
                <w:lang w:bidi="ar-EG"/>
              </w:rPr>
              <w:t>CTTTGCTAGAGTAGCACTCG GCTAGCCATTCCTTTATCTTG</w:t>
            </w:r>
          </w:p>
        </w:tc>
        <w:tc>
          <w:tcPr>
            <w:tcW w:w="1710" w:type="dxa"/>
          </w:tcPr>
          <w:p w:rsidR="00864158" w:rsidRPr="00CF5377" w:rsidRDefault="00864158" w:rsidP="00DC0232">
            <w:pPr>
              <w:spacing w:line="360" w:lineRule="auto"/>
              <w:jc w:val="center"/>
              <w:rPr>
                <w:rFonts w:asciiTheme="majorBidi" w:hAnsiTheme="majorBidi" w:cstheme="majorBidi"/>
                <w:sz w:val="20"/>
                <w:szCs w:val="20"/>
                <w:lang w:bidi="ar-EG"/>
              </w:rPr>
            </w:pPr>
            <w:r w:rsidRPr="00CF5377">
              <w:rPr>
                <w:rFonts w:asciiTheme="majorBidi" w:hAnsiTheme="majorBidi" w:cstheme="majorBidi"/>
                <w:sz w:val="20"/>
                <w:szCs w:val="20"/>
                <w:lang w:bidi="ar-EG"/>
              </w:rPr>
              <w:t>55.5</w:t>
            </w:r>
          </w:p>
        </w:tc>
        <w:tc>
          <w:tcPr>
            <w:tcW w:w="1170" w:type="dxa"/>
          </w:tcPr>
          <w:p w:rsidR="00864158" w:rsidRPr="00CF5377" w:rsidRDefault="00864158" w:rsidP="00DC0232">
            <w:pPr>
              <w:spacing w:line="360" w:lineRule="auto"/>
              <w:jc w:val="center"/>
              <w:rPr>
                <w:rFonts w:asciiTheme="majorBidi" w:hAnsiTheme="majorBidi" w:cstheme="majorBidi"/>
                <w:sz w:val="20"/>
                <w:szCs w:val="20"/>
                <w:lang w:bidi="ar-EG"/>
              </w:rPr>
            </w:pPr>
            <w:r w:rsidRPr="00CF5377">
              <w:rPr>
                <w:rFonts w:asciiTheme="majorBidi" w:hAnsiTheme="majorBidi" w:cstheme="majorBidi"/>
                <w:sz w:val="20"/>
                <w:szCs w:val="20"/>
                <w:lang w:bidi="ar-EG"/>
              </w:rPr>
              <w:t>533</w:t>
            </w:r>
          </w:p>
        </w:tc>
        <w:tc>
          <w:tcPr>
            <w:tcW w:w="2070" w:type="dxa"/>
          </w:tcPr>
          <w:p w:rsidR="00864158" w:rsidRPr="00CF5377" w:rsidRDefault="00864158" w:rsidP="002B3F79">
            <w:pPr>
              <w:spacing w:line="360" w:lineRule="auto"/>
              <w:jc w:val="center"/>
              <w:rPr>
                <w:rFonts w:asciiTheme="majorBidi" w:hAnsiTheme="majorBidi" w:cstheme="majorBidi"/>
                <w:sz w:val="20"/>
                <w:szCs w:val="20"/>
                <w:lang w:bidi="ar-EG"/>
              </w:rPr>
            </w:pPr>
            <w:r w:rsidRPr="00CF5377">
              <w:rPr>
                <w:rFonts w:asciiTheme="majorBidi" w:hAnsiTheme="majorBidi" w:cstheme="majorBidi"/>
                <w:sz w:val="20"/>
                <w:szCs w:val="20"/>
                <w:lang w:bidi="ar-EG"/>
              </w:rPr>
              <w:fldChar w:fldCharType="begin"/>
            </w:r>
            <w:r w:rsidR="002B3F79">
              <w:rPr>
                <w:rFonts w:asciiTheme="majorBidi" w:hAnsiTheme="majorBidi" w:cstheme="majorBidi"/>
                <w:sz w:val="20"/>
                <w:szCs w:val="20"/>
                <w:lang w:bidi="ar-EG"/>
              </w:rPr>
              <w:instrText xml:space="preserve"> ADDIN EN.CITE &lt;EndNote&gt;&lt;Cite&gt;&lt;Author&gt;Herold&lt;/Author&gt;&lt;Year&gt;1998&lt;/Year&gt;&lt;RecNum&gt;38&lt;/RecNum&gt;&lt;DisplayText&gt;(Herold et al. 1998)&lt;/DisplayText&gt;&lt;record&gt;&lt;rec-number&gt;38&lt;/rec-number&gt;&lt;foreign-keys&gt;&lt;key app="EN" db-id="0vapd2223sd5wze295vvvftbp5wwxvzdsa9w" timestamp="1744133223"&gt;38&lt;/key&gt;&lt;/foreign-keys&gt;&lt;ref-type name="Journal Article"&gt;17&lt;/ref-type&gt;&lt;contributors&gt;&lt;authors&gt;&lt;author&gt;Herold, Betsy C&lt;/author&gt;&lt;author&gt;Immergluck, Lilly C&lt;/author&gt;&lt;author&gt;Maranan, Melinda C&lt;/author&gt;&lt;author&gt;Lauderdale, Diane S&lt;/author&gt;&lt;author&gt;Gaskin, Ryan E&lt;/author&gt;&lt;author&gt;Boyle-Vavra, Susan&lt;/author&gt;&lt;author&gt;Leitch, Cindy D&lt;/author&gt;&lt;author&gt;Daum, Robert S&lt;/author&gt;&lt;/authors&gt;&lt;/contributors&gt;&lt;titles&gt;&lt;title&gt;Community-acquired methicillin-resistant Staphylococcus aureus in children with no identified predisposing risk&lt;/title&gt;&lt;secondary-title&gt;Jama&lt;/secondary-title&gt;&lt;/titles&gt;&lt;periodical&gt;&lt;full-title&gt;Jama&lt;/full-title&gt;&lt;/periodical&gt;&lt;pages&gt;593-598&lt;/pages&gt;&lt;volume&gt;279&lt;/volume&gt;&lt;number&gt;8&lt;/number&gt;&lt;dates&gt;&lt;year&gt;1998&lt;/year&gt;&lt;/dates&gt;&lt;isbn&gt;0098-7484&lt;/isbn&gt;&lt;urls&gt;&lt;/urls&gt;&lt;/record&gt;&lt;/Cite&gt;&lt;/EndNote&gt;</w:instrText>
            </w:r>
            <w:r w:rsidRPr="00CF5377">
              <w:rPr>
                <w:rFonts w:asciiTheme="majorBidi" w:hAnsiTheme="majorBidi" w:cstheme="majorBidi"/>
                <w:sz w:val="20"/>
                <w:szCs w:val="20"/>
                <w:lang w:bidi="ar-EG"/>
              </w:rPr>
              <w:fldChar w:fldCharType="separate"/>
            </w:r>
            <w:r w:rsidR="002B3F79">
              <w:rPr>
                <w:rFonts w:asciiTheme="majorBidi" w:hAnsiTheme="majorBidi" w:cstheme="majorBidi"/>
                <w:noProof/>
                <w:sz w:val="20"/>
                <w:szCs w:val="20"/>
                <w:lang w:bidi="ar-EG"/>
              </w:rPr>
              <w:t>(Herold et al. 1998)</w:t>
            </w:r>
            <w:r w:rsidRPr="00CF5377">
              <w:rPr>
                <w:rFonts w:asciiTheme="majorBidi" w:hAnsiTheme="majorBidi" w:cstheme="majorBidi"/>
                <w:sz w:val="20"/>
                <w:szCs w:val="20"/>
                <w:lang w:bidi="ar-EG"/>
              </w:rPr>
              <w:fldChar w:fldCharType="end"/>
            </w:r>
          </w:p>
        </w:tc>
      </w:tr>
      <w:tr w:rsidR="00864158" w:rsidRPr="00CF5377" w:rsidTr="00DC0232">
        <w:tc>
          <w:tcPr>
            <w:tcW w:w="1067" w:type="dxa"/>
          </w:tcPr>
          <w:p w:rsidR="00864158" w:rsidRPr="00CF5377" w:rsidRDefault="00864158" w:rsidP="00DC0232">
            <w:pPr>
              <w:spacing w:line="360" w:lineRule="auto"/>
              <w:jc w:val="center"/>
              <w:rPr>
                <w:rFonts w:asciiTheme="majorBidi" w:hAnsiTheme="majorBidi" w:cstheme="majorBidi"/>
                <w:sz w:val="20"/>
                <w:szCs w:val="20"/>
                <w:lang w:bidi="ar-EG"/>
              </w:rPr>
            </w:pPr>
            <w:proofErr w:type="spellStart"/>
            <w:r w:rsidRPr="00CF5377">
              <w:rPr>
                <w:rFonts w:asciiTheme="majorBidi" w:hAnsiTheme="majorBidi" w:cstheme="majorBidi"/>
                <w:sz w:val="20"/>
                <w:szCs w:val="20"/>
                <w:lang w:bidi="ar-EG"/>
              </w:rPr>
              <w:t>blaZ</w:t>
            </w:r>
            <w:proofErr w:type="spellEnd"/>
          </w:p>
        </w:tc>
        <w:tc>
          <w:tcPr>
            <w:tcW w:w="3248" w:type="dxa"/>
          </w:tcPr>
          <w:p w:rsidR="00864158" w:rsidRPr="00CF5377" w:rsidRDefault="00864158" w:rsidP="00DC0232">
            <w:pPr>
              <w:spacing w:line="360" w:lineRule="auto"/>
              <w:rPr>
                <w:rFonts w:asciiTheme="majorBidi" w:hAnsiTheme="majorBidi" w:cstheme="majorBidi"/>
                <w:sz w:val="20"/>
                <w:szCs w:val="20"/>
                <w:lang w:bidi="ar-EG"/>
              </w:rPr>
            </w:pPr>
            <w:r w:rsidRPr="00CF5377">
              <w:rPr>
                <w:rFonts w:asciiTheme="majorBidi" w:hAnsiTheme="majorBidi" w:cstheme="majorBidi"/>
                <w:sz w:val="20"/>
                <w:szCs w:val="20"/>
                <w:lang w:bidi="ar-EG"/>
              </w:rPr>
              <w:t>ACTTCAACACCTGCTGCTTTC</w:t>
            </w:r>
          </w:p>
          <w:p w:rsidR="00864158" w:rsidRPr="00CF5377" w:rsidRDefault="00864158" w:rsidP="00DC0232">
            <w:pPr>
              <w:spacing w:line="360" w:lineRule="auto"/>
              <w:rPr>
                <w:rFonts w:asciiTheme="majorBidi" w:hAnsiTheme="majorBidi" w:cstheme="majorBidi"/>
                <w:sz w:val="20"/>
                <w:szCs w:val="20"/>
                <w:lang w:bidi="ar-EG"/>
              </w:rPr>
            </w:pPr>
            <w:r w:rsidRPr="00CF5377">
              <w:rPr>
                <w:rFonts w:asciiTheme="majorBidi" w:hAnsiTheme="majorBidi" w:cstheme="majorBidi"/>
                <w:sz w:val="20"/>
                <w:szCs w:val="20"/>
                <w:lang w:bidi="ar-EG"/>
              </w:rPr>
              <w:t>TGACCACTTTTATCAGCAACC</w:t>
            </w:r>
          </w:p>
        </w:tc>
        <w:tc>
          <w:tcPr>
            <w:tcW w:w="1710" w:type="dxa"/>
          </w:tcPr>
          <w:p w:rsidR="00864158" w:rsidRPr="00CF5377" w:rsidRDefault="00864158" w:rsidP="00DC0232">
            <w:pPr>
              <w:spacing w:line="360" w:lineRule="auto"/>
              <w:jc w:val="center"/>
              <w:rPr>
                <w:rFonts w:asciiTheme="majorBidi" w:hAnsiTheme="majorBidi" w:cstheme="majorBidi"/>
                <w:sz w:val="20"/>
                <w:szCs w:val="20"/>
                <w:lang w:bidi="ar-EG"/>
              </w:rPr>
            </w:pPr>
            <w:r w:rsidRPr="00CF5377">
              <w:rPr>
                <w:rFonts w:asciiTheme="majorBidi" w:hAnsiTheme="majorBidi" w:cstheme="majorBidi"/>
                <w:sz w:val="20"/>
                <w:szCs w:val="20"/>
                <w:lang w:bidi="ar-EG"/>
              </w:rPr>
              <w:t>49</w:t>
            </w:r>
          </w:p>
        </w:tc>
        <w:tc>
          <w:tcPr>
            <w:tcW w:w="1170" w:type="dxa"/>
          </w:tcPr>
          <w:p w:rsidR="00864158" w:rsidRPr="00CF5377" w:rsidRDefault="00864158" w:rsidP="00DC0232">
            <w:pPr>
              <w:spacing w:line="360" w:lineRule="auto"/>
              <w:jc w:val="center"/>
              <w:rPr>
                <w:rFonts w:asciiTheme="majorBidi" w:hAnsiTheme="majorBidi" w:cstheme="majorBidi"/>
                <w:sz w:val="20"/>
                <w:szCs w:val="20"/>
                <w:lang w:bidi="ar-EG"/>
              </w:rPr>
            </w:pPr>
            <w:r w:rsidRPr="00CF5377">
              <w:rPr>
                <w:rFonts w:asciiTheme="majorBidi" w:hAnsiTheme="majorBidi" w:cstheme="majorBidi"/>
                <w:sz w:val="20"/>
                <w:szCs w:val="20"/>
                <w:lang w:bidi="ar-EG"/>
              </w:rPr>
              <w:t>173</w:t>
            </w:r>
          </w:p>
        </w:tc>
        <w:tc>
          <w:tcPr>
            <w:tcW w:w="2070" w:type="dxa"/>
          </w:tcPr>
          <w:p w:rsidR="00864158" w:rsidRPr="00CF5377" w:rsidRDefault="00864158" w:rsidP="002B3F79">
            <w:pPr>
              <w:spacing w:line="360" w:lineRule="auto"/>
              <w:jc w:val="center"/>
              <w:rPr>
                <w:rFonts w:asciiTheme="majorBidi" w:hAnsiTheme="majorBidi" w:cstheme="majorBidi"/>
                <w:sz w:val="20"/>
                <w:szCs w:val="20"/>
                <w:lang w:bidi="ar-EG"/>
              </w:rPr>
            </w:pPr>
            <w:r w:rsidRPr="00CF5377">
              <w:rPr>
                <w:rFonts w:asciiTheme="majorBidi" w:hAnsiTheme="majorBidi" w:cstheme="majorBidi"/>
                <w:sz w:val="20"/>
                <w:szCs w:val="20"/>
                <w:lang w:bidi="ar-EG"/>
              </w:rPr>
              <w:fldChar w:fldCharType="begin"/>
            </w:r>
            <w:r w:rsidR="002B3F79">
              <w:rPr>
                <w:rFonts w:asciiTheme="majorBidi" w:hAnsiTheme="majorBidi" w:cstheme="majorBidi"/>
                <w:sz w:val="20"/>
                <w:szCs w:val="20"/>
                <w:lang w:bidi="ar-EG"/>
              </w:rPr>
              <w:instrText xml:space="preserve"> ADDIN EN.CITE &lt;EndNote&gt;&lt;Cite&gt;&lt;Author&gt;Martineau&lt;/Author&gt;&lt;Year&gt;2000&lt;/Year&gt;&lt;RecNum&gt;39&lt;/RecNum&gt;&lt;DisplayText&gt;(Martineau et al. 2000)&lt;/DisplayText&gt;&lt;record&gt;&lt;rec-number&gt;39&lt;/rec-number&gt;&lt;foreign-keys&gt;&lt;key app="EN" db-id="0vapd2223sd5wze295vvvftbp5wwxvzdsa9w" timestamp="1744133223"&gt;39&lt;/key&gt;&lt;/foreign-keys&gt;&lt;ref-type name="Journal Article"&gt;17&lt;/ref-type&gt;&lt;contributors&gt;&lt;authors&gt;&lt;author&gt;Martineau, Francis&lt;/author&gt;&lt;author&gt;Picard, François J&lt;/author&gt;&lt;author&gt;Lansac, Nicolas&lt;/author&gt;&lt;author&gt;Ménard, Christian&lt;/author&gt;&lt;author&gt;Roy, Paul H&lt;/author&gt;&lt;author&gt;Ouellette, Marc&lt;/author&gt;&lt;author&gt;Bergeron, Michel G&lt;/author&gt;&lt;/authors&gt;&lt;/contributors&gt;&lt;titles&gt;&lt;title&gt;Correlation between the resistance genotype determined by multiplex PCR assays and the antibiotic susceptibility patterns of Staphylococcus aureus and Staphylococcus epidermidis&lt;/title&gt;&lt;secondary-title&gt;Antimicrobial agents and chemotherapy&lt;/secondary-title&gt;&lt;/titles&gt;&lt;periodical&gt;&lt;full-title&gt;Antimicrobial agents and chemotherapy&lt;/full-title&gt;&lt;/periodical&gt;&lt;pages&gt;231-238&lt;/pages&gt;&lt;volume&gt;44&lt;/volume&gt;&lt;number&gt;2&lt;/number&gt;&lt;dates&gt;&lt;year&gt;2000&lt;/year&gt;&lt;/dates&gt;&lt;isbn&gt;1098-6596&lt;/isbn&gt;&lt;urls&gt;&lt;/urls&gt;&lt;/record&gt;&lt;/Cite&gt;&lt;/EndNote&gt;</w:instrText>
            </w:r>
            <w:r w:rsidRPr="00CF5377">
              <w:rPr>
                <w:rFonts w:asciiTheme="majorBidi" w:hAnsiTheme="majorBidi" w:cstheme="majorBidi"/>
                <w:sz w:val="20"/>
                <w:szCs w:val="20"/>
                <w:lang w:bidi="ar-EG"/>
              </w:rPr>
              <w:fldChar w:fldCharType="separate"/>
            </w:r>
            <w:r w:rsidR="002B3F79">
              <w:rPr>
                <w:rFonts w:asciiTheme="majorBidi" w:hAnsiTheme="majorBidi" w:cstheme="majorBidi"/>
                <w:noProof/>
                <w:sz w:val="20"/>
                <w:szCs w:val="20"/>
                <w:lang w:bidi="ar-EG"/>
              </w:rPr>
              <w:t>(Martineau et al. 2000)</w:t>
            </w:r>
            <w:r w:rsidRPr="00CF5377">
              <w:rPr>
                <w:rFonts w:asciiTheme="majorBidi" w:hAnsiTheme="majorBidi" w:cstheme="majorBidi"/>
                <w:sz w:val="20"/>
                <w:szCs w:val="20"/>
                <w:lang w:bidi="ar-EG"/>
              </w:rPr>
              <w:fldChar w:fldCharType="end"/>
            </w:r>
          </w:p>
        </w:tc>
      </w:tr>
      <w:tr w:rsidR="00864158" w:rsidRPr="00CF5377" w:rsidTr="00DC0232">
        <w:tc>
          <w:tcPr>
            <w:tcW w:w="1067" w:type="dxa"/>
          </w:tcPr>
          <w:p w:rsidR="00864158" w:rsidRPr="00CF5377" w:rsidRDefault="00864158" w:rsidP="00DC0232">
            <w:pPr>
              <w:spacing w:line="360" w:lineRule="auto"/>
              <w:jc w:val="center"/>
              <w:rPr>
                <w:rFonts w:asciiTheme="majorBidi" w:hAnsiTheme="majorBidi" w:cstheme="majorBidi"/>
                <w:sz w:val="20"/>
                <w:szCs w:val="20"/>
                <w:lang w:bidi="ar-EG"/>
              </w:rPr>
            </w:pPr>
            <w:proofErr w:type="spellStart"/>
            <w:r w:rsidRPr="00CF5377">
              <w:rPr>
                <w:rFonts w:asciiTheme="majorBidi" w:hAnsiTheme="majorBidi" w:cstheme="majorBidi"/>
                <w:sz w:val="20"/>
                <w:szCs w:val="20"/>
                <w:lang w:bidi="ar-EG"/>
              </w:rPr>
              <w:t>ermA</w:t>
            </w:r>
            <w:proofErr w:type="spellEnd"/>
          </w:p>
        </w:tc>
        <w:tc>
          <w:tcPr>
            <w:tcW w:w="3248" w:type="dxa"/>
          </w:tcPr>
          <w:p w:rsidR="00864158" w:rsidRPr="00CF5377" w:rsidRDefault="00864158" w:rsidP="00DC0232">
            <w:pPr>
              <w:spacing w:line="360" w:lineRule="auto"/>
              <w:rPr>
                <w:rFonts w:asciiTheme="majorBidi" w:hAnsiTheme="majorBidi" w:cstheme="majorBidi"/>
                <w:sz w:val="20"/>
                <w:szCs w:val="20"/>
                <w:lang w:bidi="ar-EG"/>
              </w:rPr>
            </w:pPr>
            <w:r w:rsidRPr="00CF5377">
              <w:rPr>
                <w:rFonts w:asciiTheme="majorBidi" w:hAnsiTheme="majorBidi" w:cstheme="majorBidi"/>
                <w:sz w:val="20"/>
                <w:szCs w:val="20"/>
                <w:lang w:bidi="ar-EG"/>
              </w:rPr>
              <w:t>TATCTTATCGTTGAGAAGGGATT</w:t>
            </w:r>
          </w:p>
          <w:p w:rsidR="00864158" w:rsidRPr="00CF5377" w:rsidRDefault="00864158" w:rsidP="00DC0232">
            <w:pPr>
              <w:spacing w:line="360" w:lineRule="auto"/>
              <w:rPr>
                <w:rFonts w:asciiTheme="majorBidi" w:hAnsiTheme="majorBidi" w:cstheme="majorBidi"/>
                <w:sz w:val="20"/>
                <w:szCs w:val="20"/>
                <w:lang w:bidi="ar-EG"/>
              </w:rPr>
            </w:pPr>
            <w:r w:rsidRPr="00CF5377">
              <w:rPr>
                <w:rFonts w:asciiTheme="majorBidi" w:hAnsiTheme="majorBidi" w:cstheme="majorBidi"/>
                <w:sz w:val="20"/>
                <w:szCs w:val="20"/>
                <w:lang w:bidi="ar-EG"/>
              </w:rPr>
              <w:t>CTACACTTGGCTTAGGATGAAA</w:t>
            </w:r>
          </w:p>
        </w:tc>
        <w:tc>
          <w:tcPr>
            <w:tcW w:w="1710" w:type="dxa"/>
          </w:tcPr>
          <w:p w:rsidR="00864158" w:rsidRPr="00CF5377" w:rsidRDefault="00864158" w:rsidP="00DC0232">
            <w:pPr>
              <w:spacing w:line="360" w:lineRule="auto"/>
              <w:jc w:val="center"/>
              <w:rPr>
                <w:rFonts w:asciiTheme="majorBidi" w:hAnsiTheme="majorBidi" w:cstheme="majorBidi"/>
                <w:sz w:val="20"/>
                <w:szCs w:val="20"/>
                <w:lang w:bidi="ar-EG"/>
              </w:rPr>
            </w:pPr>
            <w:r w:rsidRPr="00CF5377">
              <w:rPr>
                <w:rFonts w:asciiTheme="majorBidi" w:hAnsiTheme="majorBidi" w:cstheme="majorBidi"/>
                <w:sz w:val="20"/>
                <w:szCs w:val="20"/>
                <w:lang w:bidi="ar-EG"/>
              </w:rPr>
              <w:t>45.5</w:t>
            </w:r>
          </w:p>
        </w:tc>
        <w:tc>
          <w:tcPr>
            <w:tcW w:w="1170" w:type="dxa"/>
          </w:tcPr>
          <w:p w:rsidR="00864158" w:rsidRPr="00CF5377" w:rsidRDefault="00864158" w:rsidP="00DC0232">
            <w:pPr>
              <w:spacing w:line="360" w:lineRule="auto"/>
              <w:jc w:val="center"/>
              <w:rPr>
                <w:rFonts w:asciiTheme="majorBidi" w:hAnsiTheme="majorBidi" w:cstheme="majorBidi"/>
                <w:sz w:val="20"/>
                <w:szCs w:val="20"/>
                <w:lang w:bidi="ar-EG"/>
              </w:rPr>
            </w:pPr>
            <w:r w:rsidRPr="00CF5377">
              <w:rPr>
                <w:rFonts w:asciiTheme="majorBidi" w:hAnsiTheme="majorBidi" w:cstheme="majorBidi"/>
                <w:sz w:val="20"/>
                <w:szCs w:val="20"/>
                <w:lang w:bidi="ar-EG"/>
              </w:rPr>
              <w:t>139</w:t>
            </w:r>
          </w:p>
        </w:tc>
        <w:tc>
          <w:tcPr>
            <w:tcW w:w="2070" w:type="dxa"/>
          </w:tcPr>
          <w:p w:rsidR="00864158" w:rsidRPr="00CF5377" w:rsidRDefault="00864158" w:rsidP="002B3F79">
            <w:pPr>
              <w:spacing w:line="360" w:lineRule="auto"/>
              <w:jc w:val="center"/>
              <w:rPr>
                <w:rFonts w:asciiTheme="majorBidi" w:hAnsiTheme="majorBidi" w:cstheme="majorBidi"/>
                <w:sz w:val="20"/>
                <w:szCs w:val="20"/>
                <w:lang w:bidi="ar-EG"/>
              </w:rPr>
            </w:pPr>
            <w:r w:rsidRPr="00CF5377">
              <w:rPr>
                <w:rFonts w:asciiTheme="majorBidi" w:hAnsiTheme="majorBidi" w:cstheme="majorBidi"/>
                <w:sz w:val="20"/>
                <w:szCs w:val="20"/>
                <w:lang w:bidi="ar-EG"/>
              </w:rPr>
              <w:fldChar w:fldCharType="begin"/>
            </w:r>
            <w:r w:rsidR="002B3F79">
              <w:rPr>
                <w:rFonts w:asciiTheme="majorBidi" w:hAnsiTheme="majorBidi" w:cstheme="majorBidi"/>
                <w:sz w:val="20"/>
                <w:szCs w:val="20"/>
                <w:lang w:bidi="ar-EG"/>
              </w:rPr>
              <w:instrText xml:space="preserve"> ADDIN EN.CITE &lt;EndNote&gt;&lt;Cite&gt;&lt;Author&gt;Martineau&lt;/Author&gt;&lt;Year&gt;2000&lt;/Year&gt;&lt;RecNum&gt;39&lt;/RecNum&gt;&lt;DisplayText&gt;(Martineau et al. 2000)&lt;/DisplayText&gt;&lt;record&gt;&lt;rec-number&gt;39&lt;/rec-number&gt;&lt;foreign-keys&gt;&lt;key app="EN" db-id="0vapd2223sd5wze295vvvftbp5wwxvzdsa9w" timestamp="1744133223"&gt;39&lt;/key&gt;&lt;/foreign-keys&gt;&lt;ref-type name="Journal Article"&gt;17&lt;/ref-type&gt;&lt;contributors&gt;&lt;authors&gt;&lt;author&gt;Martineau, Francis&lt;/author&gt;&lt;author&gt;Picard, François J&lt;/author&gt;&lt;author&gt;Lansac, Nicolas&lt;/author&gt;&lt;author&gt;Ménard, Christian&lt;/author&gt;&lt;author&gt;Roy, Paul H&lt;/author&gt;&lt;author&gt;Ouellette, Marc&lt;/author&gt;&lt;author&gt;Bergeron, Michel G&lt;/author&gt;&lt;/authors&gt;&lt;/contributors&gt;&lt;titles&gt;&lt;title&gt;Correlation between the resistance genotype determined by multiplex PCR assays and the antibiotic susceptibility patterns of Staphylococcus aureus and Staphylococcus epidermidis&lt;/title&gt;&lt;secondary-title&gt;Antimicrobial agents and chemotherapy&lt;/secondary-title&gt;&lt;/titles&gt;&lt;periodical&gt;&lt;full-title&gt;Antimicrobial agents and chemotherapy&lt;/full-title&gt;&lt;/periodical&gt;&lt;pages&gt;231-238&lt;/pages&gt;&lt;volume&gt;44&lt;/volume&gt;&lt;number&gt;2&lt;/number&gt;&lt;dates&gt;&lt;year&gt;2000&lt;/year&gt;&lt;/dates&gt;&lt;isbn&gt;1098-6596&lt;/isbn&gt;&lt;urls&gt;&lt;/urls&gt;&lt;/record&gt;&lt;/Cite&gt;&lt;/EndNote&gt;</w:instrText>
            </w:r>
            <w:r w:rsidRPr="00CF5377">
              <w:rPr>
                <w:rFonts w:asciiTheme="majorBidi" w:hAnsiTheme="majorBidi" w:cstheme="majorBidi"/>
                <w:sz w:val="20"/>
                <w:szCs w:val="20"/>
                <w:lang w:bidi="ar-EG"/>
              </w:rPr>
              <w:fldChar w:fldCharType="separate"/>
            </w:r>
            <w:r w:rsidR="002B3F79">
              <w:rPr>
                <w:rFonts w:asciiTheme="majorBidi" w:hAnsiTheme="majorBidi" w:cstheme="majorBidi"/>
                <w:noProof/>
                <w:sz w:val="20"/>
                <w:szCs w:val="20"/>
                <w:lang w:bidi="ar-EG"/>
              </w:rPr>
              <w:t>(Martineau et al. 2000)</w:t>
            </w:r>
            <w:r w:rsidRPr="00CF5377">
              <w:rPr>
                <w:rFonts w:asciiTheme="majorBidi" w:hAnsiTheme="majorBidi" w:cstheme="majorBidi"/>
                <w:sz w:val="20"/>
                <w:szCs w:val="20"/>
                <w:lang w:bidi="ar-EG"/>
              </w:rPr>
              <w:fldChar w:fldCharType="end"/>
            </w:r>
          </w:p>
        </w:tc>
      </w:tr>
      <w:tr w:rsidR="00864158" w:rsidRPr="00CF5377" w:rsidTr="00DC0232">
        <w:tc>
          <w:tcPr>
            <w:tcW w:w="1067" w:type="dxa"/>
          </w:tcPr>
          <w:p w:rsidR="00864158" w:rsidRPr="00CF5377" w:rsidRDefault="00864158" w:rsidP="00DC0232">
            <w:pPr>
              <w:spacing w:line="360" w:lineRule="auto"/>
              <w:jc w:val="center"/>
              <w:rPr>
                <w:rFonts w:asciiTheme="majorBidi" w:hAnsiTheme="majorBidi" w:cstheme="majorBidi"/>
                <w:sz w:val="20"/>
                <w:szCs w:val="20"/>
                <w:lang w:bidi="ar-EG"/>
              </w:rPr>
            </w:pPr>
            <w:proofErr w:type="spellStart"/>
            <w:r w:rsidRPr="00CF5377">
              <w:rPr>
                <w:rFonts w:asciiTheme="majorBidi" w:hAnsiTheme="majorBidi" w:cstheme="majorBidi"/>
                <w:sz w:val="20"/>
                <w:szCs w:val="20"/>
                <w:lang w:bidi="ar-EG"/>
              </w:rPr>
              <w:t>tetA</w:t>
            </w:r>
            <w:proofErr w:type="spellEnd"/>
          </w:p>
        </w:tc>
        <w:tc>
          <w:tcPr>
            <w:tcW w:w="3248" w:type="dxa"/>
          </w:tcPr>
          <w:p w:rsidR="00864158" w:rsidRPr="00CF5377" w:rsidRDefault="00864158" w:rsidP="00DC0232">
            <w:pPr>
              <w:spacing w:line="360" w:lineRule="auto"/>
              <w:rPr>
                <w:rFonts w:asciiTheme="majorBidi" w:hAnsiTheme="majorBidi" w:cstheme="majorBidi"/>
                <w:sz w:val="20"/>
                <w:szCs w:val="20"/>
                <w:lang w:bidi="ar-EG"/>
              </w:rPr>
            </w:pPr>
            <w:r w:rsidRPr="00CF5377">
              <w:rPr>
                <w:rFonts w:asciiTheme="majorBidi" w:hAnsiTheme="majorBidi" w:cstheme="majorBidi"/>
                <w:sz w:val="20"/>
                <w:szCs w:val="20"/>
                <w:lang w:bidi="ar-EG"/>
              </w:rPr>
              <w:t>GCTACATCCTGCTTGCCTTC</w:t>
            </w:r>
          </w:p>
          <w:p w:rsidR="00864158" w:rsidRPr="00CF5377" w:rsidRDefault="00864158" w:rsidP="00DC0232">
            <w:pPr>
              <w:spacing w:line="360" w:lineRule="auto"/>
              <w:rPr>
                <w:rFonts w:asciiTheme="majorBidi" w:hAnsiTheme="majorBidi" w:cstheme="majorBidi"/>
                <w:sz w:val="20"/>
                <w:szCs w:val="20"/>
                <w:lang w:bidi="ar-EG"/>
              </w:rPr>
            </w:pPr>
            <w:r w:rsidRPr="00CF5377">
              <w:rPr>
                <w:rFonts w:asciiTheme="majorBidi" w:hAnsiTheme="majorBidi" w:cstheme="majorBidi"/>
                <w:sz w:val="20"/>
                <w:szCs w:val="20"/>
                <w:lang w:bidi="ar-EG"/>
              </w:rPr>
              <w:t>ATAGATCGCCGTGAAGAGG</w:t>
            </w:r>
          </w:p>
        </w:tc>
        <w:tc>
          <w:tcPr>
            <w:tcW w:w="1710" w:type="dxa"/>
          </w:tcPr>
          <w:p w:rsidR="00864158" w:rsidRPr="00CF5377" w:rsidRDefault="00864158" w:rsidP="00DC0232">
            <w:pPr>
              <w:spacing w:line="360" w:lineRule="auto"/>
              <w:jc w:val="center"/>
              <w:rPr>
                <w:rFonts w:asciiTheme="majorBidi" w:hAnsiTheme="majorBidi" w:cstheme="majorBidi"/>
                <w:sz w:val="20"/>
                <w:szCs w:val="20"/>
                <w:lang w:bidi="ar-EG"/>
              </w:rPr>
            </w:pPr>
            <w:r w:rsidRPr="00CF5377">
              <w:rPr>
                <w:rFonts w:asciiTheme="majorBidi" w:hAnsiTheme="majorBidi" w:cstheme="majorBidi"/>
                <w:sz w:val="20"/>
                <w:szCs w:val="20"/>
                <w:lang w:bidi="ar-EG"/>
              </w:rPr>
              <w:t>50</w:t>
            </w:r>
          </w:p>
        </w:tc>
        <w:tc>
          <w:tcPr>
            <w:tcW w:w="1170" w:type="dxa"/>
          </w:tcPr>
          <w:p w:rsidR="00864158" w:rsidRPr="00CF5377" w:rsidRDefault="00864158" w:rsidP="00DC0232">
            <w:pPr>
              <w:spacing w:line="360" w:lineRule="auto"/>
              <w:jc w:val="center"/>
              <w:rPr>
                <w:rFonts w:asciiTheme="majorBidi" w:hAnsiTheme="majorBidi" w:cstheme="majorBidi"/>
                <w:sz w:val="20"/>
                <w:szCs w:val="20"/>
                <w:lang w:bidi="ar-EG"/>
              </w:rPr>
            </w:pPr>
            <w:r w:rsidRPr="00CF5377">
              <w:rPr>
                <w:rFonts w:asciiTheme="majorBidi" w:hAnsiTheme="majorBidi" w:cstheme="majorBidi"/>
                <w:sz w:val="20"/>
                <w:szCs w:val="20"/>
                <w:lang w:bidi="ar-EG"/>
              </w:rPr>
              <w:t>209</w:t>
            </w:r>
          </w:p>
        </w:tc>
        <w:tc>
          <w:tcPr>
            <w:tcW w:w="2070" w:type="dxa"/>
          </w:tcPr>
          <w:p w:rsidR="00864158" w:rsidRPr="00CF5377" w:rsidRDefault="00864158" w:rsidP="002B3F79">
            <w:pPr>
              <w:spacing w:line="360" w:lineRule="auto"/>
              <w:jc w:val="center"/>
              <w:rPr>
                <w:rFonts w:asciiTheme="majorBidi" w:hAnsiTheme="majorBidi" w:cstheme="majorBidi"/>
                <w:sz w:val="20"/>
                <w:szCs w:val="20"/>
                <w:lang w:bidi="ar-EG"/>
              </w:rPr>
            </w:pPr>
            <w:r w:rsidRPr="00CF5377">
              <w:rPr>
                <w:rFonts w:asciiTheme="majorBidi" w:hAnsiTheme="majorBidi" w:cstheme="majorBidi"/>
                <w:sz w:val="20"/>
                <w:szCs w:val="20"/>
                <w:lang w:bidi="ar-EG"/>
              </w:rPr>
              <w:fldChar w:fldCharType="begin"/>
            </w:r>
            <w:r w:rsidR="002B3F79">
              <w:rPr>
                <w:rFonts w:asciiTheme="majorBidi" w:hAnsiTheme="majorBidi" w:cstheme="majorBidi"/>
                <w:sz w:val="20"/>
                <w:szCs w:val="20"/>
                <w:lang w:bidi="ar-EG"/>
              </w:rPr>
              <w:instrText xml:space="preserve"> ADDIN EN.CITE &lt;EndNote&gt;&lt;Cite&gt;&lt;Author&gt;Ng&lt;/Author&gt;&lt;Year&gt;2001&lt;/Year&gt;&lt;RecNum&gt;40&lt;/RecNum&gt;&lt;DisplayText&gt;(Ng et al. 2001)&lt;/DisplayText&gt;&lt;record&gt;&lt;rec-number&gt;40&lt;/rec-number&gt;&lt;foreign-keys&gt;&lt;key app="EN" db-id="0vapd2223sd5wze295vvvftbp5wwxvzdsa9w" timestamp="1744133223"&gt;40&lt;/key&gt;&lt;/foreign-keys&gt;&lt;ref-type name="Journal Article"&gt;17&lt;/ref-type&gt;&lt;contributors&gt;&lt;authors&gt;&lt;author&gt;Ng, L-K&lt;/author&gt;&lt;author&gt;Martin, Iain&lt;/author&gt;&lt;author&gt;Alfa, Michelle&lt;/author&gt;&lt;author&gt;Mulvey, Matthew&lt;/author&gt;&lt;/authors&gt;&lt;/contributors&gt;&lt;titles&gt;&lt;title&gt;Multiplex PCR for the detection of tetracycline resistant genes&lt;/title&gt;&lt;secondary-title&gt;Molecular and cellular probes&lt;/secondary-title&gt;&lt;/titles&gt;&lt;periodical&gt;&lt;full-title&gt;Molecular and cellular probes&lt;/full-title&gt;&lt;/periodical&gt;&lt;pages&gt;209-215&lt;/pages&gt;&lt;volume&gt;15&lt;/volume&gt;&lt;number&gt;4&lt;/number&gt;&lt;dates&gt;&lt;year&gt;2001&lt;/year&gt;&lt;/dates&gt;&lt;isbn&gt;0890-8508&lt;/isbn&gt;&lt;urls&gt;&lt;/urls&gt;&lt;/record&gt;&lt;/Cite&gt;&lt;/EndNote&gt;</w:instrText>
            </w:r>
            <w:r w:rsidRPr="00CF5377">
              <w:rPr>
                <w:rFonts w:asciiTheme="majorBidi" w:hAnsiTheme="majorBidi" w:cstheme="majorBidi"/>
                <w:sz w:val="20"/>
                <w:szCs w:val="20"/>
                <w:lang w:bidi="ar-EG"/>
              </w:rPr>
              <w:fldChar w:fldCharType="separate"/>
            </w:r>
            <w:r w:rsidR="002B3F79">
              <w:rPr>
                <w:rFonts w:asciiTheme="majorBidi" w:hAnsiTheme="majorBidi" w:cstheme="majorBidi"/>
                <w:noProof/>
                <w:sz w:val="20"/>
                <w:szCs w:val="20"/>
                <w:lang w:bidi="ar-EG"/>
              </w:rPr>
              <w:t>(Ng et al. 2001)</w:t>
            </w:r>
            <w:r w:rsidRPr="00CF5377">
              <w:rPr>
                <w:rFonts w:asciiTheme="majorBidi" w:hAnsiTheme="majorBidi" w:cstheme="majorBidi"/>
                <w:sz w:val="20"/>
                <w:szCs w:val="20"/>
                <w:lang w:bidi="ar-EG"/>
              </w:rPr>
              <w:fldChar w:fldCharType="end"/>
            </w:r>
          </w:p>
        </w:tc>
      </w:tr>
    </w:tbl>
    <w:p w:rsidR="00864158" w:rsidRPr="00CF5377" w:rsidRDefault="00864158" w:rsidP="00864158">
      <w:pPr>
        <w:spacing w:after="0" w:line="360" w:lineRule="auto"/>
        <w:rPr>
          <w:rFonts w:asciiTheme="majorBidi" w:hAnsiTheme="majorBidi" w:cstheme="majorBidi"/>
          <w:kern w:val="2"/>
          <w:sz w:val="20"/>
          <w:szCs w:val="20"/>
          <w:lang w:bidi="ar-EG"/>
          <w14:ligatures w14:val="standardContextual"/>
        </w:rPr>
      </w:pPr>
    </w:p>
    <w:p w:rsidR="002B3F79" w:rsidRDefault="002B3F79" w:rsidP="002B3F79">
      <w:pPr>
        <w:spacing w:line="480" w:lineRule="auto"/>
        <w:jc w:val="both"/>
        <w:rPr>
          <w:rFonts w:asciiTheme="majorBidi" w:hAnsiTheme="majorBidi" w:cstheme="majorBidi"/>
          <w:color w:val="212121"/>
          <w:sz w:val="24"/>
          <w:szCs w:val="24"/>
          <w:shd w:val="clear" w:color="auto" w:fill="FFFFFF"/>
        </w:rPr>
      </w:pPr>
    </w:p>
    <w:p w:rsidR="002B3F79" w:rsidRPr="002B3F79" w:rsidRDefault="002B3F79" w:rsidP="002B3F79">
      <w:pPr>
        <w:spacing w:line="480" w:lineRule="auto"/>
        <w:jc w:val="both"/>
        <w:rPr>
          <w:b/>
          <w:bCs/>
        </w:rPr>
      </w:pPr>
      <w:r w:rsidRPr="002B3F79">
        <w:rPr>
          <w:rFonts w:asciiTheme="majorBidi" w:hAnsiTheme="majorBidi" w:cstheme="majorBidi"/>
          <w:b/>
          <w:bCs/>
          <w:color w:val="212121"/>
          <w:sz w:val="24"/>
          <w:szCs w:val="24"/>
          <w:shd w:val="clear" w:color="auto" w:fill="FFFFFF"/>
        </w:rPr>
        <w:t>References</w:t>
      </w:r>
      <w:r w:rsidRPr="002B3F79">
        <w:rPr>
          <w:b/>
          <w:bCs/>
        </w:rPr>
        <w:t xml:space="preserve"> </w:t>
      </w:r>
    </w:p>
    <w:p w:rsidR="002B3F79" w:rsidRPr="002B3F79" w:rsidRDefault="002B3F79" w:rsidP="002B3F79">
      <w:pPr>
        <w:pStyle w:val="EndNoteBibliography"/>
        <w:spacing w:after="0"/>
        <w:ind w:left="720" w:hanging="720"/>
      </w:pPr>
      <w:r>
        <w:fldChar w:fldCharType="begin"/>
      </w:r>
      <w:r>
        <w:instrText xml:space="preserve"> ADDIN EN.REFLIST </w:instrText>
      </w:r>
      <w:r>
        <w:fldChar w:fldCharType="separate"/>
      </w:r>
      <w:r w:rsidRPr="002B3F79">
        <w:t xml:space="preserve">Herold BC, Immergluck LC, Maranan MC, Lauderdale DS, Gaskin RE, Boyle-Vavra S, Leitch CD, Daum RS (1998) Community-acquired methicillin-resistant Staphylococcus aureus in children with no identified predisposing risk. Jama 279(8):593-598 </w:t>
      </w:r>
    </w:p>
    <w:p w:rsidR="002B3F79" w:rsidRPr="002B3F79" w:rsidRDefault="002B3F79" w:rsidP="002B3F79">
      <w:pPr>
        <w:pStyle w:val="EndNoteBibliography"/>
        <w:spacing w:after="0"/>
        <w:ind w:left="720" w:hanging="720"/>
      </w:pPr>
      <w:r w:rsidRPr="002B3F79">
        <w:t xml:space="preserve">Martineau F, Picard FoJ, Lansac N, Ménard C, Roy PH, Ouellette M, Bergeron MG (2000) Correlation between the resistance genotype determined by multiplex PCR assays and the antibiotic susceptibility patterns of Staphylococcus aureus and Staphylococcus epidermidis. Antimicrobial agents and chemotherapy 44(2):231-238 </w:t>
      </w:r>
    </w:p>
    <w:p w:rsidR="002B3F79" w:rsidRPr="002B3F79" w:rsidRDefault="002B3F79" w:rsidP="002B3F79">
      <w:pPr>
        <w:pStyle w:val="EndNoteBibliography"/>
        <w:ind w:left="720" w:hanging="720"/>
      </w:pPr>
      <w:r w:rsidRPr="002B3F79">
        <w:t xml:space="preserve">Ng L-K, Martin I, Alfa M, Mulvey M (2001) Multiplex PCR for the detection of tetracycline resistant genes. Molecular and cellular probes 15(4):209-215 </w:t>
      </w:r>
    </w:p>
    <w:p w:rsidR="002F7992" w:rsidRDefault="002B3F79" w:rsidP="002B3F79">
      <w:r>
        <w:fldChar w:fldCharType="end"/>
      </w:r>
    </w:p>
    <w:sectPr w:rsidR="002F79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Applied Microbiol Biotech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apd2223sd5wze295vvvftbp5wwxvzdsa9w&quot;&gt;Carvone wound healing&lt;record-ids&gt;&lt;item&gt;38&lt;/item&gt;&lt;item&gt;39&lt;/item&gt;&lt;item&gt;40&lt;/item&gt;&lt;/record-ids&gt;&lt;/item&gt;&lt;/Libraries&gt;"/>
  </w:docVars>
  <w:rsids>
    <w:rsidRoot w:val="00864158"/>
    <w:rsid w:val="002B3F79"/>
    <w:rsid w:val="002F7992"/>
    <w:rsid w:val="008641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4DF11"/>
  <w15:chartTrackingRefBased/>
  <w15:docId w15:val="{9BF97C37-6824-47D8-A02E-E2A6BB7E5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158"/>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4158"/>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B3F79"/>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2B3F79"/>
    <w:rPr>
      <w:rFonts w:ascii="Calibri" w:hAnsi="Calibri"/>
      <w:noProof/>
    </w:rPr>
  </w:style>
  <w:style w:type="paragraph" w:customStyle="1" w:styleId="EndNoteBibliography">
    <w:name w:val="EndNote Bibliography"/>
    <w:basedOn w:val="Normal"/>
    <w:link w:val="EndNoteBibliographyChar"/>
    <w:rsid w:val="002B3F79"/>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2B3F79"/>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774</Words>
  <Characters>4678</Characters>
  <Application>Microsoft Office Word</Application>
  <DocSecurity>0</DocSecurity>
  <Lines>85</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new</cp:lastModifiedBy>
  <cp:revision>2</cp:revision>
  <dcterms:created xsi:type="dcterms:W3CDTF">2025-05-11T17:38:00Z</dcterms:created>
  <dcterms:modified xsi:type="dcterms:W3CDTF">2025-05-11T18:06:00Z</dcterms:modified>
</cp:coreProperties>
</file>