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96AE4" w14:textId="772B3928" w:rsidR="00411DAB" w:rsidRPr="00E01169" w:rsidRDefault="00FD1B79" w:rsidP="00411DAB">
      <w:pPr>
        <w:widowControl w:val="0"/>
        <w:autoSpaceDE w:val="0"/>
        <w:autoSpaceDN w:val="0"/>
        <w:adjustRightInd w:val="0"/>
        <w:spacing w:line="360" w:lineRule="auto"/>
        <w:jc w:val="both"/>
        <w:rPr>
          <w:b/>
          <w:bCs/>
          <w:noProof/>
          <w:kern w:val="0"/>
          <w:sz w:val="28"/>
          <w:szCs w:val="36"/>
        </w:rPr>
      </w:pPr>
      <w:r>
        <w:rPr>
          <w:b/>
          <w:bCs/>
          <w:noProof/>
          <w:kern w:val="0"/>
          <w:sz w:val="28"/>
          <w:szCs w:val="36"/>
        </w:rPr>
        <w:t>R</w:t>
      </w:r>
      <w:r w:rsidRPr="00E01169">
        <w:rPr>
          <w:b/>
          <w:bCs/>
          <w:noProof/>
          <w:kern w:val="0"/>
          <w:sz w:val="28"/>
          <w:szCs w:val="36"/>
        </w:rPr>
        <w:t>edox</w:t>
      </w:r>
      <w:r>
        <w:rPr>
          <w:b/>
          <w:bCs/>
          <w:noProof/>
          <w:kern w:val="0"/>
          <w:sz w:val="28"/>
          <w:szCs w:val="36"/>
        </w:rPr>
        <w:t>-</w:t>
      </w:r>
      <w:r w:rsidRPr="00E01169">
        <w:rPr>
          <w:b/>
          <w:bCs/>
          <w:noProof/>
          <w:kern w:val="0"/>
          <w:sz w:val="28"/>
          <w:szCs w:val="36"/>
        </w:rPr>
        <w:t xml:space="preserve">based dual-substrate fermentation enhances sustainable production </w:t>
      </w:r>
      <w:r>
        <w:rPr>
          <w:b/>
          <w:bCs/>
          <w:noProof/>
          <w:kern w:val="0"/>
          <w:sz w:val="28"/>
          <w:szCs w:val="36"/>
        </w:rPr>
        <w:t xml:space="preserve">of </w:t>
      </w:r>
      <w:r w:rsidRPr="00E01169">
        <w:rPr>
          <w:b/>
          <w:bCs/>
          <w:noProof/>
          <w:kern w:val="0"/>
          <w:sz w:val="28"/>
          <w:szCs w:val="36"/>
        </w:rPr>
        <w:t xml:space="preserve">3-hydroxypropionic acid </w:t>
      </w:r>
      <w:r>
        <w:rPr>
          <w:b/>
          <w:bCs/>
          <w:noProof/>
          <w:kern w:val="0"/>
          <w:sz w:val="28"/>
          <w:szCs w:val="36"/>
        </w:rPr>
        <w:t>by recombinant</w:t>
      </w:r>
      <w:r w:rsidRPr="00E01169">
        <w:rPr>
          <w:b/>
          <w:bCs/>
          <w:noProof/>
          <w:kern w:val="0"/>
          <w:sz w:val="28"/>
          <w:szCs w:val="36"/>
        </w:rPr>
        <w:t xml:space="preserve"> </w:t>
      </w:r>
      <w:r w:rsidRPr="00E01169">
        <w:rPr>
          <w:b/>
          <w:bCs/>
          <w:i/>
          <w:iCs/>
          <w:noProof/>
          <w:kern w:val="0"/>
          <w:sz w:val="28"/>
          <w:szCs w:val="36"/>
        </w:rPr>
        <w:t>e. coli</w:t>
      </w:r>
    </w:p>
    <w:p w14:paraId="02DB0249" w14:textId="77777777" w:rsidR="00B83EB3" w:rsidRDefault="00B83EB3" w:rsidP="00B83EB3">
      <w:pPr>
        <w:jc w:val="center"/>
        <w:rPr>
          <w:rFonts w:eastAsia="Times New Roman"/>
          <w:vertAlign w:val="superscript"/>
        </w:rPr>
      </w:pPr>
      <w:r w:rsidRPr="00F66A4B">
        <w:rPr>
          <w:rFonts w:eastAsia="Times New Roman"/>
          <w:bCs/>
        </w:rPr>
        <w:t>Kala Baskar</w:t>
      </w:r>
      <w:r>
        <w:rPr>
          <w:rFonts w:eastAsia="Times New Roman"/>
        </w:rPr>
        <w:t>, Vishnu Prasad J, Guhan Jayaraman</w:t>
      </w:r>
      <w:r>
        <w:rPr>
          <w:rFonts w:eastAsia="Times New Roman"/>
          <w:vertAlign w:val="superscript"/>
        </w:rPr>
        <w:t>*</w:t>
      </w:r>
    </w:p>
    <w:p w14:paraId="26F367E3" w14:textId="77777777" w:rsidR="00B83EB3" w:rsidRDefault="00B83EB3" w:rsidP="00B83EB3">
      <w:pPr>
        <w:jc w:val="center"/>
        <w:rPr>
          <w:rFonts w:eastAsia="Times New Roman"/>
        </w:rPr>
      </w:pPr>
    </w:p>
    <w:p w14:paraId="62E5403D" w14:textId="77777777" w:rsidR="00B83EB3" w:rsidRPr="005A1BE1" w:rsidRDefault="00B83EB3" w:rsidP="00B83EB3">
      <w:pPr>
        <w:spacing w:line="360" w:lineRule="auto"/>
        <w:jc w:val="both"/>
        <w:rPr>
          <w:rFonts w:eastAsia="Times New Roman"/>
          <w:sz w:val="20"/>
          <w:szCs w:val="20"/>
        </w:rPr>
      </w:pPr>
      <w:r w:rsidRPr="005A1BE1">
        <w:rPr>
          <w:rFonts w:eastAsia="Times New Roman"/>
          <w:sz w:val="20"/>
          <w:szCs w:val="20"/>
        </w:rPr>
        <w:t>Bioprocess and Metabolic Engineering Laboratory, Department of Biotechnology, Bhupat and Jyoti Mehta School of Biosciences, Indian Institute of Technology Madras, Chennai, Tamil Nadu 600036, India</w:t>
      </w:r>
    </w:p>
    <w:p w14:paraId="0FDE4DAA" w14:textId="77777777" w:rsidR="00B83EB3" w:rsidRDefault="00B83EB3" w:rsidP="00B83EB3">
      <w:pPr>
        <w:rPr>
          <w:sz w:val="20"/>
          <w:szCs w:val="20"/>
        </w:rPr>
      </w:pPr>
      <w:r w:rsidRPr="005A1BE1">
        <w:rPr>
          <w:rFonts w:eastAsia="Times New Roman"/>
          <w:sz w:val="20"/>
          <w:szCs w:val="20"/>
        </w:rPr>
        <w:t xml:space="preserve">*Correspondence: </w:t>
      </w:r>
      <w:hyperlink r:id="rId6" w:history="1">
        <w:r w:rsidRPr="005A1BE1">
          <w:rPr>
            <w:rStyle w:val="Hyperlink"/>
            <w:rFonts w:eastAsia="Times New Roman"/>
            <w:sz w:val="20"/>
            <w:szCs w:val="20"/>
          </w:rPr>
          <w:t>guhanj@iitm.ac.in</w:t>
        </w:r>
      </w:hyperlink>
    </w:p>
    <w:p w14:paraId="7CD7F686" w14:textId="77777777" w:rsidR="00B83EB3" w:rsidRDefault="00B83EB3">
      <w:pPr>
        <w:rPr>
          <w:b/>
          <w:bCs/>
          <w:sz w:val="20"/>
          <w:szCs w:val="20"/>
        </w:rPr>
      </w:pPr>
      <w:r>
        <w:rPr>
          <w:b/>
          <w:bCs/>
          <w:sz w:val="20"/>
          <w:szCs w:val="20"/>
        </w:rPr>
        <w:br w:type="page"/>
      </w:r>
    </w:p>
    <w:p w14:paraId="2EE6571E" w14:textId="5B0FBF5F" w:rsidR="00B83EB3" w:rsidRDefault="00B83EB3" w:rsidP="00B83EB3">
      <w:pPr>
        <w:spacing w:line="360" w:lineRule="auto"/>
        <w:jc w:val="center"/>
        <w:rPr>
          <w:b/>
          <w:bCs/>
          <w:sz w:val="20"/>
          <w:szCs w:val="20"/>
        </w:rPr>
      </w:pPr>
      <w:r>
        <w:rPr>
          <w:b/>
          <w:bCs/>
          <w:sz w:val="20"/>
          <w:szCs w:val="20"/>
        </w:rPr>
        <w:lastRenderedPageBreak/>
        <w:t xml:space="preserve">Supplementary File </w:t>
      </w:r>
      <w:r w:rsidR="00CD7F6D">
        <w:rPr>
          <w:b/>
          <w:bCs/>
          <w:sz w:val="20"/>
          <w:szCs w:val="20"/>
        </w:rPr>
        <w:t>2</w:t>
      </w:r>
    </w:p>
    <w:p w14:paraId="5AF8C982" w14:textId="77777777" w:rsidR="00CD7F6D" w:rsidRDefault="00CD7F6D" w:rsidP="00B83EB3">
      <w:pPr>
        <w:spacing w:line="360" w:lineRule="auto"/>
        <w:jc w:val="center"/>
        <w:rPr>
          <w:b/>
          <w:bCs/>
          <w:sz w:val="20"/>
          <w:szCs w:val="20"/>
        </w:rPr>
      </w:pPr>
    </w:p>
    <w:p w14:paraId="19E39EF5" w14:textId="63218C6C" w:rsidR="00B83EB3" w:rsidRPr="00CD7F6D" w:rsidRDefault="00B83EB3" w:rsidP="00CD7F6D">
      <w:pPr>
        <w:pStyle w:val="ListParagraph"/>
        <w:numPr>
          <w:ilvl w:val="0"/>
          <w:numId w:val="1"/>
        </w:numPr>
        <w:spacing w:line="360" w:lineRule="auto"/>
        <w:jc w:val="both"/>
        <w:rPr>
          <w:b/>
          <w:bCs/>
          <w:sz w:val="20"/>
          <w:szCs w:val="20"/>
        </w:rPr>
      </w:pPr>
      <w:r w:rsidRPr="00CD7F6D">
        <w:rPr>
          <w:b/>
          <w:bCs/>
          <w:sz w:val="20"/>
          <w:szCs w:val="20"/>
        </w:rPr>
        <w:t xml:space="preserve">Glycerol as a sole carbon source for 3-HP production by engineered </w:t>
      </w:r>
      <w:r w:rsidRPr="00CD7F6D">
        <w:rPr>
          <w:b/>
          <w:bCs/>
          <w:i/>
          <w:iCs/>
          <w:sz w:val="20"/>
          <w:szCs w:val="20"/>
        </w:rPr>
        <w:t>E. coli</w:t>
      </w:r>
    </w:p>
    <w:p w14:paraId="13EF4790" w14:textId="77777777" w:rsidR="00B83EB3" w:rsidRPr="000C0081" w:rsidRDefault="00B83EB3" w:rsidP="00B83EB3">
      <w:pPr>
        <w:spacing w:line="360" w:lineRule="auto"/>
        <w:jc w:val="both"/>
        <w:rPr>
          <w:rFonts w:eastAsia="Times New Roman"/>
          <w:sz w:val="20"/>
          <w:szCs w:val="20"/>
        </w:rPr>
      </w:pPr>
      <w:r w:rsidRPr="000C0081">
        <w:rPr>
          <w:rFonts w:eastAsia="Times New Roman"/>
          <w:sz w:val="20"/>
          <w:szCs w:val="20"/>
        </w:rPr>
        <w:t xml:space="preserve">Glycerol is a highly reduced carbon source, and its </w:t>
      </w:r>
      <w:r>
        <w:rPr>
          <w:rFonts w:eastAsia="Times New Roman"/>
          <w:sz w:val="20"/>
          <w:szCs w:val="20"/>
        </w:rPr>
        <w:t>catabolism</w:t>
      </w:r>
      <w:r w:rsidRPr="000C0081">
        <w:rPr>
          <w:rFonts w:eastAsia="Times New Roman"/>
          <w:sz w:val="20"/>
          <w:szCs w:val="20"/>
        </w:rPr>
        <w:t xml:space="preserve"> generates substantial amount of NADH. In the engineered </w:t>
      </w:r>
      <w:r w:rsidRPr="00E97CF9">
        <w:rPr>
          <w:rFonts w:eastAsia="Times New Roman"/>
          <w:i/>
          <w:iCs/>
          <w:sz w:val="20"/>
          <w:szCs w:val="20"/>
        </w:rPr>
        <w:t>E. coli</w:t>
      </w:r>
      <w:r w:rsidRPr="000C0081">
        <w:rPr>
          <w:rFonts w:eastAsia="Times New Roman"/>
          <w:sz w:val="20"/>
          <w:szCs w:val="20"/>
        </w:rPr>
        <w:t xml:space="preserve"> EC1_KG23 (</w:t>
      </w:r>
      <w:r w:rsidRPr="000C0081">
        <w:rPr>
          <w:rFonts w:eastAsia="Times New Roman"/>
          <w:i/>
          <w:iCs/>
          <w:sz w:val="20"/>
          <w:szCs w:val="20"/>
        </w:rPr>
        <w:t>E. coli</w:t>
      </w:r>
      <w:r w:rsidRPr="000C0081">
        <w:rPr>
          <w:rFonts w:eastAsia="Times New Roman"/>
          <w:sz w:val="20"/>
          <w:szCs w:val="20"/>
        </w:rPr>
        <w:t xml:space="preserve"> W strain overexpressing</w:t>
      </w:r>
      <w:r>
        <w:rPr>
          <w:rFonts w:eastAsia="Times New Roman"/>
          <w:sz w:val="20"/>
          <w:szCs w:val="20"/>
        </w:rPr>
        <w:t xml:space="preserve"> codon optimized</w:t>
      </w:r>
      <w:r w:rsidRPr="000C0081">
        <w:rPr>
          <w:rFonts w:eastAsia="Times New Roman"/>
          <w:sz w:val="20"/>
          <w:szCs w:val="20"/>
        </w:rPr>
        <w:t xml:space="preserve"> </w:t>
      </w:r>
      <w:r w:rsidRPr="000C0081">
        <w:rPr>
          <w:rFonts w:eastAsia="Times New Roman"/>
          <w:i/>
          <w:iCs/>
          <w:sz w:val="20"/>
          <w:szCs w:val="20"/>
        </w:rPr>
        <w:t>dhaB</w:t>
      </w:r>
      <w:r w:rsidRPr="000C0081">
        <w:rPr>
          <w:rFonts w:eastAsia="Times New Roman"/>
          <w:sz w:val="20"/>
          <w:szCs w:val="20"/>
        </w:rPr>
        <w:t xml:space="preserve">, </w:t>
      </w:r>
      <w:r w:rsidRPr="000C0081">
        <w:rPr>
          <w:rFonts w:eastAsia="Times New Roman"/>
          <w:i/>
          <w:iCs/>
          <w:sz w:val="20"/>
          <w:szCs w:val="20"/>
        </w:rPr>
        <w:t>gdrAB</w:t>
      </w:r>
      <w:r w:rsidRPr="000C0081">
        <w:rPr>
          <w:rFonts w:eastAsia="Times New Roman"/>
          <w:sz w:val="20"/>
          <w:szCs w:val="20"/>
        </w:rPr>
        <w:t xml:space="preserve">, and </w:t>
      </w:r>
      <w:r w:rsidRPr="000C0081">
        <w:rPr>
          <w:rFonts w:eastAsia="Times New Roman"/>
          <w:i/>
          <w:iCs/>
          <w:sz w:val="20"/>
          <w:szCs w:val="20"/>
        </w:rPr>
        <w:t>kgsadh)</w:t>
      </w:r>
      <w:r w:rsidRPr="000C0081">
        <w:rPr>
          <w:rFonts w:eastAsia="Times New Roman"/>
          <w:sz w:val="20"/>
          <w:szCs w:val="20"/>
        </w:rPr>
        <w:t>, conversion of glycerol to 3-HP further increases this redox burden due to additional NADH formation during the conversion of 3-HPA to 3-HP. Consequently, maintaining intracellular redox homeostasis emerges as a critical challenge for sustained 3-HP production using glycerol as the sole carbon source.</w:t>
      </w:r>
    </w:p>
    <w:p w14:paraId="5D992D03" w14:textId="1DB97010" w:rsidR="00B83EB3" w:rsidRDefault="00B83EB3" w:rsidP="00B83EB3">
      <w:pPr>
        <w:spacing w:line="360" w:lineRule="auto"/>
        <w:jc w:val="both"/>
        <w:rPr>
          <w:rFonts w:eastAsia="Times New Roman"/>
          <w:sz w:val="20"/>
          <w:szCs w:val="20"/>
        </w:rPr>
      </w:pPr>
      <w:r w:rsidRPr="000C0081">
        <w:rPr>
          <w:rFonts w:eastAsia="Times New Roman"/>
          <w:sz w:val="20"/>
          <w:szCs w:val="20"/>
        </w:rPr>
        <w:t xml:space="preserve">When glycerol was supplied as the sole carbon source under optimized fed-batch </w:t>
      </w:r>
      <w:r>
        <w:rPr>
          <w:rFonts w:eastAsia="Times New Roman"/>
          <w:sz w:val="20"/>
          <w:szCs w:val="20"/>
        </w:rPr>
        <w:t>bio</w:t>
      </w:r>
      <w:r w:rsidRPr="000C0081">
        <w:rPr>
          <w:rFonts w:eastAsia="Times New Roman"/>
          <w:sz w:val="20"/>
          <w:szCs w:val="20"/>
        </w:rPr>
        <w:t xml:space="preserve">reactor conditions, the engineered </w:t>
      </w:r>
      <w:r w:rsidRPr="00E97CF9">
        <w:rPr>
          <w:rFonts w:eastAsia="Times New Roman"/>
          <w:i/>
          <w:iCs/>
          <w:sz w:val="20"/>
          <w:szCs w:val="20"/>
        </w:rPr>
        <w:t>E. coli</w:t>
      </w:r>
      <w:r w:rsidRPr="000C0081">
        <w:rPr>
          <w:rFonts w:eastAsia="Times New Roman"/>
          <w:sz w:val="20"/>
          <w:szCs w:val="20"/>
        </w:rPr>
        <w:t xml:space="preserve"> EC1_KG23 strain produced a </w:t>
      </w:r>
      <w:r w:rsidRPr="00537C41">
        <w:rPr>
          <w:rFonts w:eastAsia="Times New Roman"/>
          <w:color w:val="auto"/>
          <w:sz w:val="20"/>
          <w:szCs w:val="20"/>
        </w:rPr>
        <w:t xml:space="preserve">maximum of 326 mM 3-HP (Fig. </w:t>
      </w:r>
      <w:r>
        <w:rPr>
          <w:rFonts w:eastAsia="Times New Roman"/>
          <w:color w:val="auto"/>
          <w:sz w:val="20"/>
          <w:szCs w:val="20"/>
        </w:rPr>
        <w:t>S</w:t>
      </w:r>
      <w:r w:rsidR="00D227F8">
        <w:rPr>
          <w:rFonts w:eastAsia="Times New Roman"/>
          <w:color w:val="auto"/>
          <w:sz w:val="20"/>
          <w:szCs w:val="20"/>
        </w:rPr>
        <w:t>2.</w:t>
      </w:r>
      <w:r>
        <w:rPr>
          <w:rFonts w:eastAsia="Times New Roman"/>
          <w:color w:val="auto"/>
          <w:sz w:val="20"/>
          <w:szCs w:val="20"/>
        </w:rPr>
        <w:t>1</w:t>
      </w:r>
      <w:r w:rsidRPr="00537C41">
        <w:rPr>
          <w:rFonts w:eastAsia="Times New Roman"/>
          <w:color w:val="auto"/>
          <w:sz w:val="20"/>
          <w:szCs w:val="20"/>
        </w:rPr>
        <w:t xml:space="preserve">a). However, this was accompanied by a significant accumulation of 1,3-PDO </w:t>
      </w:r>
      <w:r>
        <w:rPr>
          <w:rFonts w:eastAsia="Times New Roman"/>
          <w:color w:val="auto"/>
          <w:sz w:val="20"/>
          <w:szCs w:val="20"/>
        </w:rPr>
        <w:t>(</w:t>
      </w:r>
      <w:r w:rsidRPr="00537C41">
        <w:rPr>
          <w:rFonts w:eastAsia="Times New Roman"/>
          <w:color w:val="auto"/>
          <w:sz w:val="20"/>
          <w:szCs w:val="20"/>
        </w:rPr>
        <w:t>136 mM</w:t>
      </w:r>
      <w:r>
        <w:rPr>
          <w:rFonts w:eastAsia="Times New Roman"/>
          <w:color w:val="auto"/>
          <w:sz w:val="20"/>
          <w:szCs w:val="20"/>
        </w:rPr>
        <w:t xml:space="preserve">) </w:t>
      </w:r>
      <w:r w:rsidRPr="00537C41">
        <w:rPr>
          <w:rFonts w:eastAsia="Times New Roman"/>
          <w:color w:val="auto"/>
          <w:sz w:val="20"/>
          <w:szCs w:val="20"/>
        </w:rPr>
        <w:t>and acetate</w:t>
      </w:r>
      <w:r>
        <w:rPr>
          <w:rFonts w:eastAsia="Times New Roman"/>
          <w:color w:val="auto"/>
          <w:sz w:val="20"/>
          <w:szCs w:val="20"/>
        </w:rPr>
        <w:t xml:space="preserve"> (</w:t>
      </w:r>
      <w:r w:rsidRPr="00537C41">
        <w:rPr>
          <w:rFonts w:eastAsia="Times New Roman"/>
          <w:color w:val="auto"/>
          <w:sz w:val="20"/>
          <w:szCs w:val="20"/>
        </w:rPr>
        <w:t>160 mM</w:t>
      </w:r>
      <w:r>
        <w:rPr>
          <w:rFonts w:eastAsia="Times New Roman"/>
          <w:color w:val="auto"/>
          <w:sz w:val="20"/>
          <w:szCs w:val="20"/>
        </w:rPr>
        <w:t xml:space="preserve">). Higher 1,3-PDO production </w:t>
      </w:r>
      <w:r w:rsidRPr="00537C41">
        <w:rPr>
          <w:rFonts w:eastAsia="Times New Roman"/>
          <w:color w:val="auto"/>
          <w:sz w:val="20"/>
          <w:szCs w:val="20"/>
        </w:rPr>
        <w:t>indicat</w:t>
      </w:r>
      <w:r>
        <w:rPr>
          <w:rFonts w:eastAsia="Times New Roman"/>
          <w:color w:val="auto"/>
          <w:sz w:val="20"/>
          <w:szCs w:val="20"/>
        </w:rPr>
        <w:t>es</w:t>
      </w:r>
      <w:r w:rsidRPr="00537C41">
        <w:rPr>
          <w:rFonts w:eastAsia="Times New Roman"/>
          <w:color w:val="auto"/>
          <w:sz w:val="20"/>
          <w:szCs w:val="20"/>
        </w:rPr>
        <w:t xml:space="preserve"> diversion of carbon flux toward NADH-consuming pathways. Prior to 3-HP pathway induction using IPTG, the intracellular NAD⁺/NADH ratio was 2.5</w:t>
      </w:r>
      <w:r>
        <w:rPr>
          <w:rFonts w:eastAsia="Times New Roman"/>
          <w:color w:val="auto"/>
          <w:sz w:val="20"/>
          <w:szCs w:val="20"/>
        </w:rPr>
        <w:t>7 (Fig. S</w:t>
      </w:r>
      <w:r w:rsidR="00D227F8">
        <w:rPr>
          <w:rFonts w:eastAsia="Times New Roman"/>
          <w:color w:val="auto"/>
          <w:sz w:val="20"/>
          <w:szCs w:val="20"/>
        </w:rPr>
        <w:t>2.</w:t>
      </w:r>
      <w:r>
        <w:rPr>
          <w:rFonts w:eastAsia="Times New Roman"/>
          <w:color w:val="auto"/>
          <w:sz w:val="20"/>
          <w:szCs w:val="20"/>
        </w:rPr>
        <w:t>1</w:t>
      </w:r>
      <w:r w:rsidR="00411DAB">
        <w:rPr>
          <w:rFonts w:eastAsia="Times New Roman"/>
          <w:color w:val="auto"/>
          <w:sz w:val="20"/>
          <w:szCs w:val="20"/>
        </w:rPr>
        <w:t>c</w:t>
      </w:r>
      <w:r>
        <w:rPr>
          <w:rFonts w:eastAsia="Times New Roman"/>
          <w:color w:val="auto"/>
          <w:sz w:val="20"/>
          <w:szCs w:val="20"/>
        </w:rPr>
        <w:t>)</w:t>
      </w:r>
      <w:r w:rsidRPr="00537C41">
        <w:rPr>
          <w:rFonts w:eastAsia="Times New Roman"/>
          <w:color w:val="auto"/>
          <w:sz w:val="20"/>
          <w:szCs w:val="20"/>
        </w:rPr>
        <w:t xml:space="preserve">. </w:t>
      </w:r>
      <w:r w:rsidRPr="000E0DEC">
        <w:rPr>
          <w:rFonts w:eastAsia="Times New Roman"/>
          <w:sz w:val="20"/>
          <w:szCs w:val="20"/>
        </w:rPr>
        <w:t>Following induction, the total intracellular NAD(H) pool decreased</w:t>
      </w:r>
      <w:r>
        <w:rPr>
          <w:rFonts w:eastAsia="Times New Roman"/>
          <w:sz w:val="20"/>
          <w:szCs w:val="20"/>
        </w:rPr>
        <w:t xml:space="preserve"> along with NADH</w:t>
      </w:r>
      <w:r w:rsidRPr="000E0DEC">
        <w:rPr>
          <w:rFonts w:eastAsia="Times New Roman"/>
          <w:sz w:val="20"/>
          <w:szCs w:val="20"/>
        </w:rPr>
        <w:t>, whereas the NAD⁺ pool remained relatively stable</w:t>
      </w:r>
      <w:r>
        <w:rPr>
          <w:rFonts w:eastAsia="Times New Roman"/>
          <w:sz w:val="20"/>
          <w:szCs w:val="20"/>
        </w:rPr>
        <w:t xml:space="preserve"> (Fig. S</w:t>
      </w:r>
      <w:r w:rsidR="00D227F8">
        <w:rPr>
          <w:rFonts w:eastAsia="Times New Roman"/>
          <w:sz w:val="20"/>
          <w:szCs w:val="20"/>
        </w:rPr>
        <w:t>2.</w:t>
      </w:r>
      <w:r>
        <w:rPr>
          <w:rFonts w:eastAsia="Times New Roman"/>
          <w:sz w:val="20"/>
          <w:szCs w:val="20"/>
        </w:rPr>
        <w:t>1</w:t>
      </w:r>
      <w:r w:rsidR="00411DAB">
        <w:rPr>
          <w:rFonts w:eastAsia="Times New Roman"/>
          <w:sz w:val="20"/>
          <w:szCs w:val="20"/>
        </w:rPr>
        <w:t>c</w:t>
      </w:r>
      <w:r>
        <w:rPr>
          <w:rFonts w:eastAsia="Times New Roman"/>
          <w:sz w:val="20"/>
          <w:szCs w:val="20"/>
        </w:rPr>
        <w:t xml:space="preserve">, </w:t>
      </w:r>
      <w:r w:rsidR="00411DAB">
        <w:rPr>
          <w:rFonts w:eastAsia="Times New Roman"/>
          <w:sz w:val="20"/>
          <w:szCs w:val="20"/>
        </w:rPr>
        <w:t>d</w:t>
      </w:r>
      <w:r>
        <w:rPr>
          <w:rFonts w:eastAsia="Times New Roman"/>
          <w:sz w:val="20"/>
          <w:szCs w:val="20"/>
        </w:rPr>
        <w:t>)</w:t>
      </w:r>
      <w:r w:rsidRPr="000E0DEC">
        <w:rPr>
          <w:rFonts w:eastAsia="Times New Roman"/>
          <w:sz w:val="20"/>
          <w:szCs w:val="20"/>
        </w:rPr>
        <w:t xml:space="preserve">. This maintenance of NAD⁺ levels is likely </w:t>
      </w:r>
      <w:r>
        <w:rPr>
          <w:rFonts w:eastAsia="Times New Roman"/>
          <w:sz w:val="20"/>
          <w:szCs w:val="20"/>
        </w:rPr>
        <w:t>due</w:t>
      </w:r>
      <w:r w:rsidRPr="000E0DEC">
        <w:rPr>
          <w:rFonts w:eastAsia="Times New Roman"/>
          <w:sz w:val="20"/>
          <w:szCs w:val="20"/>
        </w:rPr>
        <w:t xml:space="preserve"> to the concomitant production of 1,3-PDO, which facilitates NAD⁺ regeneration.</w:t>
      </w:r>
      <w:r>
        <w:rPr>
          <w:rFonts w:eastAsia="Times New Roman"/>
          <w:sz w:val="20"/>
          <w:szCs w:val="20"/>
        </w:rPr>
        <w:t xml:space="preserve"> During the exponential growth phase, the initial production of 3-</w:t>
      </w:r>
      <w:r w:rsidRPr="0089361C">
        <w:rPr>
          <w:rFonts w:eastAsia="Times New Roman"/>
          <w:sz w:val="20"/>
          <w:szCs w:val="20"/>
        </w:rPr>
        <w:t>HP (</w:t>
      </w:r>
      <w:r>
        <w:rPr>
          <w:rFonts w:eastAsia="Times New Roman"/>
          <w:sz w:val="20"/>
          <w:szCs w:val="20"/>
        </w:rPr>
        <w:t xml:space="preserve">150 mM, </w:t>
      </w:r>
      <w:r w:rsidRPr="0089361C">
        <w:rPr>
          <w:rFonts w:eastAsia="Times New Roman"/>
          <w:sz w:val="20"/>
          <w:szCs w:val="20"/>
        </w:rPr>
        <w:t>corresponding to ~18 mM 3-HP/g</w:t>
      </w:r>
      <w:r w:rsidRPr="0089361C">
        <w:rPr>
          <w:rFonts w:eastAsia="Times New Roman"/>
          <w:sz w:val="20"/>
          <w:szCs w:val="20"/>
          <w:vertAlign w:val="subscript"/>
        </w:rPr>
        <w:t>DCW</w:t>
      </w:r>
      <w:r w:rsidRPr="0089361C">
        <w:rPr>
          <w:rFonts w:eastAsia="Times New Roman"/>
          <w:sz w:val="20"/>
          <w:szCs w:val="20"/>
        </w:rPr>
        <w:t>) was accompanied by ~1.3 mM 1,3-PDO/g</w:t>
      </w:r>
      <w:r w:rsidRPr="0089361C">
        <w:rPr>
          <w:rFonts w:eastAsia="Times New Roman"/>
          <w:sz w:val="20"/>
          <w:szCs w:val="20"/>
          <w:vertAlign w:val="subscript"/>
        </w:rPr>
        <w:t>DCW</w:t>
      </w:r>
      <w:r w:rsidRPr="0089361C">
        <w:rPr>
          <w:rFonts w:eastAsia="Times New Roman"/>
          <w:sz w:val="20"/>
          <w:szCs w:val="20"/>
        </w:rPr>
        <w:t>. As 3-HP concentration increased beyond 150 mM (~20 mM 3-HP/g</w:t>
      </w:r>
      <w:r w:rsidRPr="0089361C">
        <w:rPr>
          <w:rFonts w:eastAsia="Times New Roman"/>
          <w:sz w:val="20"/>
          <w:szCs w:val="20"/>
          <w:vertAlign w:val="subscript"/>
        </w:rPr>
        <w:t>DCW</w:t>
      </w:r>
      <w:r w:rsidRPr="0089361C">
        <w:rPr>
          <w:rFonts w:eastAsia="Times New Roman"/>
          <w:sz w:val="20"/>
          <w:szCs w:val="20"/>
        </w:rPr>
        <w:t>), 1,3-PDO formation increased markedly to 3.5 mM/g</w:t>
      </w:r>
      <w:r w:rsidRPr="0089361C">
        <w:rPr>
          <w:rFonts w:eastAsia="Times New Roman"/>
          <w:sz w:val="20"/>
          <w:szCs w:val="20"/>
          <w:vertAlign w:val="subscript"/>
        </w:rPr>
        <w:t>DCW</w:t>
      </w:r>
      <w:r w:rsidRPr="0089361C">
        <w:rPr>
          <w:rFonts w:eastAsia="Times New Roman"/>
          <w:sz w:val="20"/>
          <w:szCs w:val="20"/>
        </w:rPr>
        <w:t>.</w:t>
      </w:r>
      <w:r>
        <w:rPr>
          <w:rFonts w:eastAsia="Times New Roman"/>
          <w:sz w:val="20"/>
          <w:szCs w:val="20"/>
        </w:rPr>
        <w:t xml:space="preserve"> </w:t>
      </w:r>
      <w:r w:rsidRPr="000E0DEC">
        <w:rPr>
          <w:rFonts w:eastAsia="Times New Roman"/>
          <w:sz w:val="20"/>
          <w:szCs w:val="20"/>
        </w:rPr>
        <w:t>After 21 h, 3-HP production declined sharply</w:t>
      </w:r>
      <w:r>
        <w:rPr>
          <w:rFonts w:eastAsia="Times New Roman"/>
          <w:sz w:val="20"/>
          <w:szCs w:val="20"/>
        </w:rPr>
        <w:t>, leading to</w:t>
      </w:r>
      <w:r w:rsidRPr="000E0DEC">
        <w:rPr>
          <w:rFonts w:eastAsia="Times New Roman"/>
          <w:sz w:val="20"/>
          <w:szCs w:val="20"/>
        </w:rPr>
        <w:t xml:space="preserve"> a reduced demand for NAD⁺ regeneration, </w:t>
      </w:r>
      <w:r>
        <w:rPr>
          <w:rFonts w:eastAsia="Times New Roman"/>
          <w:sz w:val="20"/>
          <w:szCs w:val="20"/>
        </w:rPr>
        <w:t>which has resulted in a relatively constant level of 1,3-PDO during this period (~ 50 mM) (Fig. S</w:t>
      </w:r>
      <w:r w:rsidR="00D227F8">
        <w:rPr>
          <w:rFonts w:eastAsia="Times New Roman"/>
          <w:sz w:val="20"/>
          <w:szCs w:val="20"/>
        </w:rPr>
        <w:t>2.</w:t>
      </w:r>
      <w:r>
        <w:rPr>
          <w:rFonts w:eastAsia="Times New Roman"/>
          <w:sz w:val="20"/>
          <w:szCs w:val="20"/>
        </w:rPr>
        <w:t>1a).</w:t>
      </w:r>
    </w:p>
    <w:p w14:paraId="5860B3CA" w14:textId="77777777" w:rsidR="00B83EB3" w:rsidRDefault="00B83EB3" w:rsidP="00B83EB3">
      <w:pPr>
        <w:spacing w:line="360" w:lineRule="auto"/>
        <w:jc w:val="both"/>
        <w:rPr>
          <w:rFonts w:eastAsia="Times New Roman"/>
          <w:sz w:val="20"/>
          <w:szCs w:val="20"/>
        </w:rPr>
      </w:pPr>
      <w:r w:rsidRPr="000E0DEC">
        <w:rPr>
          <w:rFonts w:eastAsia="Times New Roman"/>
          <w:sz w:val="20"/>
          <w:szCs w:val="20"/>
        </w:rPr>
        <w:t>Upon transition into the stationary phase, 1,3-PDO production increased further from 3.5 mM</w:t>
      </w:r>
      <w:r>
        <w:rPr>
          <w:rFonts w:eastAsia="Times New Roman"/>
          <w:sz w:val="20"/>
          <w:szCs w:val="20"/>
        </w:rPr>
        <w:t>/</w:t>
      </w:r>
      <w:r w:rsidRPr="000E0DEC">
        <w:rPr>
          <w:rFonts w:eastAsia="Times New Roman"/>
          <w:sz w:val="20"/>
          <w:szCs w:val="20"/>
        </w:rPr>
        <w:t>g</w:t>
      </w:r>
      <w:r w:rsidRPr="000E0DEC">
        <w:rPr>
          <w:rFonts w:eastAsia="Times New Roman"/>
          <w:sz w:val="20"/>
          <w:szCs w:val="20"/>
          <w:vertAlign w:val="subscript"/>
        </w:rPr>
        <w:t>DCW</w:t>
      </w:r>
      <w:r>
        <w:rPr>
          <w:rFonts w:eastAsia="Times New Roman"/>
          <w:sz w:val="20"/>
          <w:szCs w:val="20"/>
        </w:rPr>
        <w:t xml:space="preserve"> t</w:t>
      </w:r>
      <w:r w:rsidRPr="000E0DEC">
        <w:rPr>
          <w:rFonts w:eastAsia="Times New Roman"/>
          <w:sz w:val="20"/>
          <w:szCs w:val="20"/>
        </w:rPr>
        <w:t>o 6.3–</w:t>
      </w:r>
      <w:r>
        <w:rPr>
          <w:rFonts w:eastAsia="Times New Roman"/>
          <w:sz w:val="20"/>
          <w:szCs w:val="20"/>
        </w:rPr>
        <w:t>8</w:t>
      </w:r>
      <w:r w:rsidRPr="000E0DEC">
        <w:rPr>
          <w:rFonts w:eastAsia="Times New Roman"/>
          <w:sz w:val="20"/>
          <w:szCs w:val="20"/>
        </w:rPr>
        <w:t xml:space="preserve"> mM</w:t>
      </w:r>
      <w:r>
        <w:rPr>
          <w:rFonts w:eastAsia="Times New Roman"/>
          <w:sz w:val="20"/>
          <w:szCs w:val="20"/>
        </w:rPr>
        <w:t>/</w:t>
      </w:r>
      <w:r w:rsidRPr="000E0DEC">
        <w:rPr>
          <w:rFonts w:eastAsia="Times New Roman"/>
          <w:sz w:val="20"/>
          <w:szCs w:val="20"/>
        </w:rPr>
        <w:t>g</w:t>
      </w:r>
      <w:r w:rsidRPr="000E0DEC">
        <w:rPr>
          <w:rFonts w:eastAsia="Times New Roman"/>
          <w:sz w:val="20"/>
          <w:szCs w:val="20"/>
          <w:vertAlign w:val="subscript"/>
        </w:rPr>
        <w:t>DCW</w:t>
      </w:r>
      <w:r w:rsidRPr="000E0DEC">
        <w:rPr>
          <w:rFonts w:eastAsia="Times New Roman"/>
          <w:sz w:val="20"/>
          <w:szCs w:val="20"/>
        </w:rPr>
        <w:t xml:space="preserve">, despite only </w:t>
      </w:r>
      <w:r>
        <w:rPr>
          <w:rFonts w:eastAsia="Times New Roman"/>
          <w:sz w:val="20"/>
          <w:szCs w:val="20"/>
        </w:rPr>
        <w:t xml:space="preserve">~ </w:t>
      </w:r>
      <w:r w:rsidRPr="000E0DEC">
        <w:rPr>
          <w:rFonts w:eastAsia="Times New Roman"/>
          <w:sz w:val="20"/>
          <w:szCs w:val="20"/>
        </w:rPr>
        <w:t>20–22 mM 3-HP</w:t>
      </w:r>
      <w:r>
        <w:rPr>
          <w:rFonts w:eastAsia="Times New Roman"/>
          <w:sz w:val="20"/>
          <w:szCs w:val="20"/>
        </w:rPr>
        <w:t>/</w:t>
      </w:r>
      <w:r w:rsidRPr="000E0DEC">
        <w:rPr>
          <w:rFonts w:eastAsia="Times New Roman"/>
          <w:sz w:val="20"/>
          <w:szCs w:val="20"/>
        </w:rPr>
        <w:t>g</w:t>
      </w:r>
      <w:r w:rsidRPr="000E0DEC">
        <w:rPr>
          <w:rFonts w:eastAsia="Times New Roman"/>
          <w:sz w:val="20"/>
          <w:szCs w:val="20"/>
          <w:vertAlign w:val="subscript"/>
        </w:rPr>
        <w:t>DCW</w:t>
      </w:r>
      <w:r w:rsidRPr="000E0DEC">
        <w:rPr>
          <w:rFonts w:eastAsia="Times New Roman"/>
          <w:sz w:val="20"/>
          <w:szCs w:val="20"/>
        </w:rPr>
        <w:t xml:space="preserve"> being produced. Collectively, these findings demonstrate that during the growth phase, increasing 3-HP production is associated with elevated 1,3-PDO formation, </w:t>
      </w:r>
      <w:r>
        <w:rPr>
          <w:rFonts w:eastAsia="Times New Roman"/>
          <w:sz w:val="20"/>
          <w:szCs w:val="20"/>
        </w:rPr>
        <w:t>while</w:t>
      </w:r>
      <w:r w:rsidRPr="000E0DEC">
        <w:rPr>
          <w:rFonts w:eastAsia="Times New Roman"/>
          <w:sz w:val="20"/>
          <w:szCs w:val="20"/>
        </w:rPr>
        <w:t xml:space="preserve"> in the stationary phase, minimal 3-HP synthesis is accompanied by disproportionate by-product accumulation. Overall, these results highlight that, </w:t>
      </w:r>
      <w:r w:rsidRPr="000C0081">
        <w:rPr>
          <w:rFonts w:eastAsia="Times New Roman"/>
          <w:sz w:val="20"/>
          <w:szCs w:val="20"/>
        </w:rPr>
        <w:t xml:space="preserve">even under optimized conditions, </w:t>
      </w:r>
      <w:r>
        <w:rPr>
          <w:rFonts w:eastAsia="Times New Roman"/>
          <w:sz w:val="20"/>
          <w:szCs w:val="20"/>
        </w:rPr>
        <w:t xml:space="preserve">using </w:t>
      </w:r>
      <w:r w:rsidRPr="000C0081">
        <w:rPr>
          <w:rFonts w:eastAsia="Times New Roman"/>
          <w:sz w:val="20"/>
          <w:szCs w:val="20"/>
        </w:rPr>
        <w:t>glycerol as the sole carbon source imposes a severe redox constraint that limits prolonged 3-HP biosynthesis.</w:t>
      </w:r>
      <w:r>
        <w:rPr>
          <w:rFonts w:eastAsia="Times New Roman"/>
          <w:sz w:val="20"/>
          <w:szCs w:val="20"/>
        </w:rPr>
        <w:t xml:space="preserve"> </w:t>
      </w:r>
    </w:p>
    <w:p w14:paraId="10DE3536" w14:textId="6174ADF6" w:rsidR="00B83EB3" w:rsidRDefault="00164BBA" w:rsidP="00B83EB3">
      <w:pPr>
        <w:spacing w:line="360" w:lineRule="auto"/>
        <w:jc w:val="both"/>
        <w:rPr>
          <w:rFonts w:eastAsia="Times New Roman"/>
          <w:sz w:val="20"/>
          <w:szCs w:val="20"/>
        </w:rPr>
      </w:pPr>
      <w:r>
        <w:rPr>
          <w:noProof/>
        </w:rPr>
        <w:lastRenderedPageBreak/>
        <w:drawing>
          <wp:inline distT="0" distB="0" distL="0" distR="0" wp14:anchorId="2417FEA5" wp14:editId="5BA20BC1">
            <wp:extent cx="5731510" cy="5561965"/>
            <wp:effectExtent l="0" t="0" r="2540" b="635"/>
            <wp:docPr id="276490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561965"/>
                    </a:xfrm>
                    <a:prstGeom prst="rect">
                      <a:avLst/>
                    </a:prstGeom>
                    <a:noFill/>
                    <a:ln>
                      <a:noFill/>
                    </a:ln>
                  </pic:spPr>
                </pic:pic>
              </a:graphicData>
            </a:graphic>
          </wp:inline>
        </w:drawing>
      </w:r>
    </w:p>
    <w:p w14:paraId="37AC1084" w14:textId="5DED2C6B" w:rsidR="00B83EB3" w:rsidRDefault="00B83EB3" w:rsidP="00B83EB3">
      <w:pPr>
        <w:spacing w:line="360" w:lineRule="auto"/>
        <w:jc w:val="both"/>
        <w:rPr>
          <w:rFonts w:eastAsia="Times New Roman"/>
          <w:sz w:val="20"/>
          <w:szCs w:val="20"/>
        </w:rPr>
      </w:pPr>
      <w:r>
        <w:rPr>
          <w:rFonts w:eastAsia="Times New Roman"/>
          <w:b/>
          <w:bCs/>
          <w:sz w:val="20"/>
          <w:szCs w:val="20"/>
        </w:rPr>
        <w:t>F</w:t>
      </w:r>
      <w:r w:rsidRPr="004E13B7">
        <w:rPr>
          <w:rFonts w:eastAsia="Times New Roman"/>
          <w:b/>
          <w:bCs/>
          <w:sz w:val="20"/>
          <w:szCs w:val="20"/>
        </w:rPr>
        <w:t xml:space="preserve">ig. </w:t>
      </w:r>
      <w:r>
        <w:rPr>
          <w:rFonts w:eastAsia="Times New Roman"/>
          <w:b/>
          <w:bCs/>
          <w:sz w:val="20"/>
          <w:szCs w:val="20"/>
        </w:rPr>
        <w:t>S</w:t>
      </w:r>
      <w:r w:rsidR="00CD7F6D">
        <w:rPr>
          <w:rFonts w:eastAsia="Times New Roman"/>
          <w:b/>
          <w:bCs/>
          <w:sz w:val="20"/>
          <w:szCs w:val="20"/>
        </w:rPr>
        <w:t>2.1</w:t>
      </w:r>
      <w:r w:rsidRPr="004E13B7">
        <w:rPr>
          <w:rFonts w:eastAsia="Times New Roman"/>
          <w:sz w:val="20"/>
          <w:szCs w:val="20"/>
        </w:rPr>
        <w:t xml:space="preserve"> </w:t>
      </w:r>
      <w:r>
        <w:rPr>
          <w:rFonts w:eastAsia="Times New Roman"/>
          <w:sz w:val="20"/>
          <w:szCs w:val="20"/>
        </w:rPr>
        <w:t xml:space="preserve">Fed-batch production profile of </w:t>
      </w:r>
      <w:r w:rsidRPr="004E13B7">
        <w:rPr>
          <w:rFonts w:eastAsia="Times New Roman"/>
          <w:i/>
          <w:iCs/>
          <w:sz w:val="20"/>
          <w:szCs w:val="20"/>
        </w:rPr>
        <w:t>E.</w:t>
      </w:r>
      <w:r>
        <w:rPr>
          <w:rFonts w:eastAsia="Times New Roman"/>
          <w:i/>
          <w:iCs/>
          <w:sz w:val="20"/>
          <w:szCs w:val="20"/>
        </w:rPr>
        <w:t xml:space="preserve"> </w:t>
      </w:r>
      <w:r w:rsidRPr="004E13B7">
        <w:rPr>
          <w:rFonts w:eastAsia="Times New Roman"/>
          <w:i/>
          <w:iCs/>
          <w:color w:val="auto"/>
          <w:sz w:val="20"/>
          <w:szCs w:val="20"/>
        </w:rPr>
        <w:t>coli</w:t>
      </w:r>
      <w:r w:rsidRPr="004E13B7">
        <w:rPr>
          <w:rFonts w:eastAsia="Times New Roman"/>
          <w:color w:val="auto"/>
          <w:sz w:val="20"/>
          <w:szCs w:val="20"/>
        </w:rPr>
        <w:t xml:space="preserve"> EC1_KG23 </w:t>
      </w:r>
      <w:r w:rsidRPr="004E13B7">
        <w:rPr>
          <w:rFonts w:eastAsia="Times New Roman"/>
          <w:sz w:val="20"/>
          <w:szCs w:val="20"/>
        </w:rPr>
        <w:t>strain with glycerol as sole carbon source</w:t>
      </w:r>
      <w:r>
        <w:rPr>
          <w:rFonts w:eastAsia="Times New Roman"/>
          <w:sz w:val="20"/>
          <w:szCs w:val="20"/>
        </w:rPr>
        <w:t xml:space="preserve">, cultivated at </w:t>
      </w:r>
      <w:r w:rsidRPr="004E13B7">
        <w:rPr>
          <w:rFonts w:eastAsia="Times New Roman"/>
          <w:sz w:val="20"/>
          <w:szCs w:val="20"/>
        </w:rPr>
        <w:t>5 % DO</w:t>
      </w:r>
      <w:r>
        <w:rPr>
          <w:rFonts w:eastAsia="Times New Roman"/>
          <w:sz w:val="20"/>
          <w:szCs w:val="20"/>
        </w:rPr>
        <w:t>. T</w:t>
      </w:r>
      <w:r w:rsidRPr="004E13B7">
        <w:rPr>
          <w:rFonts w:eastAsia="Times New Roman"/>
          <w:sz w:val="20"/>
          <w:szCs w:val="20"/>
        </w:rPr>
        <w:t xml:space="preserve">he cells were induced at 6 h. (a) </w:t>
      </w:r>
      <w:r w:rsidR="000958B9" w:rsidRPr="004E13B7">
        <w:rPr>
          <w:sz w:val="20"/>
          <w:szCs w:val="20"/>
        </w:rPr>
        <w:t>OD</w:t>
      </w:r>
      <w:r w:rsidR="000958B9" w:rsidRPr="004E13B7">
        <w:rPr>
          <w:sz w:val="20"/>
          <w:szCs w:val="20"/>
          <w:vertAlign w:val="subscript"/>
        </w:rPr>
        <w:t>600</w:t>
      </w:r>
      <w:r w:rsidR="000958B9" w:rsidRPr="004E13B7">
        <w:rPr>
          <w:sz w:val="20"/>
          <w:szCs w:val="20"/>
        </w:rPr>
        <w:t xml:space="preserve"> </w:t>
      </w:r>
      <w:r w:rsidR="000958B9">
        <w:rPr>
          <w:sz w:val="20"/>
          <w:szCs w:val="20"/>
        </w:rPr>
        <w:t xml:space="preserve">and metabolite production profile: </w:t>
      </w:r>
      <w:r w:rsidR="00411DAB" w:rsidRPr="004E13B7">
        <w:rPr>
          <w:sz w:val="20"/>
          <w:szCs w:val="20"/>
        </w:rPr>
        <w:t>OD</w:t>
      </w:r>
      <w:r w:rsidR="00411DAB" w:rsidRPr="004E13B7">
        <w:rPr>
          <w:sz w:val="20"/>
          <w:szCs w:val="20"/>
          <w:vertAlign w:val="subscript"/>
        </w:rPr>
        <w:t>600</w:t>
      </w:r>
      <w:r w:rsidR="00411DAB" w:rsidRPr="004E13B7">
        <w:rPr>
          <w:sz w:val="20"/>
          <w:szCs w:val="20"/>
        </w:rPr>
        <w:t xml:space="preserve"> – closed square</w:t>
      </w:r>
      <w:r w:rsidR="00411DAB" w:rsidRPr="004E13B7">
        <w:rPr>
          <w:b/>
          <w:bCs/>
          <w:sz w:val="20"/>
          <w:szCs w:val="20"/>
        </w:rPr>
        <w:t xml:space="preserve"> </w:t>
      </w:r>
      <w:r w:rsidR="00411DAB" w:rsidRPr="004E13B7">
        <w:rPr>
          <w:sz w:val="20"/>
          <w:szCs w:val="20"/>
        </w:rPr>
        <w:sym w:font="Wingdings" w:char="F06E"/>
      </w:r>
      <w:r w:rsidR="00411DAB" w:rsidRPr="004E13B7">
        <w:rPr>
          <w:sz w:val="20"/>
          <w:szCs w:val="20"/>
        </w:rPr>
        <w:t xml:space="preserve">, 3-HP – closed circle </w:t>
      </w:r>
      <w:r w:rsidR="00411DAB" w:rsidRPr="004E13B7">
        <w:rPr>
          <w:sz w:val="20"/>
          <w:szCs w:val="20"/>
        </w:rPr>
        <w:sym w:font="Wingdings" w:char="F06C"/>
      </w:r>
      <w:r w:rsidR="00411DAB" w:rsidRPr="004E13B7">
        <w:rPr>
          <w:sz w:val="20"/>
          <w:szCs w:val="20"/>
        </w:rPr>
        <w:t xml:space="preserve">, acetate – closed </w:t>
      </w:r>
      <w:r w:rsidR="00411DAB">
        <w:rPr>
          <w:sz w:val="20"/>
          <w:szCs w:val="20"/>
        </w:rPr>
        <w:t>triangle</w:t>
      </w:r>
      <w:r w:rsidR="00411DAB" w:rsidRPr="004E13B7">
        <w:rPr>
          <w:sz w:val="20"/>
          <w:szCs w:val="20"/>
        </w:rPr>
        <w:t xml:space="preserve"> </w:t>
      </w:r>
      <w:r w:rsidR="00411DAB" w:rsidRPr="004E13B7">
        <w:rPr>
          <w:sz w:val="20"/>
          <w:szCs w:val="20"/>
        </w:rPr>
        <w:sym w:font="Wingdings 3" w:char="F070"/>
      </w:r>
      <w:r w:rsidR="00411DAB" w:rsidRPr="004E13B7">
        <w:rPr>
          <w:sz w:val="20"/>
          <w:szCs w:val="20"/>
        </w:rPr>
        <w:t xml:space="preserve">, 1,3-PDO – closed diamond </w:t>
      </w:r>
      <w:r w:rsidR="00411DAB" w:rsidRPr="004E13B7">
        <w:rPr>
          <w:sz w:val="20"/>
          <w:szCs w:val="20"/>
        </w:rPr>
        <w:sym w:font="Wingdings" w:char="F074"/>
      </w:r>
      <w:r w:rsidR="00411DAB" w:rsidRPr="004E13B7">
        <w:rPr>
          <w:rFonts w:eastAsia="Times New Roman"/>
          <w:sz w:val="20"/>
          <w:szCs w:val="20"/>
        </w:rPr>
        <w:t xml:space="preserve"> </w:t>
      </w:r>
      <w:r w:rsidRPr="004E13B7">
        <w:rPr>
          <w:rFonts w:eastAsia="Times New Roman"/>
          <w:sz w:val="20"/>
          <w:szCs w:val="20"/>
        </w:rPr>
        <w:t>(</w:t>
      </w:r>
      <w:r>
        <w:rPr>
          <w:rFonts w:eastAsia="Times New Roman"/>
          <w:sz w:val="20"/>
          <w:szCs w:val="20"/>
        </w:rPr>
        <w:t>b</w:t>
      </w:r>
      <w:r w:rsidRPr="00F26146">
        <w:rPr>
          <w:rFonts w:eastAsia="Times New Roman"/>
          <w:sz w:val="20"/>
          <w:szCs w:val="20"/>
        </w:rPr>
        <w:t>)</w:t>
      </w:r>
      <w:r w:rsidR="00101104">
        <w:rPr>
          <w:rFonts w:eastAsia="Times New Roman"/>
          <w:sz w:val="20"/>
          <w:szCs w:val="20"/>
        </w:rPr>
        <w:t xml:space="preserve"> Cumulative consumption profile of Glycerol (</w:t>
      </w:r>
      <w:r>
        <w:rPr>
          <w:rFonts w:eastAsia="Times New Roman"/>
          <w:sz w:val="20"/>
          <w:szCs w:val="20"/>
        </w:rPr>
        <w:t>c)</w:t>
      </w:r>
      <w:r w:rsidR="00101104">
        <w:rPr>
          <w:rFonts w:eastAsia="Times New Roman"/>
          <w:sz w:val="20"/>
          <w:szCs w:val="20"/>
        </w:rPr>
        <w:t xml:space="preserve"> &amp; (d)</w:t>
      </w:r>
      <w:r>
        <w:rPr>
          <w:rFonts w:eastAsia="Times New Roman"/>
          <w:sz w:val="20"/>
          <w:szCs w:val="20"/>
        </w:rPr>
        <w:t xml:space="preserve"> </w:t>
      </w:r>
      <w:r w:rsidRPr="00F26146">
        <w:rPr>
          <w:rFonts w:eastAsia="Times New Roman"/>
          <w:sz w:val="20"/>
          <w:szCs w:val="20"/>
        </w:rPr>
        <w:t xml:space="preserve">Intracellular NAD(H) profile showing NAD⁺, NAD⁺/NADH ratio, total NAD(H) </w:t>
      </w:r>
      <w:r>
        <w:rPr>
          <w:rFonts w:eastAsia="Times New Roman"/>
          <w:sz w:val="20"/>
          <w:szCs w:val="20"/>
        </w:rPr>
        <w:t xml:space="preserve">and NADH </w:t>
      </w:r>
      <w:r w:rsidRPr="00F26146">
        <w:rPr>
          <w:rFonts w:eastAsia="Times New Roman"/>
          <w:sz w:val="20"/>
          <w:szCs w:val="20"/>
        </w:rPr>
        <w:t>levels</w:t>
      </w:r>
      <w:r>
        <w:rPr>
          <w:rFonts w:eastAsia="Times New Roman"/>
          <w:sz w:val="20"/>
          <w:szCs w:val="20"/>
        </w:rPr>
        <w:t xml:space="preserve"> respectively at different time-points in the fermentation</w:t>
      </w:r>
      <w:r w:rsidRPr="00F26146">
        <w:rPr>
          <w:rFonts w:eastAsia="Times New Roman"/>
          <w:sz w:val="20"/>
          <w:szCs w:val="20"/>
        </w:rPr>
        <w:t>.</w:t>
      </w:r>
      <w:r>
        <w:rPr>
          <w:rFonts w:eastAsia="Times New Roman"/>
          <w:sz w:val="20"/>
          <w:szCs w:val="20"/>
        </w:rPr>
        <w:t xml:space="preserve"> Statistical significance</w:t>
      </w:r>
      <w:r w:rsidR="00101104">
        <w:rPr>
          <w:rFonts w:eastAsia="Times New Roman"/>
          <w:sz w:val="20"/>
          <w:szCs w:val="20"/>
        </w:rPr>
        <w:t xml:space="preserve"> (p&lt;0.05)</w:t>
      </w:r>
      <w:r>
        <w:rPr>
          <w:rFonts w:eastAsia="Times New Roman"/>
          <w:sz w:val="20"/>
          <w:szCs w:val="20"/>
        </w:rPr>
        <w:t xml:space="preserve"> is represented as follows. </w:t>
      </w:r>
      <w:r w:rsidRPr="002C4099">
        <w:rPr>
          <w:rFonts w:eastAsia="Times New Roman"/>
          <w:sz w:val="20"/>
          <w:szCs w:val="20"/>
        </w:rPr>
        <w:t xml:space="preserve">* </w:t>
      </w:r>
      <w:r w:rsidR="00101104">
        <w:rPr>
          <w:rFonts w:eastAsia="Times New Roman"/>
          <w:sz w:val="20"/>
          <w:szCs w:val="20"/>
        </w:rPr>
        <w:t>C</w:t>
      </w:r>
      <w:r w:rsidRPr="002C4099">
        <w:rPr>
          <w:rFonts w:eastAsia="Times New Roman"/>
          <w:sz w:val="20"/>
          <w:szCs w:val="20"/>
        </w:rPr>
        <w:t xml:space="preserve">ompared with all </w:t>
      </w:r>
      <w:r>
        <w:rPr>
          <w:rFonts w:eastAsia="Times New Roman"/>
          <w:sz w:val="20"/>
          <w:szCs w:val="20"/>
        </w:rPr>
        <w:t xml:space="preserve">the </w:t>
      </w:r>
      <w:r w:rsidRPr="002C4099">
        <w:rPr>
          <w:rFonts w:eastAsia="Times New Roman"/>
          <w:sz w:val="20"/>
          <w:szCs w:val="20"/>
        </w:rPr>
        <w:t xml:space="preserve">time points; </w:t>
      </w:r>
      <w:r w:rsidRPr="002C4099">
        <w:rPr>
          <w:rFonts w:ascii="Arial" w:eastAsia="Times New Roman" w:hAnsi="Arial" w:cs="Arial"/>
          <w:sz w:val="20"/>
          <w:szCs w:val="20"/>
        </w:rPr>
        <w:t xml:space="preserve"># </w:t>
      </w:r>
      <w:r w:rsidRPr="002C4099">
        <w:rPr>
          <w:rFonts w:eastAsia="Times New Roman"/>
          <w:sz w:val="20"/>
          <w:szCs w:val="20"/>
        </w:rPr>
        <w:t xml:space="preserve">compared with 6 h; </w:t>
      </w:r>
      <w:r w:rsidRPr="002C4099">
        <w:rPr>
          <w:rFonts w:ascii="Arial" w:eastAsia="Times New Roman" w:hAnsi="Arial" w:cs="Arial"/>
          <w:sz w:val="20"/>
          <w:szCs w:val="20"/>
        </w:rPr>
        <w:t>$</w:t>
      </w:r>
      <w:r w:rsidRPr="002C4099">
        <w:rPr>
          <w:rFonts w:eastAsia="Times New Roman"/>
          <w:sz w:val="20"/>
          <w:szCs w:val="20"/>
        </w:rPr>
        <w:t xml:space="preserve"> compared with 13 h; </w:t>
      </w:r>
      <w:r w:rsidRPr="002C4099">
        <w:rPr>
          <w:rFonts w:ascii="Arial" w:eastAsia="Times New Roman" w:hAnsi="Arial" w:cs="Arial"/>
          <w:sz w:val="20"/>
          <w:szCs w:val="20"/>
        </w:rPr>
        <w:t>†</w:t>
      </w:r>
      <w:r w:rsidRPr="002C4099">
        <w:rPr>
          <w:rFonts w:eastAsia="Times New Roman"/>
          <w:sz w:val="20"/>
          <w:szCs w:val="20"/>
        </w:rPr>
        <w:t xml:space="preserve"> compared with 19 h; </w:t>
      </w:r>
      <w:r w:rsidRPr="002C4099">
        <w:rPr>
          <w:rFonts w:ascii="Arial" w:eastAsia="Times New Roman" w:hAnsi="Arial" w:cs="Arial"/>
          <w:sz w:val="20"/>
          <w:szCs w:val="20"/>
        </w:rPr>
        <w:t>‡</w:t>
      </w:r>
      <w:r w:rsidRPr="002C4099">
        <w:rPr>
          <w:rFonts w:eastAsia="Times New Roman"/>
          <w:sz w:val="20"/>
          <w:szCs w:val="20"/>
        </w:rPr>
        <w:t xml:space="preserve"> compared with 29 h; </w:t>
      </w:r>
      <w:r w:rsidRPr="002C4099">
        <w:rPr>
          <w:rFonts w:ascii="Arial" w:eastAsia="Times New Roman" w:hAnsi="Arial" w:cs="Arial"/>
          <w:sz w:val="20"/>
          <w:szCs w:val="20"/>
        </w:rPr>
        <w:t>¢</w:t>
      </w:r>
      <w:r w:rsidRPr="002C4099">
        <w:rPr>
          <w:rFonts w:eastAsia="Times New Roman"/>
          <w:sz w:val="20"/>
          <w:szCs w:val="20"/>
        </w:rPr>
        <w:t xml:space="preserve"> compared with 34 h; ¤ compared with 37 h</w:t>
      </w:r>
    </w:p>
    <w:p w14:paraId="1D01CCA7" w14:textId="09449FF2" w:rsidR="00E16BA9" w:rsidRDefault="00E16BA9" w:rsidP="00E16BA9">
      <w:pPr>
        <w:spacing w:line="360" w:lineRule="auto"/>
        <w:jc w:val="both"/>
        <w:rPr>
          <w:b/>
          <w:bCs/>
          <w:sz w:val="20"/>
          <w:szCs w:val="20"/>
        </w:rPr>
      </w:pPr>
    </w:p>
    <w:p w14:paraId="0D7DAE54" w14:textId="5521EAE0" w:rsidR="00E16BA9" w:rsidRPr="00CD7F6D" w:rsidRDefault="00E16BA9" w:rsidP="00CD7F6D">
      <w:pPr>
        <w:pStyle w:val="ListParagraph"/>
        <w:numPr>
          <w:ilvl w:val="0"/>
          <w:numId w:val="1"/>
        </w:numPr>
        <w:spacing w:line="360" w:lineRule="auto"/>
        <w:jc w:val="both"/>
        <w:rPr>
          <w:b/>
          <w:bCs/>
          <w:sz w:val="20"/>
          <w:szCs w:val="20"/>
        </w:rPr>
      </w:pPr>
      <w:r w:rsidRPr="00CD7F6D">
        <w:rPr>
          <w:b/>
          <w:bCs/>
          <w:sz w:val="20"/>
          <w:szCs w:val="20"/>
        </w:rPr>
        <w:t>Optimization of process parameters in fed-batch shake-flask studies</w:t>
      </w:r>
    </w:p>
    <w:p w14:paraId="29957ECB" w14:textId="10969DEC" w:rsidR="00E16BA9" w:rsidRPr="000C0081" w:rsidRDefault="00E16BA9" w:rsidP="00E16BA9">
      <w:pPr>
        <w:spacing w:line="360" w:lineRule="auto"/>
        <w:jc w:val="both"/>
        <w:rPr>
          <w:sz w:val="20"/>
          <w:szCs w:val="20"/>
        </w:rPr>
      </w:pPr>
      <w:r>
        <w:rPr>
          <w:sz w:val="20"/>
          <w:szCs w:val="20"/>
        </w:rPr>
        <w:t>The</w:t>
      </w:r>
      <w:r w:rsidRPr="000C0081">
        <w:rPr>
          <w:sz w:val="20"/>
          <w:szCs w:val="20"/>
        </w:rPr>
        <w:t xml:space="preserve"> influence of process parameters such as temperature and pH on cell growth and 3-HP production by the recombinant </w:t>
      </w:r>
      <w:r w:rsidRPr="000C0081">
        <w:rPr>
          <w:i/>
          <w:iCs/>
          <w:sz w:val="20"/>
          <w:szCs w:val="20"/>
        </w:rPr>
        <w:t>E. coli</w:t>
      </w:r>
      <w:r w:rsidRPr="000C0081">
        <w:rPr>
          <w:sz w:val="20"/>
          <w:szCs w:val="20"/>
        </w:rPr>
        <w:t xml:space="preserve"> </w:t>
      </w:r>
      <w:r w:rsidRPr="000C0081">
        <w:rPr>
          <w:rFonts w:eastAsia="Times New Roman"/>
          <w:sz w:val="20"/>
          <w:szCs w:val="20"/>
        </w:rPr>
        <w:t>EC2_</w:t>
      </w:r>
      <w:r w:rsidRPr="00951C26">
        <w:rPr>
          <w:rFonts w:eastAsia="Times New Roman"/>
          <w:sz w:val="20"/>
          <w:szCs w:val="20"/>
        </w:rPr>
        <w:t>KG23</w:t>
      </w:r>
      <w:r w:rsidRPr="00951C26">
        <w:rPr>
          <w:sz w:val="20"/>
          <w:szCs w:val="20"/>
        </w:rPr>
        <w:t xml:space="preserve"> strain </w:t>
      </w:r>
      <w:r w:rsidRPr="000C0081">
        <w:rPr>
          <w:sz w:val="20"/>
          <w:szCs w:val="20"/>
        </w:rPr>
        <w:t>was evaluated using fed-batch shake</w:t>
      </w:r>
      <w:r>
        <w:rPr>
          <w:sz w:val="20"/>
          <w:szCs w:val="20"/>
        </w:rPr>
        <w:t>-</w:t>
      </w:r>
      <w:r w:rsidRPr="000C0081">
        <w:rPr>
          <w:sz w:val="20"/>
          <w:szCs w:val="20"/>
        </w:rPr>
        <w:t xml:space="preserve">flask cultures. To assess the impact of temperature, cultures were grown at 30 and 37 °C while intermittently </w:t>
      </w:r>
      <w:r>
        <w:rPr>
          <w:sz w:val="20"/>
          <w:szCs w:val="20"/>
        </w:rPr>
        <w:t>adjusting</w:t>
      </w:r>
      <w:r w:rsidRPr="000C0081">
        <w:rPr>
          <w:sz w:val="20"/>
          <w:szCs w:val="20"/>
        </w:rPr>
        <w:t xml:space="preserve"> the pH at 7. Although both the temperatures resulted in comparable 3-HP titres, acetate accumulation was reduced at 30 °C by approximately </w:t>
      </w:r>
      <w:r w:rsidRPr="000C0081">
        <w:rPr>
          <w:sz w:val="20"/>
          <w:szCs w:val="20"/>
        </w:rPr>
        <w:lastRenderedPageBreak/>
        <w:t xml:space="preserve">35% (Table </w:t>
      </w:r>
      <w:r>
        <w:rPr>
          <w:sz w:val="20"/>
          <w:szCs w:val="20"/>
        </w:rPr>
        <w:t>S</w:t>
      </w:r>
      <w:r w:rsidRPr="000C0081">
        <w:rPr>
          <w:sz w:val="20"/>
          <w:szCs w:val="20"/>
        </w:rPr>
        <w:t>1). The faster cellular growth at 37 °C may have resulted in increased acetate formation due to carbon overflow metabolism</w:t>
      </w:r>
      <w:r>
        <w:rPr>
          <w:sz w:val="20"/>
          <w:szCs w:val="20"/>
        </w:rPr>
        <w:t xml:space="preserve"> </w:t>
      </w:r>
      <w:r>
        <w:rPr>
          <w:sz w:val="20"/>
          <w:szCs w:val="20"/>
        </w:rPr>
        <w:fldChar w:fldCharType="begin" w:fldLock="1"/>
      </w:r>
      <w:r>
        <w:rPr>
          <w:sz w:val="20"/>
          <w:szCs w:val="20"/>
        </w:rPr>
        <w:instrText>ADDIN CSL_CITATION {"citationItems":[{"id":"ITEM-1","itemData":{"DOI":"10.1128/mbio.01193-25","ISSN":"21507511","PMID":"40853131","abstract":"Bacterial overflow metabolism, where cells perform oxidative fermentation despite the availability of ample oxygen and carbon sources, remains a long-standing paradox in microbial metabolism. Traditional explanations attribute this phenomenon to bacterial physiology, including rapid growth, redox imbalances, competitive advantages in microbiomes, and catabolite repression. However, recent advances in systems biology have revealed additional contributing factors, such as thermodynamic constraints, proteome allocation efficiency, bioenergetics, and the membrane real estate hypothesis. Despite these insights, a comprehensive commentary that critically examines these perspectives is still lacking. In this mGem, we summarize key drivers of overflowoverflowoverflowmetabolism, examine state-of-the-art theories, and identify unresolved questions in current understanding. By evaluating multiple viewpoints, we aim to provide a cohesive analysis of bacterial overflow metabolism and contribute to a broader understanding of microbial physiology, regulatory networks, and evolutionary adaptations shaping metabolic strategies.","author":[{"dropping-particle":"","family":"Chowdhury","given":"Niaz Bahar","non-dropping-particle":"","parse-names":false,"suffix":""},{"dropping-particle":"","family":"Schroeder","given":"Wheaton L.","non-dropping-particle":"","parse-names":false,"suffix":""},{"dropping-particle":"","family":"Monteiro","given":"Lummy","non-dropping-particle":"","parse-names":false,"suffix":""},{"dropping-particle":"","family":"Burnum-Johnson","given":"Kristin E.","non-dropping-particle":"","parse-names":false,"suffix":""}],"container-title":"mBio","id":"ITEM-1","issue":"10","issued":{"date-parts":[["2025"]]},"page":"1-7","publisher":"American Society for Microbiology","title":"mGem: Revisiting bacterial overflow metabolism","type":"article-journal","volume":"16"},"uris":["http://www.mendeley.com/documents/?uuid=a1fcd870-e91d-47e2-97b9-126a4561bff6"]}],"mendeley":{"formattedCitation":"(Chowdhury et al. 2025)","plainTextFormattedCitation":"(Chowdhury et al. 2025)","previouslyFormattedCitation":"(Chowdhury et al. 2025)"},"properties":{"noteIndex":0},"schema":"https://github.com/citation-style-language/schema/raw/master/csl-citation.json"}</w:instrText>
      </w:r>
      <w:r>
        <w:rPr>
          <w:sz w:val="20"/>
          <w:szCs w:val="20"/>
        </w:rPr>
        <w:fldChar w:fldCharType="separate"/>
      </w:r>
      <w:r w:rsidRPr="004B5703">
        <w:rPr>
          <w:noProof/>
          <w:sz w:val="20"/>
          <w:szCs w:val="20"/>
        </w:rPr>
        <w:t>(Chowdhury et al. 2025)</w:t>
      </w:r>
      <w:r>
        <w:rPr>
          <w:sz w:val="20"/>
          <w:szCs w:val="20"/>
        </w:rPr>
        <w:fldChar w:fldCharType="end"/>
      </w:r>
      <w:r w:rsidRPr="000C0081">
        <w:rPr>
          <w:sz w:val="20"/>
          <w:szCs w:val="20"/>
        </w:rPr>
        <w:t>. Therefore, further experiments were performed at 30 °C. We also examined the effect of pH across a range of set points (pH 6.0, 6.5, 7.0, 7.5, and 8.0). At pH 6.0</w:t>
      </w:r>
      <w:r>
        <w:rPr>
          <w:sz w:val="20"/>
          <w:szCs w:val="20"/>
        </w:rPr>
        <w:t xml:space="preserve"> and 6.5</w:t>
      </w:r>
      <w:r w:rsidRPr="000C0081">
        <w:rPr>
          <w:sz w:val="20"/>
          <w:szCs w:val="20"/>
        </w:rPr>
        <w:t xml:space="preserve">, 3-HP production decreased sharply, indicating that acidic conditions adversely affect 3-HP production. At pH 7.5, 3-HP production was similar to that observed at pH 7.0. </w:t>
      </w:r>
      <w:r>
        <w:rPr>
          <w:sz w:val="20"/>
          <w:szCs w:val="20"/>
        </w:rPr>
        <w:t>C</w:t>
      </w:r>
      <w:r w:rsidRPr="000C0081">
        <w:rPr>
          <w:sz w:val="20"/>
          <w:szCs w:val="20"/>
        </w:rPr>
        <w:t>ultivation at pH 8.0 resulted in a 16.8% increase in 3-HP production at 24 h</w:t>
      </w:r>
      <w:r>
        <w:rPr>
          <w:sz w:val="20"/>
          <w:szCs w:val="20"/>
        </w:rPr>
        <w:t xml:space="preserve"> (Table S</w:t>
      </w:r>
      <w:r w:rsidR="00D227F8">
        <w:rPr>
          <w:sz w:val="20"/>
          <w:szCs w:val="20"/>
        </w:rPr>
        <w:t>2.</w:t>
      </w:r>
      <w:r>
        <w:rPr>
          <w:sz w:val="20"/>
          <w:szCs w:val="20"/>
        </w:rPr>
        <w:t>1)</w:t>
      </w:r>
      <w:r w:rsidRPr="000C0081">
        <w:rPr>
          <w:sz w:val="20"/>
          <w:szCs w:val="20"/>
        </w:rPr>
        <w:t xml:space="preserve">. However, analysis of intermediate time points revealed that 3-HP titres at 15 h were comparable for pH 7.0, 7.5, and 8.0, ranging between 80-100 mM (Table </w:t>
      </w:r>
      <w:r>
        <w:rPr>
          <w:sz w:val="20"/>
          <w:szCs w:val="20"/>
        </w:rPr>
        <w:t>S2</w:t>
      </w:r>
      <w:r w:rsidR="00D227F8">
        <w:rPr>
          <w:sz w:val="20"/>
          <w:szCs w:val="20"/>
        </w:rPr>
        <w:t>.2</w:t>
      </w:r>
      <w:r w:rsidRPr="000C0081">
        <w:rPr>
          <w:sz w:val="20"/>
          <w:szCs w:val="20"/>
        </w:rPr>
        <w:t>)</w:t>
      </w:r>
      <w:r>
        <w:rPr>
          <w:sz w:val="20"/>
          <w:szCs w:val="20"/>
        </w:rPr>
        <w:t>. This</w:t>
      </w:r>
      <w:r w:rsidRPr="000C0081">
        <w:rPr>
          <w:sz w:val="20"/>
          <w:szCs w:val="20"/>
        </w:rPr>
        <w:t xml:space="preserve"> </w:t>
      </w:r>
      <w:r>
        <w:rPr>
          <w:sz w:val="20"/>
          <w:szCs w:val="20"/>
        </w:rPr>
        <w:t>suggested</w:t>
      </w:r>
      <w:r w:rsidRPr="000C0081">
        <w:rPr>
          <w:sz w:val="20"/>
          <w:szCs w:val="20"/>
        </w:rPr>
        <w:t xml:space="preserve"> that the observed increase at 24 h under alkaline conditions may be attributed to a broader range </w:t>
      </w:r>
      <w:r>
        <w:rPr>
          <w:sz w:val="20"/>
          <w:szCs w:val="20"/>
        </w:rPr>
        <w:t xml:space="preserve">of </w:t>
      </w:r>
      <w:r w:rsidRPr="000C0081">
        <w:rPr>
          <w:sz w:val="20"/>
          <w:szCs w:val="20"/>
        </w:rPr>
        <w:t>effective</w:t>
      </w:r>
      <w:r>
        <w:rPr>
          <w:sz w:val="20"/>
          <w:szCs w:val="20"/>
        </w:rPr>
        <w:t>-</w:t>
      </w:r>
      <w:r w:rsidRPr="000C0081">
        <w:rPr>
          <w:sz w:val="20"/>
          <w:szCs w:val="20"/>
        </w:rPr>
        <w:t>pH experienced during the 15–24 h interval rather than an intrinsically higher production rate</w:t>
      </w:r>
      <w:r>
        <w:rPr>
          <w:sz w:val="20"/>
          <w:szCs w:val="20"/>
        </w:rPr>
        <w:t xml:space="preserve"> at pH 8</w:t>
      </w:r>
      <w:r w:rsidRPr="000C0081">
        <w:rPr>
          <w:sz w:val="20"/>
          <w:szCs w:val="20"/>
        </w:rPr>
        <w:t xml:space="preserve">. </w:t>
      </w:r>
    </w:p>
    <w:p w14:paraId="672E0703" w14:textId="3D3AF9EB" w:rsidR="00E16BA9" w:rsidRDefault="00E16BA9" w:rsidP="00E16BA9">
      <w:pPr>
        <w:spacing w:line="360" w:lineRule="auto"/>
        <w:jc w:val="both"/>
        <w:rPr>
          <w:sz w:val="20"/>
          <w:szCs w:val="20"/>
        </w:rPr>
      </w:pPr>
      <w:r w:rsidRPr="000C0081">
        <w:rPr>
          <w:sz w:val="20"/>
          <w:szCs w:val="20"/>
        </w:rPr>
        <w:t xml:space="preserve">These findings indicate that a pH window of </w:t>
      </w:r>
      <w:r w:rsidR="00223CD7">
        <w:rPr>
          <w:sz w:val="20"/>
          <w:szCs w:val="20"/>
        </w:rPr>
        <w:t>7</w:t>
      </w:r>
      <w:r w:rsidRPr="000C0081">
        <w:rPr>
          <w:sz w:val="20"/>
          <w:szCs w:val="20"/>
        </w:rPr>
        <w:t xml:space="preserve">–7.5 and a temperature of 30 ℃ is optimal for 3-HP production while minimizing </w:t>
      </w:r>
      <w:r>
        <w:rPr>
          <w:sz w:val="20"/>
          <w:szCs w:val="20"/>
        </w:rPr>
        <w:t>acetate</w:t>
      </w:r>
      <w:r w:rsidRPr="000C0081">
        <w:rPr>
          <w:sz w:val="20"/>
          <w:szCs w:val="20"/>
        </w:rPr>
        <w:t xml:space="preserve"> accumulation. </w:t>
      </w:r>
    </w:p>
    <w:p w14:paraId="20BB8BDD" w14:textId="540B6A8A" w:rsidR="00E16BA9" w:rsidRPr="004E13B7" w:rsidRDefault="00E16BA9" w:rsidP="00E16BA9">
      <w:pPr>
        <w:spacing w:line="360" w:lineRule="auto"/>
        <w:jc w:val="both"/>
        <w:rPr>
          <w:rFonts w:eastAsia="Times New Roman"/>
          <w:sz w:val="20"/>
          <w:szCs w:val="20"/>
        </w:rPr>
      </w:pPr>
      <w:r w:rsidRPr="004E13B7">
        <w:rPr>
          <w:rFonts w:eastAsia="Times New Roman"/>
          <w:b/>
          <w:bCs/>
          <w:sz w:val="20"/>
          <w:szCs w:val="20"/>
        </w:rPr>
        <w:t xml:space="preserve">Table </w:t>
      </w:r>
      <w:r>
        <w:rPr>
          <w:rFonts w:eastAsia="Times New Roman"/>
          <w:b/>
          <w:bCs/>
          <w:sz w:val="20"/>
          <w:szCs w:val="20"/>
        </w:rPr>
        <w:t>S</w:t>
      </w:r>
      <w:r w:rsidR="00CD7F6D">
        <w:rPr>
          <w:rFonts w:eastAsia="Times New Roman"/>
          <w:b/>
          <w:bCs/>
          <w:sz w:val="20"/>
          <w:szCs w:val="20"/>
        </w:rPr>
        <w:t>2.1</w:t>
      </w:r>
      <w:r w:rsidRPr="004E13B7">
        <w:rPr>
          <w:rFonts w:eastAsia="Times New Roman"/>
          <w:sz w:val="20"/>
          <w:szCs w:val="20"/>
        </w:rPr>
        <w:t xml:space="preserve"> </w:t>
      </w:r>
      <w:r w:rsidRPr="004E13B7">
        <w:rPr>
          <w:sz w:val="20"/>
          <w:szCs w:val="20"/>
        </w:rPr>
        <w:t xml:space="preserve">Effect of temperature and pH on 3-HP production </w:t>
      </w:r>
      <w:r>
        <w:rPr>
          <w:sz w:val="20"/>
          <w:szCs w:val="20"/>
        </w:rPr>
        <w:t>by</w:t>
      </w:r>
      <w:r w:rsidRPr="004E13B7">
        <w:rPr>
          <w:sz w:val="20"/>
          <w:szCs w:val="20"/>
        </w:rPr>
        <w:t xml:space="preserve"> </w:t>
      </w:r>
      <w:r w:rsidRPr="004E13B7">
        <w:rPr>
          <w:rFonts w:eastAsia="Times New Roman"/>
          <w:color w:val="auto"/>
          <w:sz w:val="20"/>
          <w:szCs w:val="20"/>
        </w:rPr>
        <w:t xml:space="preserve">EC2_KG23 </w:t>
      </w:r>
      <w:r w:rsidRPr="004E13B7">
        <w:rPr>
          <w:sz w:val="20"/>
          <w:szCs w:val="20"/>
        </w:rPr>
        <w:t xml:space="preserve">strain in </w:t>
      </w:r>
      <w:r>
        <w:rPr>
          <w:sz w:val="20"/>
          <w:szCs w:val="20"/>
        </w:rPr>
        <w:t xml:space="preserve">glycerol </w:t>
      </w:r>
      <w:r w:rsidRPr="004E13B7">
        <w:rPr>
          <w:sz w:val="20"/>
          <w:szCs w:val="20"/>
        </w:rPr>
        <w:t>fed-batch shake</w:t>
      </w:r>
      <w:r w:rsidR="00893AA1">
        <w:rPr>
          <w:sz w:val="20"/>
          <w:szCs w:val="20"/>
        </w:rPr>
        <w:t>-</w:t>
      </w:r>
      <w:r w:rsidRPr="004E13B7">
        <w:rPr>
          <w:sz w:val="20"/>
          <w:szCs w:val="20"/>
        </w:rPr>
        <w:t xml:space="preserve">flask </w:t>
      </w:r>
      <w:r>
        <w:rPr>
          <w:sz w:val="20"/>
          <w:szCs w:val="20"/>
        </w:rPr>
        <w:t>cultures,</w:t>
      </w:r>
      <w:r w:rsidRPr="004E13B7">
        <w:rPr>
          <w:sz w:val="20"/>
          <w:szCs w:val="20"/>
        </w:rPr>
        <w:t xml:space="preserve"> </w:t>
      </w:r>
      <w:r w:rsidRPr="004E13B7">
        <w:rPr>
          <w:rFonts w:eastAsia="Times New Roman"/>
          <w:sz w:val="20"/>
          <w:szCs w:val="20"/>
        </w:rPr>
        <w:t xml:space="preserve">with </w:t>
      </w:r>
      <w:r>
        <w:rPr>
          <w:rFonts w:eastAsia="Times New Roman"/>
          <w:sz w:val="20"/>
          <w:szCs w:val="20"/>
        </w:rPr>
        <w:t xml:space="preserve">glucose as secondary substrate. Initial concentrations of glucose and glycerol were 150 C-mM and 100 mM, respectively. Only glycerol (100 mM) was pulsed intermittently at 9h and 15 h. </w:t>
      </w:r>
      <w:r w:rsidRPr="004E13B7">
        <w:rPr>
          <w:rFonts w:eastAsia="Times New Roman"/>
          <w:sz w:val="20"/>
          <w:szCs w:val="20"/>
        </w:rPr>
        <w:t xml:space="preserve">OD₆₀₀, 3-HP and 1,3-PDO concentrations are reported at 24 h, while the maximum acetate concentration observed within 24 h is indicated. </w:t>
      </w:r>
      <w:r>
        <w:rPr>
          <w:rFonts w:eastAsia="Times New Roman"/>
          <w:sz w:val="20"/>
          <w:szCs w:val="20"/>
        </w:rPr>
        <w:t xml:space="preserve">The </w:t>
      </w:r>
      <w:r w:rsidRPr="004E13B7">
        <w:rPr>
          <w:rFonts w:eastAsia="Times New Roman"/>
          <w:sz w:val="20"/>
          <w:szCs w:val="20"/>
        </w:rPr>
        <w:t>pH</w:t>
      </w:r>
      <w:r>
        <w:rPr>
          <w:rFonts w:eastAsia="Times New Roman"/>
          <w:sz w:val="20"/>
          <w:szCs w:val="20"/>
        </w:rPr>
        <w:t xml:space="preserve"> was</w:t>
      </w:r>
      <w:r w:rsidRPr="004E13B7">
        <w:rPr>
          <w:rFonts w:eastAsia="Times New Roman"/>
          <w:sz w:val="20"/>
          <w:szCs w:val="20"/>
        </w:rPr>
        <w:t xml:space="preserve"> adjust</w:t>
      </w:r>
      <w:r>
        <w:rPr>
          <w:rFonts w:eastAsia="Times New Roman"/>
          <w:sz w:val="20"/>
          <w:szCs w:val="20"/>
        </w:rPr>
        <w:t xml:space="preserve">ed </w:t>
      </w:r>
      <w:r w:rsidRPr="004E13B7">
        <w:rPr>
          <w:rFonts w:eastAsia="Times New Roman"/>
          <w:sz w:val="20"/>
          <w:szCs w:val="20"/>
        </w:rPr>
        <w:t>intermittent</w:t>
      </w:r>
      <w:r>
        <w:rPr>
          <w:rFonts w:eastAsia="Times New Roman"/>
          <w:sz w:val="20"/>
          <w:szCs w:val="20"/>
        </w:rPr>
        <w:t>ly.</w:t>
      </w:r>
      <w:r w:rsidRPr="004E13B7">
        <w:rPr>
          <w:rFonts w:eastAsia="Times New Roman"/>
          <w:sz w:val="20"/>
          <w:szCs w:val="20"/>
        </w:rPr>
        <w:t xml:space="preserve"> Values represent mean ± standard deviation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979"/>
        <w:gridCol w:w="1199"/>
        <w:gridCol w:w="1319"/>
        <w:gridCol w:w="1226"/>
        <w:gridCol w:w="1126"/>
        <w:gridCol w:w="1292"/>
      </w:tblGrid>
      <w:tr w:rsidR="00E16BA9" w:rsidRPr="004E13B7" w14:paraId="13FDF960" w14:textId="77777777" w:rsidTr="00C931A4">
        <w:trPr>
          <w:trHeight w:val="380"/>
          <w:jc w:val="center"/>
        </w:trPr>
        <w:tc>
          <w:tcPr>
            <w:tcW w:w="2306" w:type="dxa"/>
            <w:gridSpan w:val="2"/>
            <w:vAlign w:val="center"/>
          </w:tcPr>
          <w:p w14:paraId="55F15D33" w14:textId="77777777" w:rsidR="00E16BA9" w:rsidRPr="004E13B7" w:rsidRDefault="00E16BA9" w:rsidP="00C931A4">
            <w:pPr>
              <w:spacing w:after="0" w:line="276" w:lineRule="auto"/>
              <w:jc w:val="center"/>
              <w:rPr>
                <w:rFonts w:eastAsia="Times New Roman"/>
                <w:b/>
                <w:bCs/>
                <w:color w:val="000000" w:themeColor="text1"/>
                <w:sz w:val="20"/>
                <w:szCs w:val="20"/>
                <w:lang w:eastAsia="en-IN"/>
              </w:rPr>
            </w:pPr>
            <w:r w:rsidRPr="004E13B7">
              <w:rPr>
                <w:rFonts w:eastAsia="Times New Roman"/>
                <w:b/>
                <w:bCs/>
                <w:color w:val="000000" w:themeColor="text1"/>
                <w:sz w:val="20"/>
                <w:szCs w:val="20"/>
                <w:lang w:eastAsia="en-IN"/>
              </w:rPr>
              <w:t>Process parameters</w:t>
            </w:r>
          </w:p>
        </w:tc>
        <w:tc>
          <w:tcPr>
            <w:tcW w:w="1199" w:type="dxa"/>
            <w:vMerge w:val="restart"/>
            <w:vAlign w:val="center"/>
          </w:tcPr>
          <w:p w14:paraId="2791450C" w14:textId="77777777" w:rsidR="00E16BA9" w:rsidRPr="004E13B7" w:rsidRDefault="00E16BA9" w:rsidP="00C931A4">
            <w:pPr>
              <w:spacing w:after="0" w:line="276" w:lineRule="auto"/>
              <w:jc w:val="center"/>
              <w:rPr>
                <w:rFonts w:eastAsia="Times New Roman"/>
                <w:b/>
                <w:bCs/>
                <w:color w:val="000000" w:themeColor="text1"/>
                <w:sz w:val="20"/>
                <w:szCs w:val="20"/>
                <w:lang w:eastAsia="en-IN"/>
              </w:rPr>
            </w:pPr>
            <w:r w:rsidRPr="004E13B7">
              <w:rPr>
                <w:rFonts w:eastAsia="Times New Roman"/>
                <w:b/>
                <w:bCs/>
                <w:color w:val="000000" w:themeColor="text1"/>
                <w:sz w:val="20"/>
                <w:szCs w:val="20"/>
                <w:lang w:eastAsia="en-IN"/>
              </w:rPr>
              <w:t>OD</w:t>
            </w:r>
            <w:r w:rsidRPr="004E13B7">
              <w:rPr>
                <w:rFonts w:eastAsia="Times New Roman"/>
                <w:b/>
                <w:bCs/>
                <w:color w:val="000000" w:themeColor="text1"/>
                <w:sz w:val="20"/>
                <w:szCs w:val="20"/>
                <w:vertAlign w:val="subscript"/>
                <w:lang w:eastAsia="en-IN"/>
              </w:rPr>
              <w:t>600</w:t>
            </w:r>
          </w:p>
        </w:tc>
        <w:tc>
          <w:tcPr>
            <w:tcW w:w="1319" w:type="dxa"/>
            <w:vMerge w:val="restart"/>
            <w:vAlign w:val="center"/>
          </w:tcPr>
          <w:p w14:paraId="0B1296D5" w14:textId="77777777" w:rsidR="00E16BA9" w:rsidRPr="004E13B7" w:rsidRDefault="00E16BA9" w:rsidP="00C931A4">
            <w:pPr>
              <w:spacing w:after="0" w:line="276" w:lineRule="auto"/>
              <w:jc w:val="center"/>
              <w:rPr>
                <w:rFonts w:eastAsia="Times New Roman"/>
                <w:b/>
                <w:bCs/>
                <w:color w:val="000000" w:themeColor="text1"/>
                <w:sz w:val="20"/>
                <w:szCs w:val="20"/>
                <w:lang w:eastAsia="en-IN"/>
              </w:rPr>
            </w:pPr>
            <w:r w:rsidRPr="004E13B7">
              <w:rPr>
                <w:rFonts w:eastAsia="Times New Roman"/>
                <w:b/>
                <w:bCs/>
                <w:color w:val="000000" w:themeColor="text1"/>
                <w:sz w:val="20"/>
                <w:szCs w:val="20"/>
                <w:lang w:eastAsia="en-IN"/>
              </w:rPr>
              <w:t xml:space="preserve">3-HP </w:t>
            </w:r>
          </w:p>
          <w:p w14:paraId="63312911" w14:textId="77777777" w:rsidR="00E16BA9" w:rsidRPr="004E13B7" w:rsidRDefault="00E16BA9" w:rsidP="00C931A4">
            <w:pPr>
              <w:spacing w:after="0" w:line="276" w:lineRule="auto"/>
              <w:jc w:val="center"/>
              <w:rPr>
                <w:rFonts w:eastAsia="Times New Roman"/>
                <w:b/>
                <w:bCs/>
                <w:color w:val="000000" w:themeColor="text1"/>
                <w:sz w:val="20"/>
                <w:szCs w:val="20"/>
                <w:lang w:eastAsia="en-IN"/>
              </w:rPr>
            </w:pPr>
            <w:r w:rsidRPr="004E13B7">
              <w:rPr>
                <w:rFonts w:eastAsia="Times New Roman"/>
                <w:b/>
                <w:bCs/>
                <w:color w:val="000000" w:themeColor="text1"/>
                <w:sz w:val="20"/>
                <w:szCs w:val="20"/>
                <w:lang w:eastAsia="en-IN"/>
              </w:rPr>
              <w:t>(mM)</w:t>
            </w:r>
          </w:p>
        </w:tc>
        <w:tc>
          <w:tcPr>
            <w:tcW w:w="1226" w:type="dxa"/>
            <w:vMerge w:val="restart"/>
            <w:vAlign w:val="center"/>
          </w:tcPr>
          <w:p w14:paraId="70015A26" w14:textId="77777777" w:rsidR="00E16BA9" w:rsidRPr="004E13B7" w:rsidRDefault="00E16BA9" w:rsidP="00C931A4">
            <w:pPr>
              <w:spacing w:after="0" w:line="276" w:lineRule="auto"/>
              <w:jc w:val="center"/>
              <w:rPr>
                <w:rFonts w:eastAsia="Times New Roman"/>
                <w:b/>
                <w:bCs/>
                <w:color w:val="000000" w:themeColor="text1"/>
                <w:sz w:val="20"/>
                <w:szCs w:val="20"/>
                <w:lang w:eastAsia="en-IN"/>
              </w:rPr>
            </w:pPr>
            <w:r w:rsidRPr="004E13B7">
              <w:rPr>
                <w:rFonts w:eastAsia="Times New Roman"/>
                <w:b/>
                <w:bCs/>
                <w:color w:val="000000" w:themeColor="text1"/>
                <w:sz w:val="20"/>
                <w:szCs w:val="20"/>
                <w:lang w:eastAsia="en-IN"/>
              </w:rPr>
              <w:t>1,3-PDO (mM)</w:t>
            </w:r>
          </w:p>
        </w:tc>
        <w:tc>
          <w:tcPr>
            <w:tcW w:w="1126" w:type="dxa"/>
            <w:vMerge w:val="restart"/>
            <w:vAlign w:val="center"/>
          </w:tcPr>
          <w:p w14:paraId="7EEC4FFF" w14:textId="77777777" w:rsidR="00E16BA9" w:rsidRPr="004E13B7" w:rsidRDefault="00E16BA9" w:rsidP="00C931A4">
            <w:pPr>
              <w:spacing w:after="0" w:line="276" w:lineRule="auto"/>
              <w:jc w:val="center"/>
              <w:rPr>
                <w:rFonts w:eastAsia="Times New Roman"/>
                <w:b/>
                <w:bCs/>
                <w:color w:val="000000" w:themeColor="text1"/>
                <w:sz w:val="20"/>
                <w:szCs w:val="20"/>
                <w:lang w:eastAsia="en-IN"/>
              </w:rPr>
            </w:pPr>
            <w:r w:rsidRPr="004E13B7">
              <w:rPr>
                <w:rFonts w:eastAsia="Times New Roman"/>
                <w:b/>
                <w:bCs/>
                <w:color w:val="000000" w:themeColor="text1"/>
                <w:sz w:val="20"/>
                <w:szCs w:val="20"/>
                <w:lang w:eastAsia="en-IN"/>
              </w:rPr>
              <w:t>Maximum Acetate (mM)</w:t>
            </w:r>
          </w:p>
        </w:tc>
        <w:tc>
          <w:tcPr>
            <w:tcW w:w="1292" w:type="dxa"/>
            <w:vMerge w:val="restart"/>
            <w:vAlign w:val="center"/>
          </w:tcPr>
          <w:p w14:paraId="4AC5F4EE" w14:textId="77777777" w:rsidR="00E16BA9" w:rsidRPr="004E13B7" w:rsidRDefault="00E16BA9" w:rsidP="00C931A4">
            <w:pPr>
              <w:spacing w:after="0" w:line="276" w:lineRule="auto"/>
              <w:jc w:val="center"/>
              <w:rPr>
                <w:rFonts w:eastAsia="Times New Roman"/>
                <w:b/>
                <w:bCs/>
                <w:color w:val="000000" w:themeColor="text1"/>
                <w:sz w:val="20"/>
                <w:szCs w:val="20"/>
              </w:rPr>
            </w:pPr>
            <w:r w:rsidRPr="004E13B7">
              <w:rPr>
                <w:rFonts w:eastAsia="Times New Roman"/>
                <w:b/>
                <w:bCs/>
                <w:color w:val="000000" w:themeColor="text1"/>
                <w:sz w:val="20"/>
                <w:szCs w:val="20"/>
              </w:rPr>
              <w:t xml:space="preserve">Yield </w:t>
            </w:r>
          </w:p>
          <w:p w14:paraId="27521BB7" w14:textId="77777777" w:rsidR="00E16BA9" w:rsidRPr="004E13B7" w:rsidRDefault="00E16BA9" w:rsidP="00C931A4">
            <w:pPr>
              <w:spacing w:after="0" w:line="276" w:lineRule="auto"/>
              <w:jc w:val="center"/>
              <w:rPr>
                <w:rFonts w:eastAsia="Times New Roman"/>
                <w:b/>
                <w:bCs/>
                <w:color w:val="000000" w:themeColor="text1"/>
                <w:sz w:val="20"/>
                <w:szCs w:val="20"/>
                <w:vertAlign w:val="subscript"/>
              </w:rPr>
            </w:pPr>
            <w:r w:rsidRPr="004E13B7">
              <w:rPr>
                <w:rFonts w:eastAsia="Times New Roman"/>
                <w:b/>
                <w:bCs/>
                <w:color w:val="000000" w:themeColor="text1"/>
                <w:sz w:val="20"/>
                <w:szCs w:val="20"/>
              </w:rPr>
              <w:t>(mol</w:t>
            </w:r>
            <w:r w:rsidRPr="004E13B7">
              <w:rPr>
                <w:rFonts w:eastAsia="Times New Roman"/>
                <w:b/>
                <w:bCs/>
                <w:color w:val="000000" w:themeColor="text1"/>
                <w:sz w:val="20"/>
                <w:szCs w:val="20"/>
                <w:vertAlign w:val="subscript"/>
              </w:rPr>
              <w:t>3-HP</w:t>
            </w:r>
            <w:r w:rsidRPr="004E13B7">
              <w:rPr>
                <w:rFonts w:eastAsia="Times New Roman"/>
                <w:b/>
                <w:bCs/>
                <w:color w:val="000000" w:themeColor="text1"/>
                <w:sz w:val="20"/>
                <w:szCs w:val="20"/>
              </w:rPr>
              <w:t>/mol</w:t>
            </w:r>
            <w:r w:rsidRPr="004E13B7">
              <w:rPr>
                <w:rFonts w:eastAsia="Times New Roman"/>
                <w:b/>
                <w:bCs/>
                <w:color w:val="000000" w:themeColor="text1"/>
                <w:sz w:val="20"/>
                <w:szCs w:val="20"/>
                <w:vertAlign w:val="subscript"/>
              </w:rPr>
              <w:t>Glycerol)</w:t>
            </w:r>
          </w:p>
        </w:tc>
      </w:tr>
      <w:tr w:rsidR="00E16BA9" w:rsidRPr="004E13B7" w14:paraId="419B61C6" w14:textId="77777777" w:rsidTr="00C931A4">
        <w:trPr>
          <w:trHeight w:val="380"/>
          <w:jc w:val="center"/>
        </w:trPr>
        <w:tc>
          <w:tcPr>
            <w:tcW w:w="1327" w:type="dxa"/>
            <w:vAlign w:val="center"/>
          </w:tcPr>
          <w:p w14:paraId="11548CB4" w14:textId="77777777" w:rsidR="00E16BA9" w:rsidRPr="004E13B7" w:rsidRDefault="00E16BA9" w:rsidP="00C931A4">
            <w:pPr>
              <w:spacing w:after="0" w:line="276" w:lineRule="auto"/>
              <w:jc w:val="center"/>
              <w:rPr>
                <w:rFonts w:eastAsia="Times New Roman"/>
                <w:b/>
                <w:bCs/>
                <w:color w:val="000000" w:themeColor="text1"/>
                <w:sz w:val="20"/>
                <w:szCs w:val="20"/>
                <w:lang w:eastAsia="en-IN"/>
              </w:rPr>
            </w:pPr>
            <w:r w:rsidRPr="004E13B7">
              <w:rPr>
                <w:rFonts w:eastAsia="Times New Roman"/>
                <w:b/>
                <w:bCs/>
                <w:color w:val="000000" w:themeColor="text1"/>
                <w:sz w:val="20"/>
                <w:szCs w:val="20"/>
                <w:lang w:eastAsia="en-IN"/>
              </w:rPr>
              <w:t>Temperature</w:t>
            </w:r>
          </w:p>
        </w:tc>
        <w:tc>
          <w:tcPr>
            <w:tcW w:w="979" w:type="dxa"/>
            <w:vAlign w:val="center"/>
          </w:tcPr>
          <w:p w14:paraId="73A68B09" w14:textId="77777777" w:rsidR="00E16BA9" w:rsidRPr="004E13B7" w:rsidRDefault="00E16BA9" w:rsidP="00C931A4">
            <w:pPr>
              <w:spacing w:after="0" w:line="276" w:lineRule="auto"/>
              <w:jc w:val="center"/>
              <w:rPr>
                <w:rFonts w:eastAsia="Times New Roman"/>
                <w:b/>
                <w:bCs/>
                <w:color w:val="000000" w:themeColor="text1"/>
                <w:sz w:val="20"/>
                <w:szCs w:val="20"/>
                <w:lang w:eastAsia="en-IN"/>
              </w:rPr>
            </w:pPr>
            <w:r w:rsidRPr="004E13B7">
              <w:rPr>
                <w:rFonts w:eastAsia="Times New Roman"/>
                <w:b/>
                <w:bCs/>
                <w:color w:val="000000" w:themeColor="text1"/>
                <w:sz w:val="20"/>
                <w:szCs w:val="20"/>
                <w:lang w:eastAsia="en-IN"/>
              </w:rPr>
              <w:t>pH</w:t>
            </w:r>
          </w:p>
        </w:tc>
        <w:tc>
          <w:tcPr>
            <w:tcW w:w="1199" w:type="dxa"/>
            <w:vMerge/>
          </w:tcPr>
          <w:p w14:paraId="5730DA92" w14:textId="77777777" w:rsidR="00E16BA9" w:rsidRPr="004E13B7" w:rsidRDefault="00E16BA9" w:rsidP="00C931A4">
            <w:pPr>
              <w:spacing w:line="276" w:lineRule="auto"/>
              <w:rPr>
                <w:sz w:val="20"/>
                <w:szCs w:val="20"/>
              </w:rPr>
            </w:pPr>
          </w:p>
        </w:tc>
        <w:tc>
          <w:tcPr>
            <w:tcW w:w="1319" w:type="dxa"/>
            <w:vMerge/>
          </w:tcPr>
          <w:p w14:paraId="083DE816" w14:textId="77777777" w:rsidR="00E16BA9" w:rsidRPr="004E13B7" w:rsidRDefault="00E16BA9" w:rsidP="00C931A4">
            <w:pPr>
              <w:spacing w:line="276" w:lineRule="auto"/>
              <w:rPr>
                <w:sz w:val="20"/>
                <w:szCs w:val="20"/>
              </w:rPr>
            </w:pPr>
          </w:p>
        </w:tc>
        <w:tc>
          <w:tcPr>
            <w:tcW w:w="1226" w:type="dxa"/>
            <w:vMerge/>
          </w:tcPr>
          <w:p w14:paraId="49FD4DB0" w14:textId="77777777" w:rsidR="00E16BA9" w:rsidRPr="004E13B7" w:rsidRDefault="00E16BA9" w:rsidP="00C931A4">
            <w:pPr>
              <w:spacing w:line="276" w:lineRule="auto"/>
              <w:rPr>
                <w:sz w:val="20"/>
                <w:szCs w:val="20"/>
              </w:rPr>
            </w:pPr>
          </w:p>
        </w:tc>
        <w:tc>
          <w:tcPr>
            <w:tcW w:w="1126" w:type="dxa"/>
            <w:vMerge/>
          </w:tcPr>
          <w:p w14:paraId="159A2D89" w14:textId="77777777" w:rsidR="00E16BA9" w:rsidRPr="004E13B7" w:rsidRDefault="00E16BA9" w:rsidP="00C931A4">
            <w:pPr>
              <w:spacing w:line="276" w:lineRule="auto"/>
              <w:rPr>
                <w:sz w:val="20"/>
                <w:szCs w:val="20"/>
              </w:rPr>
            </w:pPr>
          </w:p>
        </w:tc>
        <w:tc>
          <w:tcPr>
            <w:tcW w:w="1292" w:type="dxa"/>
            <w:vMerge/>
          </w:tcPr>
          <w:p w14:paraId="56D19704" w14:textId="77777777" w:rsidR="00E16BA9" w:rsidRPr="004E13B7" w:rsidRDefault="00E16BA9" w:rsidP="00C931A4">
            <w:pPr>
              <w:spacing w:line="276" w:lineRule="auto"/>
              <w:rPr>
                <w:sz w:val="20"/>
                <w:szCs w:val="20"/>
              </w:rPr>
            </w:pPr>
          </w:p>
        </w:tc>
      </w:tr>
      <w:tr w:rsidR="00E16BA9" w:rsidRPr="004E13B7" w14:paraId="3C59243A" w14:textId="77777777" w:rsidTr="00C931A4">
        <w:trPr>
          <w:trHeight w:val="290"/>
          <w:jc w:val="center"/>
        </w:trPr>
        <w:tc>
          <w:tcPr>
            <w:tcW w:w="1327" w:type="dxa"/>
            <w:vAlign w:val="center"/>
          </w:tcPr>
          <w:p w14:paraId="0102C34C"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37℃</w:t>
            </w:r>
          </w:p>
        </w:tc>
        <w:tc>
          <w:tcPr>
            <w:tcW w:w="979" w:type="dxa"/>
            <w:vMerge w:val="restart"/>
            <w:vAlign w:val="center"/>
          </w:tcPr>
          <w:p w14:paraId="620AF055"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w:t>
            </w:r>
          </w:p>
        </w:tc>
        <w:tc>
          <w:tcPr>
            <w:tcW w:w="1199" w:type="dxa"/>
            <w:vAlign w:val="center"/>
          </w:tcPr>
          <w:p w14:paraId="58B2CFC9"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7.12±0.54</w:t>
            </w:r>
          </w:p>
        </w:tc>
        <w:tc>
          <w:tcPr>
            <w:tcW w:w="1319" w:type="dxa"/>
            <w:vAlign w:val="center"/>
          </w:tcPr>
          <w:p w14:paraId="5EDA2E54"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155.06±3.52</w:t>
            </w:r>
          </w:p>
        </w:tc>
        <w:tc>
          <w:tcPr>
            <w:tcW w:w="1226" w:type="dxa"/>
            <w:vAlign w:val="center"/>
          </w:tcPr>
          <w:p w14:paraId="73304453"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37.31±1.59</w:t>
            </w:r>
          </w:p>
        </w:tc>
        <w:tc>
          <w:tcPr>
            <w:tcW w:w="1126" w:type="dxa"/>
            <w:vAlign w:val="center"/>
          </w:tcPr>
          <w:p w14:paraId="1DBA0F01"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42.91±4.41</w:t>
            </w:r>
          </w:p>
        </w:tc>
        <w:tc>
          <w:tcPr>
            <w:tcW w:w="1292" w:type="dxa"/>
            <w:vAlign w:val="center"/>
          </w:tcPr>
          <w:p w14:paraId="05DE4DBE" w14:textId="77777777" w:rsidR="00E16BA9" w:rsidRPr="004E13B7" w:rsidRDefault="00E16BA9" w:rsidP="00C931A4">
            <w:pPr>
              <w:spacing w:after="0" w:line="276" w:lineRule="auto"/>
              <w:jc w:val="center"/>
              <w:rPr>
                <w:rFonts w:eastAsia="Times New Roman"/>
                <w:color w:val="000000" w:themeColor="text1"/>
                <w:sz w:val="20"/>
                <w:szCs w:val="20"/>
              </w:rPr>
            </w:pPr>
            <w:r w:rsidRPr="004E13B7">
              <w:rPr>
                <w:rFonts w:eastAsia="Times New Roman"/>
                <w:color w:val="000000" w:themeColor="text1"/>
                <w:sz w:val="20"/>
                <w:szCs w:val="20"/>
              </w:rPr>
              <w:t>0.84±0</w:t>
            </w:r>
          </w:p>
        </w:tc>
      </w:tr>
      <w:tr w:rsidR="00E16BA9" w:rsidRPr="004E13B7" w14:paraId="0514175D" w14:textId="77777777" w:rsidTr="00C931A4">
        <w:trPr>
          <w:trHeight w:val="290"/>
          <w:jc w:val="center"/>
        </w:trPr>
        <w:tc>
          <w:tcPr>
            <w:tcW w:w="1327" w:type="dxa"/>
            <w:vAlign w:val="center"/>
          </w:tcPr>
          <w:p w14:paraId="42CF935F"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30℃</w:t>
            </w:r>
          </w:p>
        </w:tc>
        <w:tc>
          <w:tcPr>
            <w:tcW w:w="979" w:type="dxa"/>
            <w:vMerge/>
          </w:tcPr>
          <w:p w14:paraId="3055763C" w14:textId="77777777" w:rsidR="00E16BA9" w:rsidRPr="004E13B7" w:rsidRDefault="00E16BA9" w:rsidP="00C931A4">
            <w:pPr>
              <w:spacing w:line="276" w:lineRule="auto"/>
              <w:rPr>
                <w:sz w:val="20"/>
                <w:szCs w:val="20"/>
              </w:rPr>
            </w:pPr>
          </w:p>
        </w:tc>
        <w:tc>
          <w:tcPr>
            <w:tcW w:w="1199" w:type="dxa"/>
            <w:vAlign w:val="center"/>
          </w:tcPr>
          <w:p w14:paraId="59A5A3A7"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7.75±0.54</w:t>
            </w:r>
          </w:p>
        </w:tc>
        <w:tc>
          <w:tcPr>
            <w:tcW w:w="1319" w:type="dxa"/>
            <w:vAlign w:val="center"/>
          </w:tcPr>
          <w:p w14:paraId="42841EED"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158.98±8.09</w:t>
            </w:r>
          </w:p>
        </w:tc>
        <w:tc>
          <w:tcPr>
            <w:tcW w:w="1226" w:type="dxa"/>
            <w:vAlign w:val="center"/>
          </w:tcPr>
          <w:p w14:paraId="61A33B18"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Pr>
                <w:rFonts w:eastAsia="Times New Roman"/>
                <w:color w:val="000000" w:themeColor="text1"/>
                <w:sz w:val="20"/>
                <w:szCs w:val="20"/>
                <w:lang w:eastAsia="en-IN"/>
              </w:rPr>
              <w:t>44.79±7.18</w:t>
            </w:r>
          </w:p>
        </w:tc>
        <w:tc>
          <w:tcPr>
            <w:tcW w:w="1126" w:type="dxa"/>
            <w:vAlign w:val="center"/>
          </w:tcPr>
          <w:p w14:paraId="4E1EEF1F"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27.71±1.47</w:t>
            </w:r>
          </w:p>
        </w:tc>
        <w:tc>
          <w:tcPr>
            <w:tcW w:w="1292" w:type="dxa"/>
            <w:vAlign w:val="center"/>
          </w:tcPr>
          <w:p w14:paraId="13C84537" w14:textId="77777777" w:rsidR="00E16BA9" w:rsidRPr="004E13B7" w:rsidRDefault="00E16BA9" w:rsidP="00C931A4">
            <w:pPr>
              <w:spacing w:after="0" w:line="276" w:lineRule="auto"/>
              <w:jc w:val="center"/>
              <w:rPr>
                <w:rFonts w:eastAsia="Times New Roman"/>
                <w:color w:val="000000" w:themeColor="text1"/>
                <w:sz w:val="20"/>
                <w:szCs w:val="20"/>
              </w:rPr>
            </w:pPr>
            <w:r w:rsidRPr="004E13B7">
              <w:rPr>
                <w:rFonts w:eastAsia="Times New Roman"/>
                <w:color w:val="000000" w:themeColor="text1"/>
                <w:sz w:val="20"/>
                <w:szCs w:val="20"/>
              </w:rPr>
              <w:t>0.76±0.05</w:t>
            </w:r>
          </w:p>
        </w:tc>
      </w:tr>
      <w:tr w:rsidR="00E16BA9" w:rsidRPr="004E13B7" w14:paraId="1EABD872" w14:textId="77777777" w:rsidTr="00C931A4">
        <w:trPr>
          <w:trHeight w:val="290"/>
          <w:jc w:val="center"/>
        </w:trPr>
        <w:tc>
          <w:tcPr>
            <w:tcW w:w="1327" w:type="dxa"/>
            <w:vMerge w:val="restart"/>
            <w:vAlign w:val="center"/>
          </w:tcPr>
          <w:p w14:paraId="6ED11017"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30℃</w:t>
            </w:r>
          </w:p>
          <w:p w14:paraId="6563433B" w14:textId="77777777" w:rsidR="00E16BA9" w:rsidRPr="004E13B7" w:rsidRDefault="00E16BA9" w:rsidP="00C931A4">
            <w:pPr>
              <w:spacing w:after="0" w:line="276" w:lineRule="auto"/>
              <w:jc w:val="center"/>
              <w:rPr>
                <w:rFonts w:eastAsia="Times New Roman"/>
                <w:color w:val="000000" w:themeColor="text1"/>
                <w:sz w:val="20"/>
                <w:szCs w:val="20"/>
                <w:lang w:eastAsia="en-IN"/>
              </w:rPr>
            </w:pPr>
          </w:p>
        </w:tc>
        <w:tc>
          <w:tcPr>
            <w:tcW w:w="979" w:type="dxa"/>
            <w:vAlign w:val="center"/>
          </w:tcPr>
          <w:p w14:paraId="2C171875"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6</w:t>
            </w:r>
          </w:p>
        </w:tc>
        <w:tc>
          <w:tcPr>
            <w:tcW w:w="1199" w:type="dxa"/>
            <w:vAlign w:val="center"/>
          </w:tcPr>
          <w:p w14:paraId="0D121B2C"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8.4±1.33</w:t>
            </w:r>
          </w:p>
        </w:tc>
        <w:tc>
          <w:tcPr>
            <w:tcW w:w="1319" w:type="dxa"/>
            <w:vAlign w:val="center"/>
          </w:tcPr>
          <w:p w14:paraId="0AA91239"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Pr>
                <w:rFonts w:eastAsia="Times New Roman"/>
                <w:color w:val="000000" w:themeColor="text1"/>
                <w:sz w:val="20"/>
                <w:szCs w:val="20"/>
                <w:lang w:eastAsia="en-IN"/>
              </w:rPr>
              <w:t>68.02±1.46</w:t>
            </w:r>
          </w:p>
        </w:tc>
        <w:tc>
          <w:tcPr>
            <w:tcW w:w="1226" w:type="dxa"/>
            <w:vAlign w:val="center"/>
          </w:tcPr>
          <w:p w14:paraId="132CC0C5"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35.73±0.5</w:t>
            </w:r>
            <w:r>
              <w:rPr>
                <w:rFonts w:eastAsia="Times New Roman"/>
                <w:color w:val="000000" w:themeColor="text1"/>
                <w:sz w:val="20"/>
                <w:szCs w:val="20"/>
                <w:lang w:eastAsia="en-IN"/>
              </w:rPr>
              <w:t>9</w:t>
            </w:r>
          </w:p>
        </w:tc>
        <w:tc>
          <w:tcPr>
            <w:tcW w:w="1126" w:type="dxa"/>
            <w:vAlign w:val="center"/>
          </w:tcPr>
          <w:p w14:paraId="36EBF18D"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17.6±2.98</w:t>
            </w:r>
          </w:p>
        </w:tc>
        <w:tc>
          <w:tcPr>
            <w:tcW w:w="1292" w:type="dxa"/>
            <w:vAlign w:val="center"/>
          </w:tcPr>
          <w:p w14:paraId="149E799A" w14:textId="77777777" w:rsidR="00E16BA9" w:rsidRPr="004E13B7" w:rsidRDefault="00E16BA9" w:rsidP="00C931A4">
            <w:pPr>
              <w:spacing w:after="0" w:line="276" w:lineRule="auto"/>
              <w:jc w:val="center"/>
              <w:rPr>
                <w:rFonts w:eastAsia="Times New Roman"/>
                <w:color w:val="000000" w:themeColor="text1"/>
                <w:sz w:val="20"/>
                <w:szCs w:val="20"/>
              </w:rPr>
            </w:pPr>
            <w:r w:rsidRPr="004E13B7">
              <w:rPr>
                <w:rFonts w:eastAsia="Times New Roman"/>
                <w:color w:val="000000" w:themeColor="text1"/>
                <w:sz w:val="20"/>
                <w:szCs w:val="20"/>
              </w:rPr>
              <w:t>0</w:t>
            </w:r>
            <w:r>
              <w:rPr>
                <w:rFonts w:eastAsia="Times New Roman"/>
                <w:color w:val="000000" w:themeColor="text1"/>
                <w:sz w:val="20"/>
                <w:szCs w:val="20"/>
              </w:rPr>
              <w:t>.61±0.05</w:t>
            </w:r>
          </w:p>
        </w:tc>
      </w:tr>
      <w:tr w:rsidR="00E16BA9" w:rsidRPr="004E13B7" w14:paraId="458743D1" w14:textId="77777777" w:rsidTr="00C931A4">
        <w:trPr>
          <w:trHeight w:val="290"/>
          <w:jc w:val="center"/>
        </w:trPr>
        <w:tc>
          <w:tcPr>
            <w:tcW w:w="1327" w:type="dxa"/>
            <w:vMerge/>
          </w:tcPr>
          <w:p w14:paraId="419B5C8A" w14:textId="77777777" w:rsidR="00E16BA9" w:rsidRPr="004E13B7" w:rsidRDefault="00E16BA9" w:rsidP="00C931A4">
            <w:pPr>
              <w:spacing w:line="276" w:lineRule="auto"/>
              <w:rPr>
                <w:sz w:val="20"/>
                <w:szCs w:val="20"/>
              </w:rPr>
            </w:pPr>
          </w:p>
        </w:tc>
        <w:tc>
          <w:tcPr>
            <w:tcW w:w="979" w:type="dxa"/>
            <w:vAlign w:val="center"/>
          </w:tcPr>
          <w:p w14:paraId="0039ECC8"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6.5</w:t>
            </w:r>
          </w:p>
        </w:tc>
        <w:tc>
          <w:tcPr>
            <w:tcW w:w="1199" w:type="dxa"/>
            <w:vAlign w:val="center"/>
          </w:tcPr>
          <w:p w14:paraId="493D758B"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7.47±0.72</w:t>
            </w:r>
          </w:p>
        </w:tc>
        <w:tc>
          <w:tcPr>
            <w:tcW w:w="1319" w:type="dxa"/>
            <w:vAlign w:val="center"/>
          </w:tcPr>
          <w:p w14:paraId="55D33AE0"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1</w:t>
            </w:r>
            <w:r>
              <w:rPr>
                <w:rFonts w:eastAsia="Times New Roman"/>
                <w:color w:val="000000" w:themeColor="text1"/>
                <w:sz w:val="20"/>
                <w:szCs w:val="20"/>
                <w:lang w:eastAsia="en-IN"/>
              </w:rPr>
              <w:t>19.09±24.01</w:t>
            </w:r>
          </w:p>
        </w:tc>
        <w:tc>
          <w:tcPr>
            <w:tcW w:w="1226" w:type="dxa"/>
            <w:vAlign w:val="center"/>
          </w:tcPr>
          <w:p w14:paraId="23868263"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Pr>
                <w:rFonts w:eastAsia="Times New Roman"/>
                <w:color w:val="000000" w:themeColor="text1"/>
                <w:sz w:val="20"/>
                <w:szCs w:val="20"/>
                <w:lang w:eastAsia="en-IN"/>
              </w:rPr>
              <w:t>40.69±11.03</w:t>
            </w:r>
          </w:p>
        </w:tc>
        <w:tc>
          <w:tcPr>
            <w:tcW w:w="1126" w:type="dxa"/>
            <w:vAlign w:val="center"/>
          </w:tcPr>
          <w:p w14:paraId="7A44CFBA"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27.04±0.85</w:t>
            </w:r>
          </w:p>
        </w:tc>
        <w:tc>
          <w:tcPr>
            <w:tcW w:w="1292" w:type="dxa"/>
            <w:vAlign w:val="center"/>
          </w:tcPr>
          <w:p w14:paraId="3CE20284" w14:textId="77777777" w:rsidR="00E16BA9" w:rsidRPr="004E13B7" w:rsidRDefault="00E16BA9" w:rsidP="00C931A4">
            <w:pPr>
              <w:spacing w:after="0" w:line="276" w:lineRule="auto"/>
              <w:jc w:val="center"/>
              <w:rPr>
                <w:rFonts w:eastAsia="Times New Roman"/>
                <w:color w:val="000000" w:themeColor="text1"/>
                <w:sz w:val="20"/>
                <w:szCs w:val="20"/>
              </w:rPr>
            </w:pPr>
            <w:r w:rsidRPr="004E13B7">
              <w:rPr>
                <w:rFonts w:eastAsia="Times New Roman"/>
                <w:color w:val="000000" w:themeColor="text1"/>
                <w:sz w:val="20"/>
                <w:szCs w:val="20"/>
              </w:rPr>
              <w:t>0.72±0.0</w:t>
            </w:r>
            <w:r>
              <w:rPr>
                <w:rFonts w:eastAsia="Times New Roman"/>
                <w:color w:val="000000" w:themeColor="text1"/>
                <w:sz w:val="20"/>
                <w:szCs w:val="20"/>
              </w:rPr>
              <w:t>1</w:t>
            </w:r>
          </w:p>
        </w:tc>
      </w:tr>
      <w:tr w:rsidR="00E16BA9" w:rsidRPr="004E13B7" w14:paraId="28AC67B2" w14:textId="77777777" w:rsidTr="00C931A4">
        <w:trPr>
          <w:trHeight w:val="290"/>
          <w:jc w:val="center"/>
        </w:trPr>
        <w:tc>
          <w:tcPr>
            <w:tcW w:w="1327" w:type="dxa"/>
            <w:vMerge/>
          </w:tcPr>
          <w:p w14:paraId="714175CD" w14:textId="77777777" w:rsidR="00E16BA9" w:rsidRPr="004E13B7" w:rsidRDefault="00E16BA9" w:rsidP="00C931A4">
            <w:pPr>
              <w:spacing w:line="276" w:lineRule="auto"/>
              <w:rPr>
                <w:sz w:val="20"/>
                <w:szCs w:val="20"/>
              </w:rPr>
            </w:pPr>
          </w:p>
        </w:tc>
        <w:tc>
          <w:tcPr>
            <w:tcW w:w="979" w:type="dxa"/>
            <w:vAlign w:val="center"/>
          </w:tcPr>
          <w:p w14:paraId="7751213F"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w:t>
            </w:r>
          </w:p>
        </w:tc>
        <w:tc>
          <w:tcPr>
            <w:tcW w:w="1199" w:type="dxa"/>
            <w:vAlign w:val="center"/>
          </w:tcPr>
          <w:p w14:paraId="7E755DC0"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7.75±0.54</w:t>
            </w:r>
          </w:p>
        </w:tc>
        <w:tc>
          <w:tcPr>
            <w:tcW w:w="1319" w:type="dxa"/>
            <w:vAlign w:val="center"/>
          </w:tcPr>
          <w:p w14:paraId="779A964B"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158.98±8.09</w:t>
            </w:r>
          </w:p>
        </w:tc>
        <w:tc>
          <w:tcPr>
            <w:tcW w:w="1226" w:type="dxa"/>
            <w:vAlign w:val="center"/>
          </w:tcPr>
          <w:p w14:paraId="0084ABB8"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Pr>
                <w:rFonts w:eastAsia="Times New Roman"/>
                <w:color w:val="000000" w:themeColor="text1"/>
                <w:sz w:val="20"/>
                <w:szCs w:val="20"/>
                <w:lang w:eastAsia="en-IN"/>
              </w:rPr>
              <w:t>44.79±7.18</w:t>
            </w:r>
          </w:p>
        </w:tc>
        <w:tc>
          <w:tcPr>
            <w:tcW w:w="1126" w:type="dxa"/>
            <w:vAlign w:val="center"/>
          </w:tcPr>
          <w:p w14:paraId="7CBC57AE"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27.71±1.47</w:t>
            </w:r>
          </w:p>
        </w:tc>
        <w:tc>
          <w:tcPr>
            <w:tcW w:w="1292" w:type="dxa"/>
            <w:vAlign w:val="center"/>
          </w:tcPr>
          <w:p w14:paraId="607CA3FF" w14:textId="77777777" w:rsidR="00E16BA9" w:rsidRPr="004E13B7" w:rsidRDefault="00E16BA9" w:rsidP="00C931A4">
            <w:pPr>
              <w:spacing w:after="0" w:line="276" w:lineRule="auto"/>
              <w:jc w:val="center"/>
              <w:rPr>
                <w:rFonts w:eastAsia="Times New Roman"/>
                <w:color w:val="000000" w:themeColor="text1"/>
                <w:sz w:val="20"/>
                <w:szCs w:val="20"/>
              </w:rPr>
            </w:pPr>
            <w:r w:rsidRPr="004E13B7">
              <w:rPr>
                <w:rFonts w:eastAsia="Times New Roman"/>
                <w:color w:val="000000" w:themeColor="text1"/>
                <w:sz w:val="20"/>
                <w:szCs w:val="20"/>
              </w:rPr>
              <w:t>0.76±0.05</w:t>
            </w:r>
          </w:p>
        </w:tc>
      </w:tr>
      <w:tr w:rsidR="00E16BA9" w:rsidRPr="004E13B7" w14:paraId="328CE820" w14:textId="77777777" w:rsidTr="00C931A4">
        <w:trPr>
          <w:trHeight w:val="290"/>
          <w:jc w:val="center"/>
        </w:trPr>
        <w:tc>
          <w:tcPr>
            <w:tcW w:w="1327" w:type="dxa"/>
            <w:vMerge/>
          </w:tcPr>
          <w:p w14:paraId="7912ED61" w14:textId="77777777" w:rsidR="00E16BA9" w:rsidRPr="004E13B7" w:rsidRDefault="00E16BA9" w:rsidP="00C931A4">
            <w:pPr>
              <w:spacing w:line="276" w:lineRule="auto"/>
              <w:rPr>
                <w:sz w:val="20"/>
                <w:szCs w:val="20"/>
              </w:rPr>
            </w:pPr>
          </w:p>
        </w:tc>
        <w:tc>
          <w:tcPr>
            <w:tcW w:w="979" w:type="dxa"/>
            <w:vAlign w:val="center"/>
          </w:tcPr>
          <w:p w14:paraId="66299AA5"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7.5</w:t>
            </w:r>
          </w:p>
        </w:tc>
        <w:tc>
          <w:tcPr>
            <w:tcW w:w="1199" w:type="dxa"/>
            <w:vAlign w:val="center"/>
          </w:tcPr>
          <w:p w14:paraId="651EA83F"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7.79±1.09</w:t>
            </w:r>
          </w:p>
        </w:tc>
        <w:tc>
          <w:tcPr>
            <w:tcW w:w="1319" w:type="dxa"/>
            <w:vAlign w:val="center"/>
          </w:tcPr>
          <w:p w14:paraId="64295FD6"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166.52±3.98</w:t>
            </w:r>
          </w:p>
        </w:tc>
        <w:tc>
          <w:tcPr>
            <w:tcW w:w="1226" w:type="dxa"/>
            <w:vAlign w:val="center"/>
          </w:tcPr>
          <w:p w14:paraId="224E849D"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Pr>
                <w:rFonts w:eastAsia="Times New Roman"/>
                <w:color w:val="000000" w:themeColor="text1"/>
                <w:sz w:val="20"/>
                <w:szCs w:val="20"/>
                <w:lang w:eastAsia="en-IN"/>
              </w:rPr>
              <w:t>44.75±13.10</w:t>
            </w:r>
          </w:p>
        </w:tc>
        <w:tc>
          <w:tcPr>
            <w:tcW w:w="1126" w:type="dxa"/>
            <w:vAlign w:val="center"/>
          </w:tcPr>
          <w:p w14:paraId="394235C8"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32.38±2.83</w:t>
            </w:r>
          </w:p>
        </w:tc>
        <w:tc>
          <w:tcPr>
            <w:tcW w:w="1292" w:type="dxa"/>
            <w:vAlign w:val="center"/>
          </w:tcPr>
          <w:p w14:paraId="3C15FCB8" w14:textId="77777777" w:rsidR="00E16BA9" w:rsidRPr="004E13B7" w:rsidRDefault="00E16BA9" w:rsidP="00C931A4">
            <w:pPr>
              <w:spacing w:after="0" w:line="276" w:lineRule="auto"/>
              <w:jc w:val="center"/>
              <w:rPr>
                <w:rFonts w:eastAsia="Times New Roman"/>
                <w:color w:val="000000" w:themeColor="text1"/>
                <w:sz w:val="20"/>
                <w:szCs w:val="20"/>
              </w:rPr>
            </w:pPr>
            <w:r w:rsidRPr="004E13B7">
              <w:rPr>
                <w:rFonts w:eastAsia="Times New Roman"/>
                <w:color w:val="000000" w:themeColor="text1"/>
                <w:sz w:val="20"/>
                <w:szCs w:val="20"/>
              </w:rPr>
              <w:t>0.77±0.10</w:t>
            </w:r>
          </w:p>
        </w:tc>
      </w:tr>
      <w:tr w:rsidR="00E16BA9" w:rsidRPr="004E13B7" w14:paraId="482B712A" w14:textId="77777777" w:rsidTr="00C931A4">
        <w:trPr>
          <w:trHeight w:val="290"/>
          <w:jc w:val="center"/>
        </w:trPr>
        <w:tc>
          <w:tcPr>
            <w:tcW w:w="1327" w:type="dxa"/>
            <w:vMerge/>
          </w:tcPr>
          <w:p w14:paraId="62B1DFD3" w14:textId="77777777" w:rsidR="00E16BA9" w:rsidRPr="004E13B7" w:rsidRDefault="00E16BA9" w:rsidP="00C931A4">
            <w:pPr>
              <w:spacing w:line="276" w:lineRule="auto"/>
              <w:rPr>
                <w:sz w:val="20"/>
                <w:szCs w:val="20"/>
              </w:rPr>
            </w:pPr>
          </w:p>
        </w:tc>
        <w:tc>
          <w:tcPr>
            <w:tcW w:w="979" w:type="dxa"/>
            <w:vAlign w:val="center"/>
          </w:tcPr>
          <w:p w14:paraId="5CE49770"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8</w:t>
            </w:r>
          </w:p>
        </w:tc>
        <w:tc>
          <w:tcPr>
            <w:tcW w:w="1199" w:type="dxa"/>
            <w:vAlign w:val="center"/>
          </w:tcPr>
          <w:p w14:paraId="48929235"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7.29±0.01</w:t>
            </w:r>
          </w:p>
        </w:tc>
        <w:tc>
          <w:tcPr>
            <w:tcW w:w="1319" w:type="dxa"/>
            <w:vAlign w:val="center"/>
          </w:tcPr>
          <w:p w14:paraId="39FFD206"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18</w:t>
            </w:r>
            <w:r>
              <w:rPr>
                <w:rFonts w:eastAsia="Times New Roman"/>
                <w:color w:val="000000" w:themeColor="text1"/>
                <w:sz w:val="20"/>
                <w:szCs w:val="20"/>
                <w:lang w:eastAsia="en-IN"/>
              </w:rPr>
              <w:t>6</w:t>
            </w:r>
            <w:r w:rsidRPr="004E13B7">
              <w:rPr>
                <w:rFonts w:eastAsia="Times New Roman"/>
                <w:color w:val="000000" w:themeColor="text1"/>
                <w:sz w:val="20"/>
                <w:szCs w:val="20"/>
                <w:lang w:eastAsia="en-IN"/>
              </w:rPr>
              <w:t>.</w:t>
            </w:r>
            <w:r>
              <w:rPr>
                <w:rFonts w:eastAsia="Times New Roman"/>
                <w:color w:val="000000" w:themeColor="text1"/>
                <w:sz w:val="20"/>
                <w:szCs w:val="20"/>
                <w:lang w:eastAsia="en-IN"/>
              </w:rPr>
              <w:t>68</w:t>
            </w:r>
            <w:r w:rsidRPr="004E13B7">
              <w:rPr>
                <w:rFonts w:eastAsia="Times New Roman"/>
                <w:color w:val="000000" w:themeColor="text1"/>
                <w:sz w:val="20"/>
                <w:szCs w:val="20"/>
                <w:lang w:eastAsia="en-IN"/>
              </w:rPr>
              <w:t>±</w:t>
            </w:r>
            <w:r>
              <w:rPr>
                <w:rFonts w:eastAsia="Times New Roman"/>
                <w:color w:val="000000" w:themeColor="text1"/>
                <w:sz w:val="20"/>
                <w:szCs w:val="20"/>
                <w:lang w:eastAsia="en-IN"/>
              </w:rPr>
              <w:t>7.25</w:t>
            </w:r>
          </w:p>
        </w:tc>
        <w:tc>
          <w:tcPr>
            <w:tcW w:w="1226" w:type="dxa"/>
            <w:vAlign w:val="center"/>
          </w:tcPr>
          <w:p w14:paraId="2628F0B2"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Pr>
                <w:rFonts w:eastAsia="Times New Roman"/>
                <w:color w:val="000000" w:themeColor="text1"/>
                <w:sz w:val="20"/>
                <w:szCs w:val="20"/>
                <w:lang w:eastAsia="en-IN"/>
              </w:rPr>
              <w:t>42.78±9.73</w:t>
            </w:r>
          </w:p>
        </w:tc>
        <w:tc>
          <w:tcPr>
            <w:tcW w:w="1126" w:type="dxa"/>
            <w:vAlign w:val="center"/>
          </w:tcPr>
          <w:p w14:paraId="0BA69F34" w14:textId="77777777" w:rsidR="00E16BA9" w:rsidRPr="004E13B7" w:rsidRDefault="00E16BA9" w:rsidP="00C931A4">
            <w:pPr>
              <w:spacing w:after="0" w:line="276" w:lineRule="auto"/>
              <w:jc w:val="center"/>
              <w:rPr>
                <w:rFonts w:eastAsia="Times New Roman"/>
                <w:color w:val="000000" w:themeColor="text1"/>
                <w:sz w:val="20"/>
                <w:szCs w:val="20"/>
                <w:lang w:eastAsia="en-IN"/>
              </w:rPr>
            </w:pPr>
            <w:r w:rsidRPr="004E13B7">
              <w:rPr>
                <w:rFonts w:eastAsia="Times New Roman"/>
                <w:color w:val="000000" w:themeColor="text1"/>
                <w:sz w:val="20"/>
                <w:szCs w:val="20"/>
                <w:lang w:eastAsia="en-IN"/>
              </w:rPr>
              <w:t>31.28±5.28</w:t>
            </w:r>
          </w:p>
        </w:tc>
        <w:tc>
          <w:tcPr>
            <w:tcW w:w="1292" w:type="dxa"/>
            <w:vAlign w:val="center"/>
          </w:tcPr>
          <w:p w14:paraId="12364CC2" w14:textId="77777777" w:rsidR="00E16BA9" w:rsidRPr="004E13B7" w:rsidRDefault="00E16BA9" w:rsidP="00C931A4">
            <w:pPr>
              <w:spacing w:after="0" w:line="276" w:lineRule="auto"/>
              <w:jc w:val="center"/>
              <w:rPr>
                <w:rFonts w:eastAsia="Times New Roman"/>
                <w:color w:val="000000" w:themeColor="text1"/>
                <w:sz w:val="20"/>
                <w:szCs w:val="20"/>
              </w:rPr>
            </w:pPr>
            <w:r w:rsidRPr="004E13B7">
              <w:rPr>
                <w:rFonts w:eastAsia="Times New Roman"/>
                <w:color w:val="000000" w:themeColor="text1"/>
                <w:sz w:val="20"/>
                <w:szCs w:val="20"/>
              </w:rPr>
              <w:t>0.8</w:t>
            </w:r>
            <w:r>
              <w:rPr>
                <w:rFonts w:eastAsia="Times New Roman"/>
                <w:color w:val="000000" w:themeColor="text1"/>
                <w:sz w:val="20"/>
                <w:szCs w:val="20"/>
              </w:rPr>
              <w:t>0</w:t>
            </w:r>
            <w:r w:rsidRPr="004E13B7">
              <w:rPr>
                <w:rFonts w:eastAsia="Times New Roman"/>
                <w:color w:val="000000" w:themeColor="text1"/>
                <w:sz w:val="20"/>
                <w:szCs w:val="20"/>
              </w:rPr>
              <w:t>±0.0</w:t>
            </w:r>
            <w:r>
              <w:rPr>
                <w:rFonts w:eastAsia="Times New Roman"/>
                <w:color w:val="000000" w:themeColor="text1"/>
                <w:sz w:val="20"/>
                <w:szCs w:val="20"/>
              </w:rPr>
              <w:t>4</w:t>
            </w:r>
          </w:p>
        </w:tc>
      </w:tr>
    </w:tbl>
    <w:p w14:paraId="05BA16B8" w14:textId="77777777" w:rsidR="00E16BA9" w:rsidRDefault="00E16BA9" w:rsidP="00E16BA9">
      <w:pPr>
        <w:spacing w:line="360" w:lineRule="auto"/>
        <w:jc w:val="both"/>
        <w:rPr>
          <w:sz w:val="20"/>
          <w:szCs w:val="20"/>
        </w:rPr>
      </w:pPr>
    </w:p>
    <w:p w14:paraId="22D66776" w14:textId="24E2DCD0" w:rsidR="00E16BA9" w:rsidRPr="00033BED" w:rsidRDefault="00E16BA9" w:rsidP="00E16BA9">
      <w:pPr>
        <w:spacing w:line="360" w:lineRule="auto"/>
        <w:jc w:val="both"/>
        <w:rPr>
          <w:rFonts w:eastAsia="Times New Roman"/>
          <w:color w:val="auto"/>
          <w:sz w:val="20"/>
          <w:szCs w:val="20"/>
        </w:rPr>
      </w:pPr>
      <w:r w:rsidRPr="00033BED">
        <w:rPr>
          <w:b/>
          <w:bCs/>
          <w:color w:val="auto"/>
          <w:sz w:val="20"/>
          <w:szCs w:val="20"/>
        </w:rPr>
        <w:t>Table S</w:t>
      </w:r>
      <w:r>
        <w:rPr>
          <w:b/>
          <w:bCs/>
          <w:color w:val="auto"/>
          <w:sz w:val="20"/>
          <w:szCs w:val="20"/>
        </w:rPr>
        <w:t>2</w:t>
      </w:r>
      <w:r w:rsidR="00CD7F6D">
        <w:rPr>
          <w:b/>
          <w:bCs/>
          <w:color w:val="auto"/>
          <w:sz w:val="20"/>
          <w:szCs w:val="20"/>
        </w:rPr>
        <w:t>.2</w:t>
      </w:r>
      <w:r w:rsidRPr="00033BED">
        <w:rPr>
          <w:color w:val="auto"/>
          <w:sz w:val="20"/>
          <w:szCs w:val="20"/>
        </w:rPr>
        <w:t xml:space="preserve"> Metabolite concentration at 15 h </w:t>
      </w:r>
      <w:r>
        <w:rPr>
          <w:color w:val="auto"/>
          <w:sz w:val="20"/>
          <w:szCs w:val="20"/>
        </w:rPr>
        <w:t xml:space="preserve">in </w:t>
      </w:r>
      <w:r w:rsidRPr="00033BED">
        <w:rPr>
          <w:color w:val="auto"/>
          <w:sz w:val="20"/>
          <w:szCs w:val="20"/>
        </w:rPr>
        <w:t xml:space="preserve">fed-batch </w:t>
      </w:r>
      <w:r>
        <w:rPr>
          <w:color w:val="auto"/>
          <w:sz w:val="20"/>
          <w:szCs w:val="20"/>
        </w:rPr>
        <w:t xml:space="preserve">shake </w:t>
      </w:r>
      <w:r w:rsidRPr="00033BED">
        <w:rPr>
          <w:color w:val="auto"/>
          <w:sz w:val="20"/>
          <w:szCs w:val="20"/>
        </w:rPr>
        <w:t xml:space="preserve">flask </w:t>
      </w:r>
      <w:r>
        <w:rPr>
          <w:color w:val="auto"/>
          <w:sz w:val="20"/>
          <w:szCs w:val="20"/>
        </w:rPr>
        <w:t>cultures</w:t>
      </w:r>
      <w:r w:rsidRPr="00B47CCE">
        <w:rPr>
          <w:color w:val="auto"/>
          <w:sz w:val="20"/>
          <w:szCs w:val="20"/>
        </w:rPr>
        <w:t xml:space="preserve"> </w:t>
      </w:r>
      <w:r>
        <w:rPr>
          <w:color w:val="auto"/>
          <w:sz w:val="20"/>
          <w:szCs w:val="20"/>
        </w:rPr>
        <w:t xml:space="preserve">of </w:t>
      </w:r>
      <w:r w:rsidRPr="00033BED">
        <w:rPr>
          <w:rFonts w:eastAsia="Times New Roman"/>
          <w:color w:val="auto"/>
          <w:sz w:val="20"/>
          <w:szCs w:val="20"/>
        </w:rPr>
        <w:t xml:space="preserve">EC2_KG23 </w:t>
      </w:r>
      <w:r>
        <w:rPr>
          <w:rFonts w:eastAsia="Times New Roman"/>
          <w:color w:val="auto"/>
          <w:sz w:val="20"/>
          <w:szCs w:val="20"/>
        </w:rPr>
        <w:t xml:space="preserve">strain grown </w:t>
      </w:r>
      <w:r w:rsidRPr="00033BED">
        <w:rPr>
          <w:color w:val="auto"/>
          <w:sz w:val="20"/>
          <w:szCs w:val="20"/>
        </w:rPr>
        <w:t xml:space="preserve">at 30 ℃ </w:t>
      </w:r>
      <w:r>
        <w:rPr>
          <w:color w:val="auto"/>
          <w:sz w:val="20"/>
          <w:szCs w:val="20"/>
        </w:rPr>
        <w:t>and</w:t>
      </w:r>
      <w:r w:rsidRPr="00033BED">
        <w:rPr>
          <w:color w:val="auto"/>
          <w:sz w:val="20"/>
          <w:szCs w:val="20"/>
        </w:rPr>
        <w:t xml:space="preserve"> various pH</w:t>
      </w:r>
      <w:r>
        <w:rPr>
          <w:color w:val="auto"/>
          <w:sz w:val="20"/>
          <w:szCs w:val="20"/>
        </w:rPr>
        <w:t xml:space="preserve"> conditions, </w:t>
      </w:r>
      <w:r w:rsidRPr="00033BED">
        <w:rPr>
          <w:rFonts w:eastAsia="Times New Roman"/>
          <w:color w:val="auto"/>
          <w:sz w:val="20"/>
          <w:szCs w:val="20"/>
        </w:rPr>
        <w:t xml:space="preserve">with intermittent pH adjustment. </w:t>
      </w:r>
      <w:r>
        <w:rPr>
          <w:rFonts w:eastAsia="Times New Roman"/>
          <w:color w:val="auto"/>
          <w:sz w:val="20"/>
          <w:szCs w:val="20"/>
        </w:rPr>
        <w:t>Values represent mean ± standard deviation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459"/>
        <w:gridCol w:w="1721"/>
        <w:gridCol w:w="1749"/>
      </w:tblGrid>
      <w:tr w:rsidR="00E16BA9" w:rsidRPr="00033BED" w14:paraId="0348B508" w14:textId="77777777" w:rsidTr="00C931A4">
        <w:trPr>
          <w:trHeight w:val="290"/>
        </w:trPr>
        <w:tc>
          <w:tcPr>
            <w:tcW w:w="1458" w:type="dxa"/>
            <w:vAlign w:val="bottom"/>
          </w:tcPr>
          <w:p w14:paraId="164BCF12" w14:textId="77777777" w:rsidR="00E16BA9" w:rsidRPr="00033BED" w:rsidRDefault="00E16BA9" w:rsidP="00C931A4">
            <w:pPr>
              <w:spacing w:after="0" w:line="240" w:lineRule="auto"/>
              <w:jc w:val="center"/>
              <w:rPr>
                <w:rFonts w:eastAsia="Times New Roman"/>
                <w:b/>
                <w:bCs/>
                <w:color w:val="auto"/>
                <w:sz w:val="20"/>
                <w:szCs w:val="20"/>
                <w:lang w:eastAsia="en-IN"/>
              </w:rPr>
            </w:pPr>
            <w:r w:rsidRPr="00033BED">
              <w:rPr>
                <w:rFonts w:eastAsia="Times New Roman"/>
                <w:b/>
                <w:bCs/>
                <w:color w:val="auto"/>
                <w:sz w:val="20"/>
                <w:szCs w:val="20"/>
                <w:lang w:eastAsia="en-IN"/>
              </w:rPr>
              <w:t>pH</w:t>
            </w:r>
          </w:p>
        </w:tc>
        <w:tc>
          <w:tcPr>
            <w:tcW w:w="1459" w:type="dxa"/>
            <w:vAlign w:val="bottom"/>
          </w:tcPr>
          <w:p w14:paraId="755397AA" w14:textId="77777777" w:rsidR="00E16BA9" w:rsidRPr="00033BED" w:rsidRDefault="00E16BA9" w:rsidP="00C931A4">
            <w:pPr>
              <w:spacing w:after="0" w:line="240" w:lineRule="auto"/>
              <w:jc w:val="center"/>
              <w:rPr>
                <w:rFonts w:eastAsia="Times New Roman"/>
                <w:b/>
                <w:bCs/>
                <w:color w:val="auto"/>
                <w:sz w:val="20"/>
                <w:szCs w:val="20"/>
                <w:vertAlign w:val="subscript"/>
                <w:lang w:eastAsia="en-IN"/>
              </w:rPr>
            </w:pPr>
            <w:r w:rsidRPr="00033BED">
              <w:rPr>
                <w:rFonts w:eastAsia="Times New Roman"/>
                <w:b/>
                <w:bCs/>
                <w:color w:val="auto"/>
                <w:sz w:val="20"/>
                <w:szCs w:val="20"/>
                <w:lang w:eastAsia="en-IN"/>
              </w:rPr>
              <w:t>OD</w:t>
            </w:r>
            <w:r w:rsidRPr="00033BED">
              <w:rPr>
                <w:rFonts w:eastAsia="Times New Roman"/>
                <w:b/>
                <w:bCs/>
                <w:color w:val="auto"/>
                <w:sz w:val="20"/>
                <w:szCs w:val="20"/>
                <w:vertAlign w:val="subscript"/>
                <w:lang w:eastAsia="en-IN"/>
              </w:rPr>
              <w:t>600</w:t>
            </w:r>
          </w:p>
        </w:tc>
        <w:tc>
          <w:tcPr>
            <w:tcW w:w="1721" w:type="dxa"/>
            <w:vAlign w:val="bottom"/>
          </w:tcPr>
          <w:p w14:paraId="22EE4274" w14:textId="77777777" w:rsidR="00E16BA9" w:rsidRPr="00033BED" w:rsidRDefault="00E16BA9" w:rsidP="00C931A4">
            <w:pPr>
              <w:spacing w:after="0" w:line="240" w:lineRule="auto"/>
              <w:jc w:val="center"/>
              <w:rPr>
                <w:rFonts w:eastAsia="Times New Roman"/>
                <w:b/>
                <w:bCs/>
                <w:color w:val="auto"/>
                <w:sz w:val="20"/>
                <w:szCs w:val="20"/>
                <w:lang w:eastAsia="en-IN"/>
              </w:rPr>
            </w:pPr>
            <w:r w:rsidRPr="00033BED">
              <w:rPr>
                <w:rFonts w:eastAsia="Times New Roman"/>
                <w:b/>
                <w:bCs/>
                <w:color w:val="auto"/>
                <w:sz w:val="20"/>
                <w:szCs w:val="20"/>
                <w:lang w:eastAsia="en-IN"/>
              </w:rPr>
              <w:t>3-HP (mM)</w:t>
            </w:r>
          </w:p>
        </w:tc>
        <w:tc>
          <w:tcPr>
            <w:tcW w:w="1749" w:type="dxa"/>
            <w:vAlign w:val="bottom"/>
          </w:tcPr>
          <w:p w14:paraId="297832FC" w14:textId="77777777" w:rsidR="00E16BA9" w:rsidRPr="00033BED" w:rsidRDefault="00E16BA9" w:rsidP="00C931A4">
            <w:pPr>
              <w:spacing w:after="0" w:line="240" w:lineRule="auto"/>
              <w:jc w:val="center"/>
              <w:rPr>
                <w:rFonts w:eastAsia="Times New Roman"/>
                <w:b/>
                <w:bCs/>
                <w:color w:val="auto"/>
                <w:sz w:val="20"/>
                <w:szCs w:val="20"/>
                <w:lang w:eastAsia="en-IN"/>
              </w:rPr>
            </w:pPr>
            <w:r w:rsidRPr="00033BED">
              <w:rPr>
                <w:rFonts w:eastAsia="Times New Roman"/>
                <w:b/>
                <w:bCs/>
                <w:color w:val="auto"/>
                <w:sz w:val="20"/>
                <w:szCs w:val="20"/>
                <w:lang w:eastAsia="en-IN"/>
              </w:rPr>
              <w:t>1,3-PDO (mM)</w:t>
            </w:r>
          </w:p>
        </w:tc>
      </w:tr>
      <w:tr w:rsidR="00E16BA9" w:rsidRPr="00033BED" w14:paraId="77063402" w14:textId="77777777" w:rsidTr="00C931A4">
        <w:trPr>
          <w:trHeight w:val="290"/>
        </w:trPr>
        <w:tc>
          <w:tcPr>
            <w:tcW w:w="1458" w:type="dxa"/>
            <w:vAlign w:val="bottom"/>
          </w:tcPr>
          <w:p w14:paraId="1755B253" w14:textId="77777777" w:rsidR="00E16BA9" w:rsidRPr="00033BED" w:rsidRDefault="00E16BA9" w:rsidP="00C931A4">
            <w:pPr>
              <w:spacing w:after="0" w:line="240" w:lineRule="auto"/>
              <w:jc w:val="center"/>
              <w:rPr>
                <w:rFonts w:eastAsia="Times New Roman"/>
                <w:color w:val="auto"/>
                <w:sz w:val="20"/>
                <w:szCs w:val="20"/>
                <w:lang w:eastAsia="en-IN"/>
              </w:rPr>
            </w:pPr>
            <w:r w:rsidRPr="00033BED">
              <w:rPr>
                <w:rFonts w:eastAsia="Times New Roman"/>
                <w:color w:val="auto"/>
                <w:sz w:val="20"/>
                <w:szCs w:val="20"/>
                <w:lang w:eastAsia="en-IN"/>
              </w:rPr>
              <w:t>6</w:t>
            </w:r>
          </w:p>
        </w:tc>
        <w:tc>
          <w:tcPr>
            <w:tcW w:w="1459" w:type="dxa"/>
            <w:vAlign w:val="bottom"/>
          </w:tcPr>
          <w:p w14:paraId="4DA6D965" w14:textId="77777777" w:rsidR="00E16BA9" w:rsidRPr="00033BED" w:rsidRDefault="00E16BA9" w:rsidP="00C931A4">
            <w:pPr>
              <w:spacing w:after="0" w:line="240" w:lineRule="auto"/>
              <w:jc w:val="center"/>
              <w:rPr>
                <w:rFonts w:eastAsia="Times New Roman"/>
                <w:color w:val="auto"/>
                <w:sz w:val="20"/>
                <w:szCs w:val="20"/>
                <w:lang w:eastAsia="en-IN"/>
              </w:rPr>
            </w:pPr>
            <w:r w:rsidRPr="00033BED">
              <w:rPr>
                <w:rFonts w:eastAsia="Times New Roman"/>
                <w:color w:val="auto"/>
                <w:sz w:val="20"/>
                <w:szCs w:val="20"/>
                <w:lang w:eastAsia="en-IN"/>
              </w:rPr>
              <w:t>8.</w:t>
            </w:r>
            <w:r>
              <w:rPr>
                <w:rFonts w:eastAsia="Times New Roman"/>
                <w:color w:val="auto"/>
                <w:sz w:val="20"/>
                <w:szCs w:val="20"/>
                <w:lang w:eastAsia="en-IN"/>
              </w:rPr>
              <w:t>46±0.54</w:t>
            </w:r>
          </w:p>
        </w:tc>
        <w:tc>
          <w:tcPr>
            <w:tcW w:w="1721" w:type="dxa"/>
            <w:vAlign w:val="bottom"/>
          </w:tcPr>
          <w:p w14:paraId="14EECDDD" w14:textId="77777777" w:rsidR="00E16BA9" w:rsidRPr="00033BED" w:rsidRDefault="00E16BA9" w:rsidP="00C931A4">
            <w:pPr>
              <w:spacing w:after="0" w:line="240" w:lineRule="auto"/>
              <w:jc w:val="center"/>
              <w:rPr>
                <w:rFonts w:eastAsia="Times New Roman"/>
                <w:color w:val="auto"/>
                <w:sz w:val="20"/>
                <w:szCs w:val="20"/>
                <w:lang w:eastAsia="en-IN"/>
              </w:rPr>
            </w:pPr>
            <w:r w:rsidRPr="00033BED">
              <w:rPr>
                <w:rFonts w:eastAsia="Times New Roman"/>
                <w:color w:val="auto"/>
                <w:sz w:val="20"/>
                <w:szCs w:val="20"/>
                <w:lang w:eastAsia="en-IN"/>
              </w:rPr>
              <w:t>4</w:t>
            </w:r>
            <w:r>
              <w:rPr>
                <w:rFonts w:eastAsia="Times New Roman"/>
                <w:color w:val="auto"/>
                <w:sz w:val="20"/>
                <w:szCs w:val="20"/>
                <w:lang w:eastAsia="en-IN"/>
              </w:rPr>
              <w:t>2</w:t>
            </w:r>
            <w:r w:rsidRPr="00033BED">
              <w:rPr>
                <w:rFonts w:eastAsia="Times New Roman"/>
                <w:color w:val="auto"/>
                <w:sz w:val="20"/>
                <w:szCs w:val="20"/>
                <w:lang w:eastAsia="en-IN"/>
              </w:rPr>
              <w:t>.3</w:t>
            </w:r>
            <w:r>
              <w:rPr>
                <w:rFonts w:eastAsia="Times New Roman"/>
                <w:color w:val="auto"/>
                <w:sz w:val="20"/>
                <w:szCs w:val="20"/>
                <w:lang w:eastAsia="en-IN"/>
              </w:rPr>
              <w:t>2±3.56</w:t>
            </w:r>
          </w:p>
        </w:tc>
        <w:tc>
          <w:tcPr>
            <w:tcW w:w="1749" w:type="dxa"/>
            <w:vAlign w:val="bottom"/>
          </w:tcPr>
          <w:p w14:paraId="285C466B" w14:textId="77777777" w:rsidR="00E16BA9" w:rsidRPr="00033BED" w:rsidRDefault="00E16BA9" w:rsidP="00C931A4">
            <w:pPr>
              <w:spacing w:after="0" w:line="240" w:lineRule="auto"/>
              <w:jc w:val="center"/>
              <w:rPr>
                <w:rFonts w:eastAsia="Times New Roman"/>
                <w:color w:val="auto"/>
                <w:sz w:val="20"/>
                <w:szCs w:val="20"/>
                <w:lang w:eastAsia="en-IN"/>
              </w:rPr>
            </w:pPr>
            <w:r>
              <w:rPr>
                <w:rFonts w:eastAsia="Times New Roman"/>
                <w:color w:val="auto"/>
                <w:sz w:val="20"/>
                <w:szCs w:val="20"/>
                <w:lang w:eastAsia="en-IN"/>
              </w:rPr>
              <w:t>31.59±4.61</w:t>
            </w:r>
          </w:p>
        </w:tc>
      </w:tr>
      <w:tr w:rsidR="00E16BA9" w:rsidRPr="00033BED" w14:paraId="757C8C88" w14:textId="77777777" w:rsidTr="00C931A4">
        <w:trPr>
          <w:trHeight w:val="290"/>
        </w:trPr>
        <w:tc>
          <w:tcPr>
            <w:tcW w:w="1458" w:type="dxa"/>
            <w:vAlign w:val="bottom"/>
          </w:tcPr>
          <w:p w14:paraId="44063952" w14:textId="77777777" w:rsidR="00E16BA9" w:rsidRPr="00033BED" w:rsidRDefault="00E16BA9" w:rsidP="00C931A4">
            <w:pPr>
              <w:spacing w:after="0" w:line="240" w:lineRule="auto"/>
              <w:jc w:val="center"/>
              <w:rPr>
                <w:rFonts w:eastAsia="Times New Roman"/>
                <w:color w:val="auto"/>
                <w:sz w:val="20"/>
                <w:szCs w:val="20"/>
                <w:lang w:eastAsia="en-IN"/>
              </w:rPr>
            </w:pPr>
            <w:r w:rsidRPr="00033BED">
              <w:rPr>
                <w:rFonts w:eastAsia="Times New Roman"/>
                <w:color w:val="auto"/>
                <w:sz w:val="20"/>
                <w:szCs w:val="20"/>
                <w:lang w:eastAsia="en-IN"/>
              </w:rPr>
              <w:t>6.5</w:t>
            </w:r>
          </w:p>
        </w:tc>
        <w:tc>
          <w:tcPr>
            <w:tcW w:w="1459" w:type="dxa"/>
            <w:vAlign w:val="bottom"/>
          </w:tcPr>
          <w:p w14:paraId="3DD1DDB9"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7.93±0.61</w:t>
            </w:r>
          </w:p>
        </w:tc>
        <w:tc>
          <w:tcPr>
            <w:tcW w:w="1721" w:type="dxa"/>
            <w:vAlign w:val="bottom"/>
          </w:tcPr>
          <w:p w14:paraId="3733E15E"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64.72±10.32</w:t>
            </w:r>
          </w:p>
        </w:tc>
        <w:tc>
          <w:tcPr>
            <w:tcW w:w="1749" w:type="dxa"/>
            <w:vAlign w:val="bottom"/>
          </w:tcPr>
          <w:p w14:paraId="5C59A0D9"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27.81±3.15</w:t>
            </w:r>
          </w:p>
        </w:tc>
      </w:tr>
      <w:tr w:rsidR="00E16BA9" w:rsidRPr="00033BED" w14:paraId="28BE3423" w14:textId="77777777" w:rsidTr="00C931A4">
        <w:trPr>
          <w:trHeight w:val="290"/>
        </w:trPr>
        <w:tc>
          <w:tcPr>
            <w:tcW w:w="1458" w:type="dxa"/>
            <w:vAlign w:val="bottom"/>
          </w:tcPr>
          <w:p w14:paraId="4628263B" w14:textId="77777777" w:rsidR="00E16BA9" w:rsidRPr="00033BED" w:rsidRDefault="00E16BA9" w:rsidP="00C931A4">
            <w:pPr>
              <w:spacing w:after="0" w:line="240" w:lineRule="auto"/>
              <w:jc w:val="center"/>
              <w:rPr>
                <w:rFonts w:eastAsia="Times New Roman"/>
                <w:color w:val="auto"/>
                <w:sz w:val="20"/>
                <w:szCs w:val="20"/>
                <w:lang w:eastAsia="en-IN"/>
              </w:rPr>
            </w:pPr>
            <w:r w:rsidRPr="00033BED">
              <w:rPr>
                <w:rFonts w:eastAsia="Times New Roman"/>
                <w:color w:val="auto"/>
                <w:sz w:val="20"/>
                <w:szCs w:val="20"/>
                <w:lang w:eastAsia="en-IN"/>
              </w:rPr>
              <w:t>7</w:t>
            </w:r>
          </w:p>
        </w:tc>
        <w:tc>
          <w:tcPr>
            <w:tcW w:w="1459" w:type="dxa"/>
            <w:vAlign w:val="bottom"/>
          </w:tcPr>
          <w:p w14:paraId="0D4F83C6"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7.61±0.30</w:t>
            </w:r>
          </w:p>
        </w:tc>
        <w:tc>
          <w:tcPr>
            <w:tcW w:w="1721" w:type="dxa"/>
            <w:vAlign w:val="bottom"/>
          </w:tcPr>
          <w:p w14:paraId="3E7EEA58"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97.91±12.15</w:t>
            </w:r>
          </w:p>
        </w:tc>
        <w:tc>
          <w:tcPr>
            <w:tcW w:w="1749" w:type="dxa"/>
            <w:vAlign w:val="bottom"/>
          </w:tcPr>
          <w:p w14:paraId="25F0FA47"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36.24±12.40</w:t>
            </w:r>
          </w:p>
        </w:tc>
      </w:tr>
      <w:tr w:rsidR="00E16BA9" w:rsidRPr="00033BED" w14:paraId="4F88BB51" w14:textId="77777777" w:rsidTr="00C931A4">
        <w:trPr>
          <w:trHeight w:val="290"/>
        </w:trPr>
        <w:tc>
          <w:tcPr>
            <w:tcW w:w="1458" w:type="dxa"/>
            <w:vAlign w:val="bottom"/>
          </w:tcPr>
          <w:p w14:paraId="23E2DAFD" w14:textId="77777777" w:rsidR="00E16BA9" w:rsidRPr="00033BED" w:rsidRDefault="00E16BA9" w:rsidP="00C931A4">
            <w:pPr>
              <w:spacing w:after="0" w:line="240" w:lineRule="auto"/>
              <w:jc w:val="center"/>
              <w:rPr>
                <w:rFonts w:eastAsia="Times New Roman"/>
                <w:color w:val="auto"/>
                <w:sz w:val="20"/>
                <w:szCs w:val="20"/>
                <w:lang w:eastAsia="en-IN"/>
              </w:rPr>
            </w:pPr>
            <w:r w:rsidRPr="00033BED">
              <w:rPr>
                <w:rFonts w:eastAsia="Times New Roman"/>
                <w:color w:val="auto"/>
                <w:sz w:val="20"/>
                <w:szCs w:val="20"/>
                <w:lang w:eastAsia="en-IN"/>
              </w:rPr>
              <w:t>7.5</w:t>
            </w:r>
          </w:p>
        </w:tc>
        <w:tc>
          <w:tcPr>
            <w:tcW w:w="1459" w:type="dxa"/>
            <w:vAlign w:val="bottom"/>
          </w:tcPr>
          <w:p w14:paraId="50F7DF32"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7.32±0.08</w:t>
            </w:r>
          </w:p>
        </w:tc>
        <w:tc>
          <w:tcPr>
            <w:tcW w:w="1721" w:type="dxa"/>
            <w:vAlign w:val="bottom"/>
          </w:tcPr>
          <w:p w14:paraId="503A5F59"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106.71±10.91</w:t>
            </w:r>
          </w:p>
        </w:tc>
        <w:tc>
          <w:tcPr>
            <w:tcW w:w="1749" w:type="dxa"/>
            <w:vAlign w:val="bottom"/>
          </w:tcPr>
          <w:p w14:paraId="6A68BF88"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21.50±4.86</w:t>
            </w:r>
          </w:p>
        </w:tc>
      </w:tr>
      <w:tr w:rsidR="00E16BA9" w:rsidRPr="00033BED" w14:paraId="1BDC2108" w14:textId="77777777" w:rsidTr="00C931A4">
        <w:trPr>
          <w:trHeight w:val="290"/>
        </w:trPr>
        <w:tc>
          <w:tcPr>
            <w:tcW w:w="1458" w:type="dxa"/>
            <w:vAlign w:val="bottom"/>
          </w:tcPr>
          <w:p w14:paraId="4B86F661" w14:textId="77777777" w:rsidR="00E16BA9" w:rsidRPr="00033BED" w:rsidRDefault="00E16BA9" w:rsidP="00C931A4">
            <w:pPr>
              <w:spacing w:after="0" w:line="240" w:lineRule="auto"/>
              <w:jc w:val="center"/>
              <w:rPr>
                <w:rFonts w:eastAsia="Times New Roman"/>
                <w:color w:val="auto"/>
                <w:sz w:val="20"/>
                <w:szCs w:val="20"/>
                <w:lang w:eastAsia="en-IN"/>
              </w:rPr>
            </w:pPr>
            <w:r w:rsidRPr="00033BED">
              <w:rPr>
                <w:rFonts w:eastAsia="Times New Roman"/>
                <w:color w:val="auto"/>
                <w:sz w:val="20"/>
                <w:szCs w:val="20"/>
                <w:lang w:eastAsia="en-IN"/>
              </w:rPr>
              <w:t>8</w:t>
            </w:r>
          </w:p>
        </w:tc>
        <w:tc>
          <w:tcPr>
            <w:tcW w:w="1459" w:type="dxa"/>
            <w:vAlign w:val="bottom"/>
          </w:tcPr>
          <w:p w14:paraId="13A6CCEB"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7.07±0.30</w:t>
            </w:r>
          </w:p>
        </w:tc>
        <w:tc>
          <w:tcPr>
            <w:tcW w:w="1721" w:type="dxa"/>
            <w:vAlign w:val="bottom"/>
          </w:tcPr>
          <w:p w14:paraId="01101982"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98.26±16.15</w:t>
            </w:r>
          </w:p>
        </w:tc>
        <w:tc>
          <w:tcPr>
            <w:tcW w:w="1749" w:type="dxa"/>
            <w:vAlign w:val="bottom"/>
          </w:tcPr>
          <w:p w14:paraId="61AF444D" w14:textId="77777777" w:rsidR="00E16BA9" w:rsidRPr="00033BED" w:rsidRDefault="00E16BA9" w:rsidP="00C931A4">
            <w:pPr>
              <w:spacing w:after="0" w:line="240" w:lineRule="auto"/>
              <w:jc w:val="center"/>
              <w:rPr>
                <w:rFonts w:eastAsia="Times New Roman"/>
                <w:color w:val="auto"/>
                <w:sz w:val="20"/>
                <w:szCs w:val="20"/>
                <w:lang w:eastAsia="en-IN"/>
              </w:rPr>
            </w:pPr>
            <w:r w:rsidRPr="00DB0EBB">
              <w:rPr>
                <w:rFonts w:eastAsia="Times New Roman"/>
                <w:color w:val="auto"/>
                <w:sz w:val="20"/>
                <w:szCs w:val="20"/>
                <w:lang w:eastAsia="en-IN"/>
              </w:rPr>
              <w:t>31.57±8.95</w:t>
            </w:r>
          </w:p>
        </w:tc>
      </w:tr>
    </w:tbl>
    <w:p w14:paraId="66EBF3CA" w14:textId="77777777" w:rsidR="00E16BA9" w:rsidRDefault="00E16BA9" w:rsidP="00E16BA9">
      <w:pPr>
        <w:rPr>
          <w:rFonts w:eastAsia="Times New Roman"/>
          <w:b/>
          <w:bCs/>
          <w:sz w:val="20"/>
          <w:szCs w:val="20"/>
        </w:rPr>
      </w:pPr>
    </w:p>
    <w:p w14:paraId="1E78160B" w14:textId="5233867E" w:rsidR="00E16BA9" w:rsidRPr="00411DAB" w:rsidRDefault="00411DAB" w:rsidP="00E16BA9">
      <w:pPr>
        <w:spacing w:line="360" w:lineRule="auto"/>
        <w:jc w:val="both"/>
        <w:rPr>
          <w:b/>
          <w:bCs/>
          <w:sz w:val="20"/>
          <w:szCs w:val="20"/>
        </w:rPr>
      </w:pPr>
      <w:r w:rsidRPr="00411DAB">
        <w:rPr>
          <w:b/>
          <w:bCs/>
          <w:sz w:val="20"/>
          <w:szCs w:val="20"/>
        </w:rPr>
        <w:t>References</w:t>
      </w:r>
    </w:p>
    <w:p w14:paraId="00B78E4B" w14:textId="3653A835" w:rsidR="00411DAB" w:rsidRPr="00411DAB" w:rsidRDefault="00411DAB" w:rsidP="00411DAB">
      <w:pPr>
        <w:widowControl w:val="0"/>
        <w:autoSpaceDE w:val="0"/>
        <w:autoSpaceDN w:val="0"/>
        <w:adjustRightInd w:val="0"/>
        <w:spacing w:line="360" w:lineRule="auto"/>
        <w:ind w:left="480" w:hanging="480"/>
        <w:rPr>
          <w:noProof/>
          <w:kern w:val="0"/>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411DAB">
        <w:rPr>
          <w:noProof/>
          <w:kern w:val="0"/>
          <w:sz w:val="20"/>
        </w:rPr>
        <w:t>Chowdhury NB, Schroeder WL, Monteiro L, Burnum-Johnson KE (2025) mGem: Revisiting bacterial overflow metabolism. MBio 16:1–7. https://doi.org/10.1128/mbio.01193-25</w:t>
      </w:r>
    </w:p>
    <w:p w14:paraId="1CDA70D8" w14:textId="77777777" w:rsidR="00411DAB" w:rsidRPr="00411DAB" w:rsidRDefault="00411DAB" w:rsidP="00411DAB">
      <w:pPr>
        <w:widowControl w:val="0"/>
        <w:autoSpaceDE w:val="0"/>
        <w:autoSpaceDN w:val="0"/>
        <w:adjustRightInd w:val="0"/>
        <w:spacing w:line="360" w:lineRule="auto"/>
        <w:ind w:left="480" w:hanging="480"/>
        <w:rPr>
          <w:noProof/>
          <w:sz w:val="20"/>
        </w:rPr>
      </w:pPr>
      <w:r w:rsidRPr="00411DAB">
        <w:rPr>
          <w:noProof/>
          <w:kern w:val="0"/>
          <w:sz w:val="20"/>
        </w:rPr>
        <w:lastRenderedPageBreak/>
        <w:t>Toraya T (2000) Radical catalysis of B 12 enzymes: structure, mechanism, inactivation, and reactivation of diol and glycerol dehydratases. Cell Mol Life Sci 57:106–127. https://doi.org/10.1007/s000180050502</w:t>
      </w:r>
    </w:p>
    <w:p w14:paraId="3A62171D" w14:textId="14DB2629" w:rsidR="00411DAB" w:rsidRDefault="00411DAB" w:rsidP="00E16BA9">
      <w:pPr>
        <w:spacing w:line="360" w:lineRule="auto"/>
        <w:jc w:val="both"/>
        <w:rPr>
          <w:sz w:val="20"/>
          <w:szCs w:val="20"/>
        </w:rPr>
      </w:pPr>
      <w:r>
        <w:rPr>
          <w:sz w:val="20"/>
          <w:szCs w:val="20"/>
        </w:rPr>
        <w:fldChar w:fldCharType="end"/>
      </w:r>
    </w:p>
    <w:p w14:paraId="62385EE3" w14:textId="77777777" w:rsidR="00AE7E74" w:rsidRDefault="00AE7E74"/>
    <w:sectPr w:rsidR="00AE7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452DA"/>
    <w:multiLevelType w:val="hybridMultilevel"/>
    <w:tmpl w:val="593834E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112047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B3"/>
    <w:rsid w:val="000507B2"/>
    <w:rsid w:val="00060B1A"/>
    <w:rsid w:val="000958B9"/>
    <w:rsid w:val="000D5B61"/>
    <w:rsid w:val="00101104"/>
    <w:rsid w:val="00164BBA"/>
    <w:rsid w:val="00223CD7"/>
    <w:rsid w:val="00272435"/>
    <w:rsid w:val="00354901"/>
    <w:rsid w:val="003C707E"/>
    <w:rsid w:val="00411DAB"/>
    <w:rsid w:val="004674E3"/>
    <w:rsid w:val="005038B4"/>
    <w:rsid w:val="00620B1B"/>
    <w:rsid w:val="006D3F15"/>
    <w:rsid w:val="006E5E81"/>
    <w:rsid w:val="00893AA1"/>
    <w:rsid w:val="00A50F8B"/>
    <w:rsid w:val="00AE7E74"/>
    <w:rsid w:val="00B738F3"/>
    <w:rsid w:val="00B83EB3"/>
    <w:rsid w:val="00B9255A"/>
    <w:rsid w:val="00C23144"/>
    <w:rsid w:val="00CD7F6D"/>
    <w:rsid w:val="00D227F8"/>
    <w:rsid w:val="00E16BA9"/>
    <w:rsid w:val="00E4159E"/>
    <w:rsid w:val="00FD1B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6A79"/>
  <w15:chartTrackingRefBased/>
  <w15:docId w15:val="{A05A84F8-2F61-448C-9389-619131D8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212121"/>
        <w:kern w:val="2"/>
        <w:sz w:val="24"/>
        <w:szCs w:val="24"/>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EB3"/>
  </w:style>
  <w:style w:type="paragraph" w:styleId="Heading1">
    <w:name w:val="heading 1"/>
    <w:basedOn w:val="Normal"/>
    <w:next w:val="Normal"/>
    <w:link w:val="Heading1Char"/>
    <w:uiPriority w:val="9"/>
    <w:qFormat/>
    <w:rsid w:val="00B83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EB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EB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83EB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83E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83E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83E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83E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E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E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83E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83E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83E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83E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83E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83EB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83EB3"/>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83E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E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83EB3"/>
    <w:pPr>
      <w:spacing w:before="160"/>
      <w:jc w:val="center"/>
    </w:pPr>
    <w:rPr>
      <w:i/>
      <w:iCs/>
      <w:color w:val="404040" w:themeColor="text1" w:themeTint="BF"/>
    </w:rPr>
  </w:style>
  <w:style w:type="character" w:customStyle="1" w:styleId="QuoteChar">
    <w:name w:val="Quote Char"/>
    <w:basedOn w:val="DefaultParagraphFont"/>
    <w:link w:val="Quote"/>
    <w:uiPriority w:val="29"/>
    <w:rsid w:val="00B83EB3"/>
    <w:rPr>
      <w:i/>
      <w:iCs/>
      <w:color w:val="404040" w:themeColor="text1" w:themeTint="BF"/>
    </w:rPr>
  </w:style>
  <w:style w:type="paragraph" w:styleId="ListParagraph">
    <w:name w:val="List Paragraph"/>
    <w:basedOn w:val="Normal"/>
    <w:uiPriority w:val="34"/>
    <w:qFormat/>
    <w:rsid w:val="00B83EB3"/>
    <w:pPr>
      <w:ind w:left="720"/>
      <w:contextualSpacing/>
    </w:pPr>
  </w:style>
  <w:style w:type="character" w:styleId="IntenseEmphasis">
    <w:name w:val="Intense Emphasis"/>
    <w:basedOn w:val="DefaultParagraphFont"/>
    <w:uiPriority w:val="21"/>
    <w:qFormat/>
    <w:rsid w:val="00B83EB3"/>
    <w:rPr>
      <w:i/>
      <w:iCs/>
      <w:color w:val="0F4761" w:themeColor="accent1" w:themeShade="BF"/>
    </w:rPr>
  </w:style>
  <w:style w:type="paragraph" w:styleId="IntenseQuote">
    <w:name w:val="Intense Quote"/>
    <w:basedOn w:val="Normal"/>
    <w:next w:val="Normal"/>
    <w:link w:val="IntenseQuoteChar"/>
    <w:uiPriority w:val="30"/>
    <w:qFormat/>
    <w:rsid w:val="00B83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EB3"/>
    <w:rPr>
      <w:i/>
      <w:iCs/>
      <w:color w:val="0F4761" w:themeColor="accent1" w:themeShade="BF"/>
    </w:rPr>
  </w:style>
  <w:style w:type="character" w:styleId="IntenseReference">
    <w:name w:val="Intense Reference"/>
    <w:basedOn w:val="DefaultParagraphFont"/>
    <w:uiPriority w:val="32"/>
    <w:qFormat/>
    <w:rsid w:val="00B83EB3"/>
    <w:rPr>
      <w:b/>
      <w:bCs/>
      <w:smallCaps/>
      <w:color w:val="0F4761" w:themeColor="accent1" w:themeShade="BF"/>
      <w:spacing w:val="5"/>
    </w:rPr>
  </w:style>
  <w:style w:type="character" w:styleId="Hyperlink">
    <w:name w:val="Hyperlink"/>
    <w:basedOn w:val="DefaultParagraphFont"/>
    <w:uiPriority w:val="99"/>
    <w:unhideWhenUsed/>
    <w:rsid w:val="00B83EB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uhanj@iitm.ac.i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E449F-D3F0-4872-835E-138F8DA24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1436</Words>
  <Characters>8186</Characters>
  <Application>Microsoft Office Word</Application>
  <DocSecurity>0</DocSecurity>
  <Lines>68</Lines>
  <Paragraphs>19</Paragraphs>
  <ScaleCrop>false</ScaleCrop>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Murugan</dc:creator>
  <cp:keywords/>
  <dc:description/>
  <cp:lastModifiedBy>Raja Murugan</cp:lastModifiedBy>
  <cp:revision>13</cp:revision>
  <dcterms:created xsi:type="dcterms:W3CDTF">2026-03-07T08:08:00Z</dcterms:created>
  <dcterms:modified xsi:type="dcterms:W3CDTF">2026-06-16T06:46:00Z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http://www.zotero.org/styles/applied-microbiology-and-biotechnology</vt:lpwstr>
  </property>
  <property fmtid="{D5CDD505-2E9C-101B-9397-08002B2CF9AE}" pid="11" name="Mendeley Recent Style Name 4_1">
    <vt:lpwstr>Applied Microbiology and Biotechnology</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0fa1b707-0ce0-3496-a3eb-f17983cfdb6a</vt:lpwstr>
  </property>
  <property fmtid="{D5CDD505-2E9C-101B-9397-08002B2CF9AE}" pid="24" name="Mendeley Citation Style_1">
    <vt:lpwstr>http://www.zotero.org/styles/applied-microbiology-and-biotechnology</vt:lpwstr>
  </property>
</Properties>
</file>