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067" w:type="dxa"/>
        <w:tblLook w:val="04A0" w:firstRow="1" w:lastRow="0" w:firstColumn="1" w:lastColumn="0" w:noHBand="0" w:noVBand="1"/>
      </w:tblPr>
      <w:tblGrid>
        <w:gridCol w:w="2464"/>
        <w:gridCol w:w="3771"/>
        <w:gridCol w:w="2832"/>
      </w:tblGrid>
      <w:tr w:rsidR="00EE604D" w:rsidRPr="008C6960" w14:paraId="1A08EFE2" w14:textId="77777777" w:rsidTr="00892C0C">
        <w:trPr>
          <w:trHeight w:val="245"/>
        </w:trPr>
        <w:tc>
          <w:tcPr>
            <w:tcW w:w="2464" w:type="dxa"/>
            <w:vAlign w:val="center"/>
          </w:tcPr>
          <w:p w14:paraId="21BD9376" w14:textId="4AECBADD" w:rsidR="00EE604D" w:rsidRPr="008C6960" w:rsidRDefault="00EE604D" w:rsidP="00644BC7">
            <w:pPr>
              <w:jc w:val="center"/>
              <w:rPr>
                <w:b/>
              </w:rPr>
            </w:pPr>
            <w:r w:rsidRPr="008C6960">
              <w:rPr>
                <w:b/>
              </w:rPr>
              <w:t xml:space="preserve">Scoring system per </w:t>
            </w:r>
            <w:r w:rsidR="001818D9" w:rsidRPr="008C6960">
              <w:rPr>
                <w:b/>
              </w:rPr>
              <w:t>k</w:t>
            </w:r>
            <w:r w:rsidRPr="008C6960">
              <w:rPr>
                <w:b/>
              </w:rPr>
              <w:t xml:space="preserve">nee </w:t>
            </w:r>
            <w:r w:rsidR="00652C95" w:rsidRPr="008C6960">
              <w:rPr>
                <w:b/>
              </w:rPr>
              <w:t>structure</w:t>
            </w:r>
          </w:p>
        </w:tc>
        <w:tc>
          <w:tcPr>
            <w:tcW w:w="6603" w:type="dxa"/>
            <w:gridSpan w:val="2"/>
            <w:vAlign w:val="center"/>
          </w:tcPr>
          <w:p w14:paraId="00CED689" w14:textId="77777777" w:rsidR="00EE604D" w:rsidRPr="008C6960" w:rsidRDefault="00EE604D" w:rsidP="00644BC7">
            <w:pPr>
              <w:jc w:val="center"/>
              <w:rPr>
                <w:b/>
              </w:rPr>
            </w:pPr>
            <w:r w:rsidRPr="008C6960">
              <w:rPr>
                <w:b/>
              </w:rPr>
              <w:t>Scores</w:t>
            </w:r>
          </w:p>
        </w:tc>
      </w:tr>
      <w:tr w:rsidR="00EE604D" w:rsidRPr="008C6960" w14:paraId="1FDF615A" w14:textId="77777777" w:rsidTr="00892C0C">
        <w:trPr>
          <w:trHeight w:val="1002"/>
        </w:trPr>
        <w:tc>
          <w:tcPr>
            <w:tcW w:w="2464" w:type="dxa"/>
          </w:tcPr>
          <w:p w14:paraId="192BAF2F" w14:textId="1CF1539A" w:rsidR="00EE604D" w:rsidRPr="008C6960" w:rsidRDefault="00824C2F" w:rsidP="00EE604D">
            <w:pPr>
              <w:rPr>
                <w:b/>
              </w:rPr>
            </w:pPr>
            <w:r>
              <w:rPr>
                <w:b/>
              </w:rPr>
              <w:t xml:space="preserve">Modified </w:t>
            </w:r>
            <w:r w:rsidR="0052351C" w:rsidRPr="008C6960">
              <w:rPr>
                <w:b/>
              </w:rPr>
              <w:t>BLOK</w:t>
            </w:r>
            <w:r w:rsidR="00EE604D" w:rsidRPr="008C6960">
              <w:rPr>
                <w:b/>
              </w:rPr>
              <w:t>S 0-7</w:t>
            </w:r>
            <w:r w:rsidR="00EE604D" w:rsidRPr="008C6960">
              <w:rPr>
                <w:b/>
                <w:vertAlign w:val="superscript"/>
              </w:rPr>
              <w:t xml:space="preserve"> </w:t>
            </w:r>
            <w:r w:rsidR="00EE2E2C" w:rsidRPr="008C6960">
              <w:rPr>
                <w:b/>
                <w:vertAlign w:val="superscript"/>
              </w:rPr>
              <w:fldChar w:fldCharType="begin" w:fldLock="1"/>
            </w:r>
            <w:r w:rsidR="00EE2E2C" w:rsidRPr="008C6960">
              <w:rPr>
                <w:b/>
                <w:vertAlign w:val="superscript"/>
              </w:rPr>
              <w:instrText>ADDIN CSL_CITATION {"citationItems":[{"id":"ITEM-1","itemData":{"DOI":"10.1136/ard.2006.066183","ISBN":"1468-2060 (Electronic)\\r0003-4967 (Linking)","ISSN":"00034967","PMID":"17472995","abstract":"Aim: MRI provides unparalleled visualisation of all the anatomical structures involved in the osteoarthritis (OA) process. There is a need for reliable methods of quantifying abnormalities of these structures. The aim of this work was to assess the reliability of a novel MRI scoring system for evaluating OA of the knee and explore the validity of the bone marrow lesion (BML) scoring component of this new tool. METHODS: After review of the relevant literature, a collaborative group of rheumatologists and radiologists from centres in the UK and USA established preliminary anatomical divisions, items (necessarily broadly inclusive) and scaling for a novel semi-quantitative knee score. A series of iterative reliability exercises were performed to reduce the initial items, and the reliability of the resultant Boston-Leeds Osteoarthritis Knee Score (BLOKS) was examined. A further sample had both the BLOKS and WORMS (Whole Organ MRI Score) bone marrow lesion (BML) score performed to assess the construct validity (relation to knee pain) and longitudinal validity (prediction of cartilage loss) of each scoring method. RESULTS: The BLOKS scoring method assesses nine intra-articular regions and contains eight items, including features of bone marrow lesions, cartilage, osteophytes, synovitis, effusions and ligaments. The scaling for each feature ranges from 0-3. The inter-reader reliability for the final BLOKS items ranged from 0.51 for meniscal extrusion up to 0.79 for meniscal tear. The reliability for other key features was 0.72 for BML grade, 0.72 for cartilage morphology, and 0.62 for synovitis. Maximal BML size on the BLOKS scale had a positive linear relation with visual analogue scale (VAS) pain, however the WORMS scale did not. Baseline BML was associated with cartilage loss on both BLOKS and WORMS scale. This association was stronger for BLOKS than WORMS. CONCLUSION: We have designed a novel scoring system for MRI OA knee, BLOKS, that demonstrates good reliability. Preliminary inspection of the validity of one of the components of this new tool supports the validity of the BLOKS BML scoring method over an existing instrument. Further iterative development will include validation for use in both clinical trials and epidemiological studies.","author":[{"dropping-particle":"","family":"Hunter","given":"D. J.","non-dropping-particle":"","parse-names":false,"suffix":""},{"dropping-particle":"","family":"Lo","given":"G. H.","non-dropping-particle":"","parse-names":false,"suffix":""},{"dropping-particle":"","family":"Gale","given":"D.","non-dropping-particle":"","parse-names":false,"suffix":""},{"dropping-particle":"","family":"Grainger","given":"A. J.","non-dropping-particle":"","parse-names":false,"suffix":""},{"dropping-particle":"","family":"Guermazi","given":"A.","non-dropping-particle":"","parse-names":false,"suffix":""},{"dropping-particle":"","family":"Conaghan","given":"P. G.","non-dropping-particle":"","parse-names":false,"suffix":""}],"container-title":"Annals of the Rheumatic Diseases","id":"ITEM-1","issue":"2","issued":{"date-parts":[["2008"]]},"page":"206-211","title":"The reliability of a new scoring system for knee osteoarthritis MRI and the validity of bone marrow lesion assessment: BLOKS (Boston-Leeds Osteoarthritis Knee Score)","type":"article-journal","volume":"67"},"uris":["http://www.mendeley.com/documents/?uuid=ecb7dc9c-e20b-4a28-a4ba-e20fbd9b011e"]}],"mendeley":{"formattedCitation":"[1]","plainTextFormattedCitation":"[1]","previouslyFormattedCitation":"[1]"},"properties":{"noteIndex":0},"schema":"https://github.com/citation-style-language/schema/raw/master/csl-citation.json"}</w:instrText>
            </w:r>
            <w:r w:rsidR="00EE2E2C" w:rsidRPr="008C6960">
              <w:rPr>
                <w:b/>
                <w:vertAlign w:val="superscript"/>
              </w:rPr>
              <w:fldChar w:fldCharType="separate"/>
            </w:r>
            <w:r w:rsidR="00EE2E2C" w:rsidRPr="008C6960">
              <w:rPr>
                <w:b/>
                <w:noProof/>
              </w:rPr>
              <w:t>[1]</w:t>
            </w:r>
            <w:r w:rsidR="00EE2E2C" w:rsidRPr="008C6960">
              <w:rPr>
                <w:b/>
                <w:vertAlign w:val="superscript"/>
              </w:rPr>
              <w:fldChar w:fldCharType="end"/>
            </w:r>
            <w:r w:rsidR="00EE2E2C" w:rsidRPr="008C6960">
              <w:rPr>
                <w:b/>
                <w:vertAlign w:val="superscript"/>
              </w:rPr>
              <w:t xml:space="preserve"> </w:t>
            </w:r>
            <w:r w:rsidR="00EE604D" w:rsidRPr="008C6960">
              <w:rPr>
                <w:b/>
              </w:rPr>
              <w:t>&amp; ACLOAS</w:t>
            </w:r>
            <w:r w:rsidR="00EE2E2C" w:rsidRPr="008C6960">
              <w:rPr>
                <w:b/>
              </w:rPr>
              <w:t xml:space="preserve"> 0-8 </w:t>
            </w:r>
            <w:r w:rsidR="00EE2E2C" w:rsidRPr="008C6960">
              <w:rPr>
                <w:b/>
              </w:rPr>
              <w:fldChar w:fldCharType="begin" w:fldLock="1"/>
            </w:r>
            <w:r w:rsidR="00EE2E2C" w:rsidRPr="008C6960">
              <w:rPr>
                <w:b/>
              </w:rPr>
              <w:instrText>ADDIN CSL_CITATION {"citationItems":[{"id":"ITEM-1","itemData":{"DOI":"10.1016/j.joca.2014.03.006","ISBN":"1063-4584","ISSN":"15229653","PMID":"24657830","abstract":"Objective: To develop a whole joint scoring system, the Anterior Cruciate Ligament OsteoArthritis Score (ACLOAS), for magnetic resonance imaging (MRI)-based assessment of acute anterior cruciate ligament (ACL) injury and follow-up of structural sequelae, and to assess its reliability. Design: Baseline and follow-up 1.5T MRI examinations from 20 patients of the KANON study, a randomized controlled study comparing a surgical and non-surgical treatment strategy, were assessed for up to six longitudinal visits using a novel MRI scoring system incorporating acute structural tissue damage and longitudinal changes including osteoarthritis (OA) features. Joint features assessed were acute osteochondral injury, traumatic and degenerative bone marrow lesions (BMLs), meniscus morphology and extrusion, osteophytes, collateral and cruciate ligaments including ACL graft, Hoffa-synovitis and effusion-synovitis. Cross-sectional (baseline) and longitudinal (all time points and change) intra- and inter-observer reliability was calculated using weighted (w) kappa statistics and overall percent agreement on a compartmental basis (medial tibio-femoral, lateral tibio-femoral, patello-femoral). Results: Altogether 87 time points were evaluated. Intra-observer reliability ranged between 0.52 (baseline, Hoffa-synovitis) and 1.00 (several features), percent agreement between 52% (all time points, Hoffa-synovitis) and 100% (several features). Inter-observer reliability ranged between 0.00 and 1.00, which is explained by low frequency of some of the features. Altogether, 73% of all assessed 142 parameters showed w-kappa values between 0.80 and 1.00 and 92% showed agreement above 80%. Conclusions: ACLOAS allows reliable scoring of acute ACL injury and longitudinal changes. This novel scoring system incorporates features that may be relevant for structural outcome not covered by established OA scoring instruments. © 2014 Osteoarthritis Research Society International.","author":[{"dropping-particle":"","family":"Roemer","given":"Frank W.","non-dropping-particle":"","parse-names":false,"suffix":""},{"dropping-particle":"","family":"Frobell","given":"Richard","non-dropping-particle":"","parse-names":false,"suffix":""},{"dropping-particle":"","family":"Lohmander","given":"L. Stefan","non-dropping-particle":"","parse-names":false,"suffix":""},{"dropping-particle":"","family":"Niu","given":"Jingbo","non-dropping-particle":"","parse-names":false,"suffix":""},{"dropping-particle":"","family":"Guermazi","given":"Ali","non-dropping-particle":"","parse-names":false,"suffix":""}],"container-title":"Osteoarthritis and Cartilage","id":"ITEM-1","issue":"5","issued":{"date-parts":[["2014"]]},"page":"668-682","title":"Anterior cruciate ligament osteoarthritis score (ACLOAS): Longitudinal MRI-based whole joint assessment of anterior cruciate ligament injury","type":"article-journal","volume":"22"},"uris":["http://www.mendeley.com/documents/?uuid=4bab9d33-2734-486f-9a83-163e194d5228"]}],"mendeley":{"formattedCitation":"[2]","plainTextFormattedCitation":"[2]","previouslyFormattedCitation":"[2]"},"properties":{"noteIndex":0},"schema":"https://github.com/citation-style-language/schema/raw/master/csl-citation.json"}</w:instrText>
            </w:r>
            <w:r w:rsidR="00EE2E2C" w:rsidRPr="008C6960">
              <w:rPr>
                <w:b/>
              </w:rPr>
              <w:fldChar w:fldCharType="separate"/>
            </w:r>
            <w:r w:rsidR="00EE2E2C" w:rsidRPr="008C6960">
              <w:rPr>
                <w:b/>
                <w:noProof/>
              </w:rPr>
              <w:t>[2]</w:t>
            </w:r>
            <w:r w:rsidR="00EE2E2C" w:rsidRPr="008C6960">
              <w:rPr>
                <w:b/>
              </w:rPr>
              <w:fldChar w:fldCharType="end"/>
            </w:r>
            <w:r w:rsidR="007854E4" w:rsidRPr="008C6960">
              <w:rPr>
                <w:b/>
              </w:rPr>
              <w:t>:</w:t>
            </w:r>
          </w:p>
          <w:p w14:paraId="3BEC5F7D" w14:textId="77777777" w:rsidR="00EE604D" w:rsidRPr="008C6960" w:rsidRDefault="00EE604D" w:rsidP="00EE604D">
            <w:pPr>
              <w:rPr>
                <w:b/>
              </w:rPr>
            </w:pPr>
            <w:r w:rsidRPr="008C6960">
              <w:rPr>
                <w:b/>
              </w:rPr>
              <w:t>Meniscus (medial, lateral)</w:t>
            </w:r>
          </w:p>
          <w:p w14:paraId="761807D6" w14:textId="153B9755" w:rsidR="00EE604D" w:rsidRPr="008C6960" w:rsidRDefault="00585009" w:rsidP="00EE604D">
            <w:pPr>
              <w:rPr>
                <w:color w:val="000000"/>
                <w:lang w:eastAsia="en-GB"/>
              </w:rPr>
            </w:pPr>
            <w:r w:rsidRPr="008C6960">
              <w:rPr>
                <w:color w:val="000000"/>
                <w:lang w:eastAsia="en-GB"/>
              </w:rPr>
              <w:t xml:space="preserve">2 </w:t>
            </w:r>
            <w:r w:rsidR="00EE604D" w:rsidRPr="008C6960">
              <w:rPr>
                <w:color w:val="000000"/>
                <w:lang w:eastAsia="en-GB"/>
              </w:rPr>
              <w:t>areas: AH, PH</w:t>
            </w:r>
            <w:r w:rsidRPr="008C6960">
              <w:rPr>
                <w:color w:val="000000"/>
                <w:lang w:eastAsia="en-GB"/>
              </w:rPr>
              <w:t>.</w:t>
            </w:r>
          </w:p>
          <w:p w14:paraId="12F19D3F" w14:textId="77777777" w:rsidR="00EE604D" w:rsidRPr="008C6960" w:rsidRDefault="00EE604D" w:rsidP="00EE604D">
            <w:pPr>
              <w:rPr>
                <w:b/>
              </w:rPr>
            </w:pPr>
          </w:p>
          <w:p w14:paraId="5A2A4124" w14:textId="77777777" w:rsidR="00EE604D" w:rsidRPr="008C6960" w:rsidRDefault="00EE604D" w:rsidP="00EE604D"/>
        </w:tc>
        <w:tc>
          <w:tcPr>
            <w:tcW w:w="3771" w:type="dxa"/>
          </w:tcPr>
          <w:p w14:paraId="2211F851" w14:textId="41E34DAB" w:rsidR="00EE604D" w:rsidRPr="008C6960" w:rsidRDefault="0052351C" w:rsidP="00EE604D">
            <w:pPr>
              <w:rPr>
                <w:b/>
                <w:color w:val="000000"/>
                <w:u w:val="single"/>
                <w:lang w:eastAsia="en-GB"/>
              </w:rPr>
            </w:pPr>
            <w:r w:rsidRPr="008C6960">
              <w:rPr>
                <w:color w:val="000000"/>
                <w:u w:val="single"/>
                <w:lang w:eastAsia="en-GB"/>
              </w:rPr>
              <w:t>BLO</w:t>
            </w:r>
            <w:r w:rsidR="00EE604D" w:rsidRPr="008C6960">
              <w:rPr>
                <w:color w:val="000000"/>
                <w:u w:val="single"/>
                <w:lang w:eastAsia="en-GB"/>
              </w:rPr>
              <w:t>KS</w:t>
            </w:r>
          </w:p>
          <w:p w14:paraId="26700708" w14:textId="77777777" w:rsidR="00EE604D" w:rsidRPr="008C6960" w:rsidRDefault="00EE604D" w:rsidP="00EE604D">
            <w:pPr>
              <w:rPr>
                <w:b/>
                <w:color w:val="000000"/>
                <w:lang w:eastAsia="en-GB"/>
              </w:rPr>
            </w:pPr>
            <w:r w:rsidRPr="008C6960">
              <w:rPr>
                <w:b/>
                <w:color w:val="000000"/>
                <w:lang w:eastAsia="en-GB"/>
              </w:rPr>
              <w:t>Meniscal signal (not a tear)</w:t>
            </w:r>
          </w:p>
          <w:p w14:paraId="32CA7BF3" w14:textId="77777777" w:rsidR="00EE604D" w:rsidRPr="008C6960" w:rsidRDefault="00EE604D" w:rsidP="00EE604D">
            <w:pPr>
              <w:rPr>
                <w:color w:val="000000"/>
                <w:lang w:eastAsia="en-GB"/>
              </w:rPr>
            </w:pPr>
            <w:r w:rsidRPr="008C6960">
              <w:rPr>
                <w:color w:val="000000"/>
                <w:lang w:eastAsia="en-GB"/>
              </w:rPr>
              <w:br w:type="page"/>
              <w:t>0=Absent</w:t>
            </w:r>
          </w:p>
          <w:p w14:paraId="1D01DC0A" w14:textId="77777777" w:rsidR="00EE604D" w:rsidRPr="008C6960" w:rsidRDefault="00EE604D" w:rsidP="00EE604D">
            <w:pPr>
              <w:rPr>
                <w:color w:val="000000"/>
                <w:lang w:eastAsia="en-GB"/>
              </w:rPr>
            </w:pPr>
            <w:r w:rsidRPr="008C6960">
              <w:rPr>
                <w:color w:val="000000"/>
                <w:lang w:eastAsia="en-GB"/>
              </w:rPr>
              <w:br w:type="page"/>
              <w:t>1=Present</w:t>
            </w:r>
          </w:p>
          <w:p w14:paraId="6B633F66" w14:textId="77777777" w:rsidR="00EE604D" w:rsidRPr="008C6960" w:rsidRDefault="00EE604D" w:rsidP="00EE604D">
            <w:pPr>
              <w:rPr>
                <w:color w:val="000000"/>
                <w:lang w:eastAsia="en-GB"/>
              </w:rPr>
            </w:pPr>
            <w:r w:rsidRPr="008C6960">
              <w:rPr>
                <w:b/>
                <w:bCs/>
                <w:color w:val="000000"/>
                <w:lang w:eastAsia="en-GB"/>
              </w:rPr>
              <w:t>Type of tear:</w:t>
            </w:r>
            <w:r w:rsidRPr="008C6960">
              <w:rPr>
                <w:color w:val="000000"/>
                <w:lang w:eastAsia="en-GB"/>
              </w:rPr>
              <w:br w:type="page"/>
            </w:r>
          </w:p>
          <w:p w14:paraId="59842F1A" w14:textId="77777777" w:rsidR="00EE604D" w:rsidRPr="008C6960" w:rsidRDefault="00EE604D" w:rsidP="00EE604D">
            <w:pPr>
              <w:rPr>
                <w:color w:val="000000"/>
                <w:lang w:eastAsia="en-GB"/>
              </w:rPr>
            </w:pPr>
            <w:r w:rsidRPr="008C6960">
              <w:rPr>
                <w:color w:val="000000"/>
                <w:lang w:eastAsia="en-GB"/>
              </w:rPr>
              <w:t>2=Vertical tear</w:t>
            </w:r>
          </w:p>
          <w:p w14:paraId="3F0FECCF" w14:textId="77777777" w:rsidR="00EE604D" w:rsidRPr="008C6960" w:rsidRDefault="00EE604D" w:rsidP="00EE604D">
            <w:pPr>
              <w:rPr>
                <w:color w:val="000000"/>
                <w:lang w:eastAsia="en-GB"/>
              </w:rPr>
            </w:pPr>
            <w:r w:rsidRPr="008C6960">
              <w:rPr>
                <w:color w:val="000000"/>
                <w:lang w:eastAsia="en-GB"/>
              </w:rPr>
              <w:br w:type="page"/>
              <w:t>3=Horizontal &amp; radial tear</w:t>
            </w:r>
          </w:p>
          <w:p w14:paraId="60FC9E69" w14:textId="77777777" w:rsidR="00EE604D" w:rsidRPr="008C6960" w:rsidRDefault="00EE604D" w:rsidP="00EE604D">
            <w:pPr>
              <w:rPr>
                <w:color w:val="000000"/>
                <w:lang w:eastAsia="en-GB"/>
              </w:rPr>
            </w:pPr>
            <w:r w:rsidRPr="008C6960">
              <w:rPr>
                <w:color w:val="000000"/>
                <w:lang w:eastAsia="en-GB"/>
              </w:rPr>
              <w:t>4=Complex tear</w:t>
            </w:r>
          </w:p>
          <w:p w14:paraId="5655FA7C" w14:textId="77777777" w:rsidR="00EE604D" w:rsidRPr="008C6960" w:rsidRDefault="00EE604D" w:rsidP="00EE604D">
            <w:pPr>
              <w:rPr>
                <w:color w:val="000000"/>
                <w:lang w:eastAsia="en-GB"/>
              </w:rPr>
            </w:pPr>
            <w:r w:rsidRPr="008C6960">
              <w:rPr>
                <w:color w:val="000000"/>
                <w:lang w:eastAsia="en-GB"/>
              </w:rPr>
              <w:t>5=Root tear</w:t>
            </w:r>
          </w:p>
          <w:p w14:paraId="3B7746CE" w14:textId="77777777" w:rsidR="00EE604D" w:rsidRPr="008C6960" w:rsidRDefault="00EE604D" w:rsidP="00EE604D">
            <w:pPr>
              <w:rPr>
                <w:color w:val="000000"/>
                <w:lang w:eastAsia="en-GB"/>
              </w:rPr>
            </w:pPr>
            <w:r w:rsidRPr="008C6960">
              <w:rPr>
                <w:color w:val="000000"/>
                <w:lang w:eastAsia="en-GB"/>
              </w:rPr>
              <w:t>6=Complete maceration</w:t>
            </w:r>
          </w:p>
          <w:p w14:paraId="69E42BEB" w14:textId="77777777" w:rsidR="00EE604D" w:rsidRPr="008C6960" w:rsidRDefault="00EE604D" w:rsidP="00EE604D">
            <w:pPr>
              <w:rPr>
                <w:color w:val="000000"/>
                <w:lang w:eastAsia="en-GB"/>
              </w:rPr>
            </w:pPr>
            <w:r w:rsidRPr="008C6960">
              <w:rPr>
                <w:color w:val="000000"/>
                <w:lang w:eastAsia="en-GB"/>
              </w:rPr>
              <w:t>7=Meniscal cyst</w:t>
            </w:r>
          </w:p>
          <w:p w14:paraId="7175C377" w14:textId="77777777" w:rsidR="00EE604D" w:rsidRPr="008C6960" w:rsidRDefault="00EE604D" w:rsidP="00EE604D">
            <w:pPr>
              <w:rPr>
                <w:color w:val="000000"/>
                <w:lang w:eastAsia="en-GB"/>
              </w:rPr>
            </w:pPr>
          </w:p>
          <w:p w14:paraId="4DD8980D" w14:textId="77777777" w:rsidR="00EE604D" w:rsidRPr="008C6960" w:rsidRDefault="00EE604D" w:rsidP="00EE604D">
            <w:pPr>
              <w:rPr>
                <w:color w:val="000000"/>
                <w:lang w:eastAsia="en-GB"/>
              </w:rPr>
            </w:pPr>
          </w:p>
        </w:tc>
        <w:tc>
          <w:tcPr>
            <w:tcW w:w="2832" w:type="dxa"/>
            <w:vAlign w:val="bottom"/>
          </w:tcPr>
          <w:p w14:paraId="094E1340" w14:textId="77777777" w:rsidR="00EE604D" w:rsidRPr="008C6960" w:rsidRDefault="00EE604D" w:rsidP="00EE604D">
            <w:pPr>
              <w:rPr>
                <w:color w:val="000000"/>
                <w:u w:val="single"/>
                <w:lang w:eastAsia="en-GB"/>
              </w:rPr>
            </w:pPr>
            <w:r w:rsidRPr="008C6960">
              <w:rPr>
                <w:color w:val="000000"/>
                <w:lang w:eastAsia="en-GB"/>
              </w:rPr>
              <w:br w:type="page"/>
            </w:r>
            <w:r w:rsidRPr="008C6960">
              <w:rPr>
                <w:color w:val="000000"/>
                <w:u w:val="single"/>
                <w:lang w:eastAsia="en-GB"/>
              </w:rPr>
              <w:t>ACLOAS</w:t>
            </w:r>
          </w:p>
          <w:p w14:paraId="134540A4" w14:textId="5FE00E3C" w:rsidR="00EE604D" w:rsidRPr="008C6960" w:rsidRDefault="00EE604D" w:rsidP="00EE604D">
            <w:pPr>
              <w:rPr>
                <w:color w:val="000000"/>
                <w:lang w:eastAsia="en-GB"/>
              </w:rPr>
            </w:pPr>
            <w:r w:rsidRPr="008C6960">
              <w:rPr>
                <w:color w:val="000000"/>
                <w:lang w:eastAsia="en-GB"/>
              </w:rPr>
              <w:t>0=Normal meniscus with absence of tear, maceration and hypointense signal</w:t>
            </w:r>
          </w:p>
          <w:p w14:paraId="62CD8481" w14:textId="3723C596" w:rsidR="00EE604D" w:rsidRPr="008C6960" w:rsidRDefault="00EE604D" w:rsidP="00EE604D">
            <w:pPr>
              <w:rPr>
                <w:color w:val="000000"/>
                <w:lang w:eastAsia="en-GB"/>
              </w:rPr>
            </w:pPr>
            <w:r w:rsidRPr="008C6960">
              <w:rPr>
                <w:color w:val="000000"/>
                <w:lang w:eastAsia="en-GB"/>
              </w:rPr>
              <w:t>1=</w:t>
            </w:r>
            <w:proofErr w:type="spellStart"/>
            <w:r w:rsidRPr="008C6960">
              <w:rPr>
                <w:color w:val="000000"/>
                <w:lang w:eastAsia="en-GB"/>
              </w:rPr>
              <w:t>Intrameniscal</w:t>
            </w:r>
            <w:proofErr w:type="spellEnd"/>
            <w:r w:rsidRPr="008C6960">
              <w:rPr>
                <w:color w:val="000000"/>
                <w:lang w:eastAsia="en-GB"/>
              </w:rPr>
              <w:t xml:space="preserve"> hyperintensity not extending to meniscal surface</w:t>
            </w:r>
          </w:p>
          <w:p w14:paraId="01613A29" w14:textId="2319C0E2" w:rsidR="00EE604D" w:rsidRPr="008C6960" w:rsidRDefault="00EE604D" w:rsidP="00EE604D">
            <w:pPr>
              <w:rPr>
                <w:color w:val="000000"/>
                <w:lang w:eastAsia="en-GB"/>
              </w:rPr>
            </w:pPr>
            <w:r w:rsidRPr="008C6960">
              <w:rPr>
                <w:color w:val="000000"/>
                <w:lang w:eastAsia="en-GB"/>
              </w:rPr>
              <w:t>2=Horizontal tear</w:t>
            </w:r>
          </w:p>
          <w:p w14:paraId="0A00DC96" w14:textId="31A3708A" w:rsidR="00EE604D" w:rsidRPr="008C6960" w:rsidRDefault="00EE604D" w:rsidP="00EE604D">
            <w:pPr>
              <w:rPr>
                <w:color w:val="000000"/>
                <w:lang w:eastAsia="en-GB"/>
              </w:rPr>
            </w:pPr>
            <w:r w:rsidRPr="008C6960">
              <w:rPr>
                <w:color w:val="000000"/>
                <w:lang w:eastAsia="en-GB"/>
              </w:rPr>
              <w:t>3</w:t>
            </w:r>
            <w:r w:rsidR="009F13CF" w:rsidRPr="008C6960">
              <w:rPr>
                <w:color w:val="000000"/>
                <w:lang w:eastAsia="en-GB"/>
              </w:rPr>
              <w:t>=</w:t>
            </w:r>
            <w:r w:rsidRPr="008C6960">
              <w:rPr>
                <w:color w:val="000000"/>
                <w:lang w:eastAsia="en-GB"/>
              </w:rPr>
              <w:t>Radial and vertical tear</w:t>
            </w:r>
          </w:p>
          <w:p w14:paraId="5E1B27FB" w14:textId="34AE83E4" w:rsidR="00EE604D" w:rsidRPr="008C6960" w:rsidRDefault="00EE604D" w:rsidP="00EE604D">
            <w:pPr>
              <w:rPr>
                <w:color w:val="000000"/>
                <w:lang w:eastAsia="en-GB"/>
              </w:rPr>
            </w:pPr>
            <w:r w:rsidRPr="008C6960">
              <w:rPr>
                <w:color w:val="000000"/>
                <w:lang w:eastAsia="en-GB"/>
              </w:rPr>
              <w:t>4=Bucket-handle tear, displaced tear (including root tears) and complex tears</w:t>
            </w:r>
          </w:p>
          <w:p w14:paraId="52D9A415" w14:textId="3FBD08EC" w:rsidR="00EE604D" w:rsidRPr="008C6960" w:rsidRDefault="00EE604D" w:rsidP="00EE604D">
            <w:pPr>
              <w:rPr>
                <w:color w:val="000000"/>
                <w:lang w:eastAsia="en-GB"/>
              </w:rPr>
            </w:pPr>
            <w:r w:rsidRPr="008C6960">
              <w:rPr>
                <w:color w:val="000000"/>
                <w:lang w:eastAsia="en-GB"/>
              </w:rPr>
              <w:t>5=Meniscal repair</w:t>
            </w:r>
          </w:p>
          <w:p w14:paraId="02789E56" w14:textId="302E8238" w:rsidR="00EE604D" w:rsidRPr="008C6960" w:rsidRDefault="00EE604D" w:rsidP="00EE604D">
            <w:pPr>
              <w:rPr>
                <w:color w:val="000000"/>
                <w:lang w:eastAsia="en-GB"/>
              </w:rPr>
            </w:pPr>
            <w:r w:rsidRPr="008C6960">
              <w:rPr>
                <w:color w:val="000000"/>
                <w:lang w:eastAsia="en-GB"/>
              </w:rPr>
              <w:t>6=Partial meniscectomy and partial maceration</w:t>
            </w:r>
          </w:p>
          <w:p w14:paraId="685F0183" w14:textId="2C776E35" w:rsidR="00EE604D" w:rsidRPr="008C6960" w:rsidRDefault="00EE604D" w:rsidP="00EE604D">
            <w:pPr>
              <w:rPr>
                <w:color w:val="000000"/>
                <w:lang w:eastAsia="en-GB"/>
              </w:rPr>
            </w:pPr>
            <w:r w:rsidRPr="008C6960">
              <w:rPr>
                <w:color w:val="000000"/>
                <w:lang w:eastAsia="en-GB"/>
              </w:rPr>
              <w:t>7=Progressive partial maceration or re-partial meniscectomy (i.e., loss of morphological substance of the meniscus) as compared to the previous visit</w:t>
            </w:r>
          </w:p>
          <w:p w14:paraId="1FC9E83E" w14:textId="242D9E3D" w:rsidR="00EE604D" w:rsidRPr="008C6960" w:rsidRDefault="00EE604D" w:rsidP="00EE604D">
            <w:pPr>
              <w:rPr>
                <w:color w:val="000000"/>
                <w:lang w:eastAsia="en-GB"/>
              </w:rPr>
            </w:pPr>
            <w:r w:rsidRPr="008C6960">
              <w:rPr>
                <w:color w:val="000000"/>
                <w:lang w:eastAsia="en-GB"/>
              </w:rPr>
              <w:t>8=Complete maceration or resection</w:t>
            </w:r>
          </w:p>
        </w:tc>
      </w:tr>
      <w:tr w:rsidR="00EE604D" w:rsidRPr="008C6960" w14:paraId="244527DC" w14:textId="77777777" w:rsidTr="00892C0C">
        <w:trPr>
          <w:trHeight w:val="1167"/>
        </w:trPr>
        <w:tc>
          <w:tcPr>
            <w:tcW w:w="2464" w:type="dxa"/>
          </w:tcPr>
          <w:p w14:paraId="57A67077" w14:textId="3BDFFDFE" w:rsidR="00EE604D" w:rsidRPr="008C6960" w:rsidRDefault="00EE604D" w:rsidP="00EE604D">
            <w:pPr>
              <w:rPr>
                <w:b/>
                <w:vertAlign w:val="superscript"/>
              </w:rPr>
            </w:pPr>
            <w:r w:rsidRPr="008C6960">
              <w:rPr>
                <w:b/>
              </w:rPr>
              <w:t>Modified Noyes 0-4</w:t>
            </w:r>
            <w:r w:rsidR="00EE2E2C" w:rsidRPr="008C6960">
              <w:rPr>
                <w:b/>
              </w:rPr>
              <w:t xml:space="preserve"> </w:t>
            </w:r>
            <w:r w:rsidR="00EE2E2C" w:rsidRPr="008C6960">
              <w:rPr>
                <w:bCs/>
              </w:rPr>
              <w:fldChar w:fldCharType="begin" w:fldLock="1"/>
            </w:r>
            <w:r w:rsidR="009440E6">
              <w:rPr>
                <w:bCs/>
              </w:rPr>
              <w:instrText>ADDIN CSL_CITATION {"citationItems":[{"id":"ITEM-1","itemData":{"DOI":"10.1177/036354658901700410","ISBN":"0363-5465 (Print)\r0363-5465 (Linking)","ISSN":"15523365","PMID":"2675649","abstract":"Although there are several different classification sys tems for the description of articular cartilage damage, each has certain limitations and deficiencies which can lead to confusion. We are proposing a new system which describes articular cartilage abnormalities in sim ple terms. It is based on four separate and distinct variables: the description of the articular surface, the extent (depth) of involvement, the diameter of the le sion, and the location of the lesion. Although somewhat qualitative and subjective, the system enables the sur geon to record observed articular cartilage changes. We have used this grading as part of our overall knee rating system and have found it helpful in comparing treatment results between our different studies. For research purposes, a point scaling system facilitates computerization and statistical analysis of the data.","author":[{"dropping-particle":"","family":"Noyes","given":"Frank R.","non-dropping-particle":"","parse-names":false,"suffix":""},{"dropping-particle":"","family":"Stabler","given":"Craig L.","non-dropping-particle":"","parse-names":false,"suffix":""}],"container-title":"The American Journal of Sports Medicine","id":"ITEM-1","issue":"4","issued":{"date-parts":[["1989"]]},"page":"505-513","title":"A system for grading articular cartilage lesions at arthroscopy","type":"article-journal","volume":"17"},"uris":["http://www.mendeley.com/documents/?uuid=d5112366-9d6e-45b6-8e9d-4eee9439496e"]},{"id":"ITEM-2","itemData":{"DOI":"10.1097/JSM.0000000000000283","ISSN":"15363724","abstract":"Objective-To determine the prevalence of abnormal structural findings using 3.0-T MRI in the asymptomatic knees of male and female collegiate basketball players before and after a season of high-intensity basketball. Design-Institutional review board-approved prospective case series. Participants-Asymptomatic knees of 24 NCAA Division I collegiate basketball players (12 male, 12 female) were imaged using a 3.0-T MRI scanner prior to and following the end of the competitive season. Three subjects did not undergo scanning after the season. Main Outcome Measures-Images were evaluated for pre-patellar bursitis, fat pad edema, patellar and quadriceps tendinopathy, bone marrow edema, and articular cartilage and meniscal injury. Results-Every knee imaged had at least one structural abnormality both pre-and post-season. A high pre-and post-season prevalence of fat pad edema (75% and 81%), patellar tendinopathy (83% and 90%), and quadriceps tendinopathy (75% and 90%) was seen. Intra-meniscal signal change was observed in 50% pre-season knees and 62% of post-season knees, but no discrete tears were found. Bone marrow edema was seen in 75% and 86% of knees in the pre-and post-season, respectively. Cartilage findings were observed in 71% and 81% of knees in the pre-and post-season, respectively. The cartilage injury score increased significantly in the post-season compared with the pre-season (p = 0.0009).","author":[{"dropping-particle":"","family":"Pappas","given":"George P.","non-dropping-particle":"","parse-names":false,"suffix":""},{"dropping-particle":"","family":"Vogelsong","given":"Melissa A.","non-dropping-particle":"","parse-names":false,"suffix":""},{"dropping-particle":"","family":"Staroswiecki","given":"Ernesto","non-dropping-particle":"","parse-names":false,"suffix":""},{"dropping-particle":"","family":"Gold","given":"Garry E.","non-dropping-particle":"","parse-names":false,"suffix":""},{"dropping-particle":"","family":"Safran","given":"Marc R.","non-dropping-particle":"","parse-names":false,"suffix":""}],"container-title":"Clinical Journal of Sport Medicine","id":"ITEM-2","issued":{"date-parts":[["2016"]]},"title":"Magnetic Resonance Imaging of Asymptomatic Knees in Collegiate Basketball Players: The Effect of One Season of Play","type":"article-journal"},"uris":["http://www.mendeley.com/documents/?uuid=0df3414a-2ee4-4165-91ae-6811b9789284"]},{"id":"ITEM-3","itemData":{"DOI":"10.2214/AJR.09.3042","ISSN":"0361803X","abstract":"OBJECTIVE. MRI is the most accurate noninvasive method available to diagnose disorders of articular cartilage. Conventional 2D and 3D approaches show changes in cartilage morphology. Faster 3D imaging methods with isotropic resolution can be reformatted into arbitrary planes for improved detection and visualization of pathology. Unique contrast mechanisms allow us to probe cartilage physiology and detect changes in cartilage macromolecules. CONCLUSION. MRI has great promise as a noninvasive comprehensive tool for cartilage evaluation. © American Roentgen Ray Society.","author":[{"dropping-particle":"","family":"Gold","given":"Garry E.","non-dropping-particle":"","parse-names":false,"suffix":""},{"dropping-particle":"","family":"Chen","given":"Christina A.","non-dropping-particle":"","parse-names":false,"suffix":""},{"dropping-particle":"","family":"Koo","given":"Seungbum","non-dropping-particle":"","parse-names":false,"suffix":""},{"dropping-particle":"","family":"Hargreaves","given":"Brian A.","non-dropping-particle":"","parse-names":false,"suffix":""},{"dropping-particle":"","family":"Bangerter","given":"Neal K.","non-dropping-particle":"","parse-names":false,"suffix":""}],"container-title":"American Journal of Roentgenology","id":"ITEM-3","issued":{"date-parts":[["2009"]]},"title":"Recent advances in MRI of articular cartilage","type":"article"},"uris":["http://www.mendeley.com/documents/?uuid=30800a0e-1638-4d39-93fc-88b2b192dca6"]}],"mendeley":{"formattedCitation":"[3–5]","plainTextFormattedCitation":"[3–5]","previouslyFormattedCitation":"[3]"},"properties":{"noteIndex":0},"schema":"https://github.com/citation-style-language/schema/raw/master/csl-citation.json"}</w:instrText>
            </w:r>
            <w:r w:rsidR="00EE2E2C" w:rsidRPr="008C6960">
              <w:rPr>
                <w:bCs/>
              </w:rPr>
              <w:fldChar w:fldCharType="separate"/>
            </w:r>
            <w:r w:rsidR="009440E6" w:rsidRPr="009440E6">
              <w:rPr>
                <w:bCs/>
                <w:noProof/>
              </w:rPr>
              <w:t>[3–5]</w:t>
            </w:r>
            <w:r w:rsidR="00EE2E2C" w:rsidRPr="008C6960">
              <w:rPr>
                <w:bCs/>
              </w:rPr>
              <w:fldChar w:fldCharType="end"/>
            </w:r>
            <w:r w:rsidR="00EE2E2C" w:rsidRPr="008C6960">
              <w:rPr>
                <w:bCs/>
              </w:rPr>
              <w:t>:</w:t>
            </w:r>
          </w:p>
          <w:p w14:paraId="27357CF8" w14:textId="50F1493F" w:rsidR="00EE604D" w:rsidRPr="008C6960" w:rsidRDefault="00EE604D" w:rsidP="00EE604D">
            <w:pPr>
              <w:rPr>
                <w:b/>
              </w:rPr>
            </w:pPr>
            <w:r w:rsidRPr="008C6960">
              <w:rPr>
                <w:b/>
              </w:rPr>
              <w:t>Cartilage</w:t>
            </w:r>
            <w:r w:rsidR="00EE2E2C" w:rsidRPr="008C6960">
              <w:rPr>
                <w:b/>
              </w:rPr>
              <w:t xml:space="preserve"> </w:t>
            </w:r>
          </w:p>
          <w:p w14:paraId="4A07F39C" w14:textId="5393DFC2" w:rsidR="00EE604D" w:rsidRPr="008C6960" w:rsidRDefault="00EE604D" w:rsidP="00EE604D">
            <w:r w:rsidRPr="008C6960">
              <w:rPr>
                <w:color w:val="000000"/>
                <w:lang w:eastAsia="en-GB"/>
              </w:rPr>
              <w:t xml:space="preserve">MFC, LFC, MTC, LTC, trochlea (medial, lateral, </w:t>
            </w:r>
            <w:r w:rsidR="00EE2E2C" w:rsidRPr="008C6960">
              <w:rPr>
                <w:color w:val="000000"/>
                <w:lang w:eastAsia="en-GB"/>
              </w:rPr>
              <w:t>central</w:t>
            </w:r>
            <w:r w:rsidRPr="008C6960">
              <w:rPr>
                <w:color w:val="000000"/>
                <w:lang w:eastAsia="en-GB"/>
              </w:rPr>
              <w:t>), patella (medial, lateral)</w:t>
            </w:r>
          </w:p>
        </w:tc>
        <w:tc>
          <w:tcPr>
            <w:tcW w:w="6603" w:type="dxa"/>
            <w:gridSpan w:val="2"/>
          </w:tcPr>
          <w:p w14:paraId="2E198662" w14:textId="148F4C43" w:rsidR="00EE604D" w:rsidRPr="008C6960" w:rsidRDefault="00EE604D" w:rsidP="00EE604D">
            <w:r w:rsidRPr="008C6960">
              <w:rPr>
                <w:color w:val="000000"/>
                <w:lang w:eastAsia="en-GB"/>
              </w:rPr>
              <w:t>0=Normal</w:t>
            </w:r>
            <w:r w:rsidRPr="008C6960">
              <w:rPr>
                <w:color w:val="000000"/>
                <w:lang w:eastAsia="en-GB"/>
              </w:rPr>
              <w:br/>
              <w:t>1=Grade I lesion: have areas of heterogenous signal intensity on fat saturated IW FSE sequences</w:t>
            </w:r>
            <w:r w:rsidRPr="008C6960">
              <w:rPr>
                <w:color w:val="000000"/>
                <w:lang w:eastAsia="en-GB"/>
              </w:rPr>
              <w:br/>
              <w:t>2=Grade II lesion: cartilage defects that involve &lt;1/2 of cartilage thickness</w:t>
            </w:r>
            <w:r w:rsidRPr="008C6960">
              <w:rPr>
                <w:color w:val="000000"/>
                <w:lang w:eastAsia="en-GB"/>
              </w:rPr>
              <w:br/>
              <w:t>3=Grade III lesion:</w:t>
            </w:r>
            <w:r w:rsidR="00DD1D8F" w:rsidRPr="008C6960">
              <w:rPr>
                <w:color w:val="000000"/>
                <w:lang w:eastAsia="en-GB"/>
              </w:rPr>
              <w:t xml:space="preserve"> </w:t>
            </w:r>
            <w:r w:rsidRPr="008C6960">
              <w:rPr>
                <w:color w:val="000000"/>
                <w:lang w:eastAsia="en-GB"/>
              </w:rPr>
              <w:t xml:space="preserve">cartilage defects that involve &gt;1/2 of cartilage thickness but &lt; full thickness </w:t>
            </w:r>
            <w:r w:rsidRPr="008C6960">
              <w:rPr>
                <w:color w:val="000000"/>
                <w:lang w:eastAsia="en-GB"/>
              </w:rPr>
              <w:br/>
              <w:t>4=Grade IV lesion: full thickness cartilage defects exposing the bone</w:t>
            </w:r>
          </w:p>
        </w:tc>
      </w:tr>
      <w:tr w:rsidR="00585009" w:rsidRPr="008C6960" w14:paraId="4C7D0219" w14:textId="77777777" w:rsidTr="00892C0C">
        <w:trPr>
          <w:trHeight w:val="1100"/>
        </w:trPr>
        <w:tc>
          <w:tcPr>
            <w:tcW w:w="2464" w:type="dxa"/>
          </w:tcPr>
          <w:p w14:paraId="0C16D6A0" w14:textId="23A5D1BE" w:rsidR="00585009" w:rsidRPr="008C6960" w:rsidRDefault="00585009" w:rsidP="00EE604D">
            <w:pPr>
              <w:rPr>
                <w:b/>
                <w:vertAlign w:val="superscript"/>
              </w:rPr>
            </w:pPr>
            <w:r w:rsidRPr="008C6960">
              <w:rPr>
                <w:b/>
              </w:rPr>
              <w:t>KOSS 0-3</w:t>
            </w:r>
            <w:r w:rsidR="00EE2E2C" w:rsidRPr="008C6960">
              <w:rPr>
                <w:b/>
              </w:rPr>
              <w:t xml:space="preserve"> </w:t>
            </w:r>
            <w:r w:rsidR="00EE2E2C" w:rsidRPr="008C6960">
              <w:rPr>
                <w:b/>
              </w:rPr>
              <w:fldChar w:fldCharType="begin" w:fldLock="1"/>
            </w:r>
            <w:r w:rsidR="009440E6">
              <w:rPr>
                <w:b/>
              </w:rPr>
              <w:instrText>ADDIN CSL_CITATION {"citationItems":[{"id":"ITEM-1","itemData":{"DOI":"10.1007/s00256-004-0828-0","ISBN":"3171526395","ISSN":"03642348","PMID":"15480649","abstract":"Objective: To develop a scoring system for quantifying osteoarthritic changes of the knee as identified by magnetic resonance (MR) imaging, and to determine its inter- and intra-observer reproducibility, in order to monitor medical therapy in research studies. Design and patients: Two independent observers evaluated 25 consecutive MR examinations of the knee in patients with previously defined clinical symptoms and radiological signs of osteoarthritis. We acquired on a 1.5 T system: coronal and sagittal proton density- and T2-weighted dual spin echo (SE) images, sagittal three-dimensional T1-weighted gradient echo (GE) images with fat suppression, and axial dual turbo SE images with fat suppression. Images were scored for the presence of cartilaginous lesions, osteophytes, subchondral cysts, bone marrow edema, and for meniscal abnormalities. Presence and size of effusion, synovitis and Baker's cyst were recorded. All parameters were ranked on a previously defined, semiquantitative scale, reflecting increasing severity of findings. Kappa, weighted kappa and intraclass correlation coefficient (ICC) were used to determine inter- and intra-observer variability. Results: Inter-observer reproducibility was good (ICC value 0.77). Inter- and intra-observer reproducibility for individual parameters was good to very good (inter-observer ICC value 0.63-0.91; intra-observer ICC value 0.76-0.96). Conclusion: The presented comprehensive MR scoring system for osteoarthritic changes of the knee has a good to very good inter-observer and intra-observer reproducibility. Thus the score form with its definitions can be used for standardized assessment of osteoarthritic changes to monitor medical therapy in research studies. © ISS 2004.","author":[{"dropping-particle":"","family":"Kornaat","given":"Peter R.","non-dropping-particle":"","parse-names":false,"suffix":""},{"dropping-particle":"","family":"Ceulemans","given":"Ruth Y T","non-dropping-particle":"","parse-names":false,"suffix":""},{"dropping-particle":"","family":"Kroon","given":"Herman M.","non-dropping-particle":"","parse-names":false,"suffix":""},{"dropping-particle":"","family":"Riyazi","given":"Naghmeh","non-dropping-particle":"","parse-names":false,"suffix":""},{"dropping-particle":"","family":"Kloppenburg","given":"Margreet","non-dropping-particle":"","parse-names":false,"suffix":""},{"dropping-particle":"","family":"Carter","given":"Wayne O.","non-dropping-particle":"","parse-names":false,"suffix":""},{"dropping-particle":"","family":"Woodworth","given":"Thasia G.","non-dropping-particle":"","parse-names":false,"suffix":""},{"dropping-particle":"","family":"Bloem","given":"Johan L.","non-dropping-particle":"","parse-names":false,"suffix":""}],"container-title":"Skeletal Radiology","id":"ITEM-1","issue":"2","issued":{"date-parts":[["2005"]]},"page":"95-102","title":"MRI assessment of knee osteoarthritis: Knee Osteoarthritis Scoring System (KOSS) - Inter-observer and intra-observer reproducibility of a compartment-based scoring system","type":"article-journal","volume":"34"},"uris":["http://www.mendeley.com/documents/?uuid=33f20e6c-495f-44a5-9e21-415cc0151634"]}],"mendeley":{"formattedCitation":"[6]","plainTextFormattedCitation":"[6]","previouslyFormattedCitation":"[4]"},"properties":{"noteIndex":0},"schema":"https://github.com/citation-style-language/schema/raw/master/csl-citation.json"}</w:instrText>
            </w:r>
            <w:r w:rsidR="00EE2E2C" w:rsidRPr="008C6960">
              <w:rPr>
                <w:b/>
              </w:rPr>
              <w:fldChar w:fldCharType="separate"/>
            </w:r>
            <w:r w:rsidR="009440E6" w:rsidRPr="009440E6">
              <w:rPr>
                <w:noProof/>
              </w:rPr>
              <w:t>[6]</w:t>
            </w:r>
            <w:r w:rsidR="00EE2E2C" w:rsidRPr="008C6960">
              <w:rPr>
                <w:b/>
              </w:rPr>
              <w:fldChar w:fldCharType="end"/>
            </w:r>
            <w:r w:rsidRPr="008C6960">
              <w:rPr>
                <w:b/>
              </w:rPr>
              <w:t>:</w:t>
            </w:r>
          </w:p>
          <w:p w14:paraId="2227A79B" w14:textId="2272A5B4" w:rsidR="00EE2E2C" w:rsidRPr="008C6960" w:rsidRDefault="00EE2E2C" w:rsidP="00EE604D">
            <w:pPr>
              <w:rPr>
                <w:b/>
              </w:rPr>
            </w:pPr>
            <w:r w:rsidRPr="008C6960">
              <w:rPr>
                <w:b/>
              </w:rPr>
              <w:t xml:space="preserve">Bone marrow </w:t>
            </w:r>
          </w:p>
          <w:p w14:paraId="6EF96EA1" w14:textId="7EEBEE1D" w:rsidR="00585009" w:rsidRPr="008C6960" w:rsidRDefault="00585009" w:rsidP="00EE604D">
            <w:r w:rsidRPr="008C6960">
              <w:rPr>
                <w:color w:val="000000"/>
                <w:lang w:eastAsia="en-GB"/>
              </w:rPr>
              <w:t xml:space="preserve">MFC, LFC, MTC, LTC, trochlea (medial, lateral, </w:t>
            </w:r>
            <w:r w:rsidR="00EE2E2C" w:rsidRPr="008C6960">
              <w:rPr>
                <w:color w:val="000000"/>
                <w:lang w:eastAsia="en-GB"/>
              </w:rPr>
              <w:t>central</w:t>
            </w:r>
            <w:r w:rsidRPr="008C6960">
              <w:rPr>
                <w:color w:val="000000"/>
                <w:lang w:eastAsia="en-GB"/>
              </w:rPr>
              <w:t>), patella (medial, lateral)</w:t>
            </w:r>
          </w:p>
        </w:tc>
        <w:tc>
          <w:tcPr>
            <w:tcW w:w="6603" w:type="dxa"/>
            <w:gridSpan w:val="2"/>
          </w:tcPr>
          <w:p w14:paraId="17E4A367" w14:textId="227C1138" w:rsidR="00585009" w:rsidRPr="008C6960" w:rsidRDefault="00585009" w:rsidP="00EE604D">
            <w:pPr>
              <w:rPr>
                <w:color w:val="000000"/>
                <w:lang w:eastAsia="en-GB"/>
              </w:rPr>
            </w:pPr>
            <w:r w:rsidRPr="008C6960">
              <w:rPr>
                <w:b/>
                <w:bCs/>
                <w:color w:val="000000"/>
                <w:lang w:eastAsia="en-GB"/>
              </w:rPr>
              <w:t>Bone marrow lesion</w:t>
            </w:r>
            <w:r w:rsidRPr="008C6960">
              <w:rPr>
                <w:color w:val="000000"/>
                <w:lang w:eastAsia="en-GB"/>
              </w:rPr>
              <w:br/>
              <w:t>0=absent</w:t>
            </w:r>
            <w:r w:rsidRPr="008C6960">
              <w:rPr>
                <w:color w:val="000000"/>
                <w:lang w:eastAsia="en-GB"/>
              </w:rPr>
              <w:br/>
              <w:t>1=minimal (d&lt;5mm)</w:t>
            </w:r>
            <w:r w:rsidRPr="008C6960">
              <w:rPr>
                <w:color w:val="000000"/>
                <w:lang w:eastAsia="en-GB"/>
              </w:rPr>
              <w:br/>
              <w:t>2=moderate (d=5-20mm)</w:t>
            </w:r>
            <w:r w:rsidRPr="008C6960">
              <w:rPr>
                <w:color w:val="000000"/>
                <w:lang w:eastAsia="en-GB"/>
              </w:rPr>
              <w:br/>
              <w:t>3=severe (d</w:t>
            </w:r>
            <w:r w:rsidRPr="008C6960">
              <w:rPr>
                <w:color w:val="000000"/>
                <w:lang w:eastAsia="en-GB"/>
              </w:rPr>
              <w:sym w:font="Symbol" w:char="F0B3"/>
            </w:r>
            <w:r w:rsidRPr="008C6960">
              <w:rPr>
                <w:color w:val="000000"/>
                <w:lang w:eastAsia="en-GB"/>
              </w:rPr>
              <w:t xml:space="preserve">20mm) </w:t>
            </w:r>
          </w:p>
          <w:p w14:paraId="52DEE827" w14:textId="35C4E3F6" w:rsidR="00585009" w:rsidRPr="008C6960" w:rsidRDefault="00585009" w:rsidP="00EE604D">
            <w:pPr>
              <w:rPr>
                <w:color w:val="000000"/>
                <w:lang w:eastAsia="en-GB"/>
              </w:rPr>
            </w:pPr>
          </w:p>
        </w:tc>
      </w:tr>
      <w:tr w:rsidR="00DD1D8F" w:rsidRPr="008C6960" w14:paraId="21A772A7" w14:textId="77777777" w:rsidTr="00892C0C">
        <w:trPr>
          <w:trHeight w:val="1100"/>
        </w:trPr>
        <w:tc>
          <w:tcPr>
            <w:tcW w:w="2464" w:type="dxa"/>
          </w:tcPr>
          <w:p w14:paraId="361C6669" w14:textId="220FFABA" w:rsidR="00DD1D8F" w:rsidRPr="008C6960" w:rsidRDefault="00B17013" w:rsidP="00DD1D8F">
            <w:pPr>
              <w:rPr>
                <w:b/>
                <w:color w:val="000000"/>
                <w:vertAlign w:val="superscript"/>
                <w:lang w:eastAsia="en-GB"/>
              </w:rPr>
            </w:pPr>
            <w:r>
              <w:rPr>
                <w:b/>
                <w:color w:val="000000"/>
                <w:lang w:eastAsia="en-GB"/>
              </w:rPr>
              <w:t>Johnson</w:t>
            </w:r>
            <w:r w:rsidR="00217AEC">
              <w:rPr>
                <w:b/>
                <w:color w:val="000000"/>
                <w:lang w:eastAsia="en-GB"/>
              </w:rPr>
              <w:t xml:space="preserve"> DP</w:t>
            </w:r>
            <w:bookmarkStart w:id="0" w:name="_GoBack"/>
            <w:bookmarkEnd w:id="0"/>
            <w:r w:rsidR="00DD1D8F" w:rsidRPr="008C6960">
              <w:rPr>
                <w:b/>
                <w:color w:val="000000"/>
                <w:lang w:eastAsia="en-GB"/>
              </w:rPr>
              <w:t xml:space="preserve"> 0-3</w:t>
            </w:r>
            <w:r w:rsidR="00EE2E2C" w:rsidRPr="008C6960">
              <w:rPr>
                <w:b/>
                <w:color w:val="000000"/>
                <w:lang w:eastAsia="en-GB"/>
              </w:rPr>
              <w:t xml:space="preserve"> </w:t>
            </w:r>
            <w:r w:rsidR="00EE2E2C" w:rsidRPr="008C6960">
              <w:rPr>
                <w:bCs/>
                <w:color w:val="000000"/>
                <w:lang w:eastAsia="en-GB"/>
              </w:rPr>
              <w:fldChar w:fldCharType="begin" w:fldLock="1"/>
            </w:r>
            <w:r w:rsidR="009440E6">
              <w:rPr>
                <w:bCs/>
                <w:color w:val="000000"/>
                <w:lang w:eastAsia="en-GB"/>
              </w:rPr>
              <w:instrText>ADDIN CSL_CITATION {"citationItems":[{"id":"ITEM-1","itemData":{"DOI":"10.1302/0301-620x.78b3.0780452","ISSN":"0301620X","PMID":"8636185","abstract":"The radiological and MRI appearances of 24 knees with patellar tendonitis resistant to conservative therapy were analysed to identify the characteristic MRI appearance and to determine if the patellar morphology was abnormal. A significant thickening of the tendon was found in all cases; this was a more reliable diagnostic feature than a high signal within the superior posterior and central aspect of the tendon at its proximal attachment. The site of the lesion shown by MRI is more compatible with impingement of the inferior pole of the patella against the patellar tendon than a stress overload of the tendon. There were no significant differences in the length of the patella, inferior pole or length of the articular surface when the patellar morphology was compared with that of a matched control group.","author":[{"dropping-particle":"","family":"Johnson","given":"David P.","non-dropping-particle":"","parse-names":false,"suffix":""},{"dropping-particle":"","family":"Wakeley","given":"Charles J.","non-dropping-particle":"","parse-names":false,"suffix":""},{"dropping-particle":"","family":"Watt","given":"Iain","non-dropping-particle":"","parse-names":false,"suffix":""}],"container-title":"Journal of Bone and Joint Surgery - Series B","id":"ITEM-1","issued":{"date-parts":[["1996"]]},"title":"Magnetic resonance imaging of patellar tendonitis","type":"article-journal"},"uris":["http://www.mendeley.com/documents/?uuid=8110619e-3123-4611-af0b-e10cc3d2a7ac"]}],"mendeley":{"formattedCitation":"[7]","plainTextFormattedCitation":"[7]","previouslyFormattedCitation":"[5]"},"properties":{"noteIndex":0},"schema":"https://github.com/citation-style-language/schema/raw/master/csl-citation.json"}</w:instrText>
            </w:r>
            <w:r w:rsidR="00EE2E2C" w:rsidRPr="008C6960">
              <w:rPr>
                <w:bCs/>
                <w:color w:val="000000"/>
                <w:lang w:eastAsia="en-GB"/>
              </w:rPr>
              <w:fldChar w:fldCharType="separate"/>
            </w:r>
            <w:r w:rsidR="009440E6" w:rsidRPr="009440E6">
              <w:rPr>
                <w:bCs/>
                <w:noProof/>
                <w:color w:val="000000"/>
                <w:lang w:eastAsia="en-GB"/>
              </w:rPr>
              <w:t>[7]</w:t>
            </w:r>
            <w:r w:rsidR="00EE2E2C" w:rsidRPr="008C6960">
              <w:rPr>
                <w:bCs/>
                <w:color w:val="000000"/>
                <w:lang w:eastAsia="en-GB"/>
              </w:rPr>
              <w:fldChar w:fldCharType="end"/>
            </w:r>
            <w:r w:rsidR="007854E4" w:rsidRPr="008C6960">
              <w:rPr>
                <w:bCs/>
                <w:color w:val="000000"/>
                <w:lang w:eastAsia="en-GB"/>
              </w:rPr>
              <w:t>:</w:t>
            </w:r>
          </w:p>
          <w:p w14:paraId="4D28ECB6" w14:textId="5D6A37A5" w:rsidR="00DD1D8F" w:rsidRPr="008C6960" w:rsidRDefault="00DD1D8F" w:rsidP="00DD1D8F">
            <w:pPr>
              <w:rPr>
                <w:b/>
              </w:rPr>
            </w:pPr>
            <w:r w:rsidRPr="008C6960">
              <w:rPr>
                <w:b/>
                <w:color w:val="000000"/>
                <w:lang w:eastAsia="en-GB"/>
              </w:rPr>
              <w:t xml:space="preserve">Tendinopathy (patellar, quadriceps, sartorius, </w:t>
            </w:r>
            <w:proofErr w:type="spellStart"/>
            <w:r w:rsidRPr="008C6960">
              <w:rPr>
                <w:b/>
                <w:color w:val="000000"/>
                <w:lang w:eastAsia="en-GB"/>
              </w:rPr>
              <w:t>gracilis</w:t>
            </w:r>
            <w:proofErr w:type="spellEnd"/>
            <w:r w:rsidRPr="008C6960">
              <w:rPr>
                <w:b/>
                <w:color w:val="000000"/>
                <w:lang w:eastAsia="en-GB"/>
              </w:rPr>
              <w:t>)</w:t>
            </w:r>
          </w:p>
        </w:tc>
        <w:tc>
          <w:tcPr>
            <w:tcW w:w="6603" w:type="dxa"/>
            <w:gridSpan w:val="2"/>
          </w:tcPr>
          <w:p w14:paraId="4EA4C1B1" w14:textId="5B8313B6" w:rsidR="00DD1D8F" w:rsidRPr="008C6960" w:rsidRDefault="00DD1D8F" w:rsidP="00DD1D8F">
            <w:pPr>
              <w:rPr>
                <w:b/>
                <w:bCs/>
                <w:color w:val="000000"/>
                <w:lang w:eastAsia="en-GB"/>
              </w:rPr>
            </w:pPr>
            <w:r w:rsidRPr="008C6960">
              <w:rPr>
                <w:color w:val="000000"/>
                <w:lang w:eastAsia="en-GB"/>
              </w:rPr>
              <w:t>0=Grade 0: Normal tendon appearances</w:t>
            </w:r>
            <w:r w:rsidRPr="008C6960">
              <w:rPr>
                <w:color w:val="000000"/>
                <w:lang w:eastAsia="en-GB"/>
              </w:rPr>
              <w:br/>
              <w:t>1=Grade 1: Increased signal intensity in less than 25% of the axial cross-sectional tendon width</w:t>
            </w:r>
            <w:r w:rsidRPr="008C6960">
              <w:rPr>
                <w:color w:val="000000"/>
                <w:lang w:eastAsia="en-GB"/>
              </w:rPr>
              <w:br/>
              <w:t>2=Grade  2: Increased high-signal intensity in 25% to 50% of the axial cross-sectional tendon width</w:t>
            </w:r>
            <w:r w:rsidRPr="008C6960">
              <w:rPr>
                <w:color w:val="000000"/>
                <w:lang w:eastAsia="en-GB"/>
              </w:rPr>
              <w:br/>
            </w:r>
            <w:r w:rsidRPr="008C6960">
              <w:rPr>
                <w:color w:val="000000"/>
                <w:lang w:eastAsia="en-GB"/>
              </w:rPr>
              <w:lastRenderedPageBreak/>
              <w:t>3=Grade 3: Increased high-signal intensity occupying more than 50% of the axial cross-sectional tendon width</w:t>
            </w:r>
          </w:p>
        </w:tc>
      </w:tr>
      <w:tr w:rsidR="00DD1D8F" w:rsidRPr="008C6960" w14:paraId="15BEBBDE" w14:textId="77777777" w:rsidTr="00892C0C">
        <w:trPr>
          <w:trHeight w:val="1100"/>
        </w:trPr>
        <w:tc>
          <w:tcPr>
            <w:tcW w:w="2464" w:type="dxa"/>
          </w:tcPr>
          <w:p w14:paraId="6D83C90B" w14:textId="690D1657" w:rsidR="00DD1D8F" w:rsidRPr="008C6960" w:rsidRDefault="00DD1D8F" w:rsidP="00DD1D8F">
            <w:pPr>
              <w:rPr>
                <w:b/>
                <w:vertAlign w:val="superscript"/>
              </w:rPr>
            </w:pPr>
            <w:r w:rsidRPr="008C6960">
              <w:rPr>
                <w:b/>
              </w:rPr>
              <w:lastRenderedPageBreak/>
              <w:t>ACLOAS 0-3</w:t>
            </w:r>
            <w:r w:rsidR="00EE2E2C" w:rsidRPr="008C6960">
              <w:rPr>
                <w:b/>
              </w:rPr>
              <w:t xml:space="preserve"> </w:t>
            </w:r>
            <w:r w:rsidR="00EE2E2C" w:rsidRPr="008C6960">
              <w:rPr>
                <w:bCs/>
              </w:rPr>
              <w:fldChar w:fldCharType="begin" w:fldLock="1"/>
            </w:r>
            <w:r w:rsidR="00EE2E2C" w:rsidRPr="008C6960">
              <w:rPr>
                <w:bCs/>
              </w:rPr>
              <w:instrText>ADDIN CSL_CITATION {"citationItems":[{"id":"ITEM-1","itemData":{"DOI":"10.1016/j.joca.2014.03.006","ISBN":"1063-4584","ISSN":"15229653","PMID":"24657830","abstract":"Objective: To develop a whole joint scoring system, the Anterior Cruciate Ligament OsteoArthritis Score (ACLOAS), for magnetic resonance imaging (MRI)-based assessment of acute anterior cruciate ligament (ACL) injury and follow-up of structural sequelae, and to assess its reliability. Design: Baseline and follow-up 1.5T MRI examinations from 20 patients of the KANON study, a randomized controlled study comparing a surgical and non-surgical treatment strategy, were assessed for up to six longitudinal visits using a novel MRI scoring system incorporating acute structural tissue damage and longitudinal changes including osteoarthritis (OA) features. Joint features assessed were acute osteochondral injury, traumatic and degenerative bone marrow lesions (BMLs), meniscus morphology and extrusion, osteophytes, collateral and cruciate ligaments including ACL graft, Hoffa-synovitis and effusion-synovitis. Cross-sectional (baseline) and longitudinal (all time points and change) intra- and inter-observer reliability was calculated using weighted (w) kappa statistics and overall percent agreement on a compartmental basis (medial tibio-femoral, lateral tibio-femoral, patello-femoral). Results: Altogether 87 time points were evaluated. Intra-observer reliability ranged between 0.52 (baseline, Hoffa-synovitis) and 1.00 (several features), percent agreement between 52% (all time points, Hoffa-synovitis) and 100% (several features). Inter-observer reliability ranged between 0.00 and 1.00, which is explained by low frequency of some of the features. Altogether, 73% of all assessed 142 parameters showed w-kappa values between 0.80 and 1.00 and 92% showed agreement above 80%. Conclusions: ACLOAS allows reliable scoring of acute ACL injury and longitudinal changes. This novel scoring system incorporates features that may be relevant for structural outcome not covered by established OA scoring instruments. © 2014 Osteoarthritis Research Society International.","author":[{"dropping-particle":"","family":"Roemer","given":"Frank W.","non-dropping-particle":"","parse-names":false,"suffix":""},{"dropping-particle":"","family":"Frobell","given":"Richard","non-dropping-particle":"","parse-names":false,"suffix":""},{"dropping-particle":"","family":"Lohmander","given":"L. Stefan","non-dropping-particle":"","parse-names":false,"suffix":""},{"dropping-particle":"","family":"Niu","given":"Jingbo","non-dropping-particle":"","parse-names":false,"suffix":""},{"dropping-particle":"","family":"Guermazi","given":"Ali","non-dropping-particle":"","parse-names":false,"suffix":""}],"container-title":"Osteoarthritis and Cartilage","id":"ITEM-1","issue":"5","issued":{"date-parts":[["2014"]]},"page":"668-682","title":"Anterior cruciate ligament osteoarthritis score (ACLOAS): Longitudinal MRI-based whole joint assessment of anterior cruciate ligament injury","type":"article-journal","volume":"22"},"uris":["http://www.mendeley.com/documents/?uuid=4bab9d33-2734-486f-9a83-163e194d5228"]}],"mendeley":{"formattedCitation":"[2]","plainTextFormattedCitation":"[2]","previouslyFormattedCitation":"[2]"},"properties":{"noteIndex":0},"schema":"https://github.com/citation-style-language/schema/raw/master/csl-citation.json"}</w:instrText>
            </w:r>
            <w:r w:rsidR="00EE2E2C" w:rsidRPr="008C6960">
              <w:rPr>
                <w:bCs/>
              </w:rPr>
              <w:fldChar w:fldCharType="separate"/>
            </w:r>
            <w:r w:rsidR="00EE2E2C" w:rsidRPr="008C6960">
              <w:rPr>
                <w:bCs/>
                <w:noProof/>
              </w:rPr>
              <w:t>[2]</w:t>
            </w:r>
            <w:r w:rsidR="00EE2E2C" w:rsidRPr="008C6960">
              <w:rPr>
                <w:bCs/>
              </w:rPr>
              <w:fldChar w:fldCharType="end"/>
            </w:r>
            <w:r w:rsidR="007854E4" w:rsidRPr="008C6960">
              <w:rPr>
                <w:bCs/>
              </w:rPr>
              <w:t>:</w:t>
            </w:r>
          </w:p>
          <w:p w14:paraId="73C4A7D3" w14:textId="66FAC47E" w:rsidR="00DD1D8F" w:rsidRPr="008C6960" w:rsidRDefault="00DD1D8F" w:rsidP="00DD1D8F">
            <w:pPr>
              <w:rPr>
                <w:b/>
              </w:rPr>
            </w:pPr>
            <w:r w:rsidRPr="008C6960">
              <w:rPr>
                <w:b/>
              </w:rPr>
              <w:t>Ligaments</w:t>
            </w:r>
          </w:p>
          <w:p w14:paraId="73F52D6D" w14:textId="5A673B2B" w:rsidR="00DD1D8F" w:rsidRPr="008C6960" w:rsidRDefault="00DD1D8F" w:rsidP="00DD1D8F">
            <w:pPr>
              <w:rPr>
                <w:b/>
              </w:rPr>
            </w:pPr>
            <w:r w:rsidRPr="008C6960">
              <w:t>ACL, PCL, MCL, LCL</w:t>
            </w:r>
          </w:p>
        </w:tc>
        <w:tc>
          <w:tcPr>
            <w:tcW w:w="3771" w:type="dxa"/>
          </w:tcPr>
          <w:p w14:paraId="56EE5C39" w14:textId="77777777" w:rsidR="00DD1D8F" w:rsidRPr="008C6960" w:rsidRDefault="00DD1D8F" w:rsidP="00DD1D8F">
            <w:pPr>
              <w:rPr>
                <w:b/>
                <w:color w:val="000000"/>
                <w:lang w:eastAsia="en-GB"/>
              </w:rPr>
            </w:pPr>
            <w:r w:rsidRPr="008C6960">
              <w:rPr>
                <w:b/>
                <w:color w:val="000000"/>
                <w:lang w:eastAsia="en-GB"/>
              </w:rPr>
              <w:t>ACL &amp; PCL</w:t>
            </w:r>
          </w:p>
          <w:p w14:paraId="1154E7C7" w14:textId="242222D8" w:rsidR="00DD1D8F" w:rsidRPr="008C6960" w:rsidRDefault="00DD1D8F" w:rsidP="00DD1D8F">
            <w:pPr>
              <w:rPr>
                <w:color w:val="000000"/>
                <w:lang w:eastAsia="en-GB"/>
              </w:rPr>
            </w:pPr>
            <w:r w:rsidRPr="008C6960">
              <w:rPr>
                <w:color w:val="000000"/>
                <w:lang w:eastAsia="en-GB"/>
              </w:rPr>
              <w:t>0=Normal ligament with hypointense signal and regular thickness and continuity</w:t>
            </w:r>
            <w:r w:rsidRPr="008C6960">
              <w:rPr>
                <w:color w:val="000000"/>
                <w:lang w:eastAsia="en-GB"/>
              </w:rPr>
              <w:br/>
              <w:t xml:space="preserve">1=Thickened ligament and/or high </w:t>
            </w:r>
            <w:proofErr w:type="spellStart"/>
            <w:r w:rsidRPr="008C6960">
              <w:rPr>
                <w:color w:val="000000"/>
                <w:lang w:eastAsia="en-GB"/>
              </w:rPr>
              <w:t>intraligamentous</w:t>
            </w:r>
            <w:proofErr w:type="spellEnd"/>
            <w:r w:rsidRPr="008C6960">
              <w:rPr>
                <w:color w:val="000000"/>
                <w:lang w:eastAsia="en-GB"/>
              </w:rPr>
              <w:t xml:space="preserve"> signal with normal course and continuity</w:t>
            </w:r>
            <w:r w:rsidRPr="008C6960">
              <w:rPr>
                <w:color w:val="000000"/>
                <w:lang w:eastAsia="en-GB"/>
              </w:rPr>
              <w:br/>
              <w:t xml:space="preserve">2=Thinned or elongated but continuous ligament </w:t>
            </w:r>
          </w:p>
          <w:p w14:paraId="014C7472" w14:textId="236CE88D" w:rsidR="00DD1D8F" w:rsidRPr="008C6960" w:rsidRDefault="00DD1D8F" w:rsidP="00DD1D8F">
            <w:pPr>
              <w:rPr>
                <w:color w:val="000000"/>
                <w:lang w:eastAsia="en-GB"/>
              </w:rPr>
            </w:pPr>
            <w:r w:rsidRPr="008C6960">
              <w:rPr>
                <w:color w:val="000000"/>
                <w:lang w:eastAsia="en-GB"/>
              </w:rPr>
              <w:t>3=Absent ligament or complete discontinuity</w:t>
            </w:r>
          </w:p>
          <w:p w14:paraId="1FDCA86F" w14:textId="77777777" w:rsidR="00DD1D8F" w:rsidRPr="008C6960" w:rsidRDefault="00DD1D8F" w:rsidP="00DD1D8F">
            <w:pPr>
              <w:rPr>
                <w:b/>
                <w:bCs/>
                <w:color w:val="000000"/>
                <w:lang w:eastAsia="en-GB"/>
              </w:rPr>
            </w:pPr>
          </w:p>
        </w:tc>
        <w:tc>
          <w:tcPr>
            <w:tcW w:w="2832" w:type="dxa"/>
          </w:tcPr>
          <w:p w14:paraId="05242248" w14:textId="2786DA23" w:rsidR="00DD1D8F" w:rsidRPr="008C6960" w:rsidRDefault="00DD1D8F" w:rsidP="00DD1D8F">
            <w:pPr>
              <w:rPr>
                <w:b/>
                <w:color w:val="000000"/>
                <w:lang w:eastAsia="en-GB"/>
              </w:rPr>
            </w:pPr>
            <w:r w:rsidRPr="008C6960">
              <w:rPr>
                <w:b/>
                <w:color w:val="000000"/>
                <w:lang w:eastAsia="en-GB"/>
              </w:rPr>
              <w:t>MCL &amp; LCL</w:t>
            </w:r>
          </w:p>
          <w:p w14:paraId="5643E09F" w14:textId="04605C81" w:rsidR="00DD1D8F" w:rsidRPr="008C6960" w:rsidRDefault="00DD1D8F" w:rsidP="00DD1D8F">
            <w:pPr>
              <w:rPr>
                <w:color w:val="000000"/>
                <w:lang w:eastAsia="en-GB"/>
              </w:rPr>
            </w:pPr>
            <w:r w:rsidRPr="008C6960">
              <w:rPr>
                <w:color w:val="000000"/>
                <w:lang w:eastAsia="en-GB"/>
              </w:rPr>
              <w:t>0=Continuous ligament with normal signal, no surrounding hyperintensity/</w:t>
            </w:r>
            <w:r w:rsidR="00EE2E2C" w:rsidRPr="008C6960">
              <w:rPr>
                <w:color w:val="000000"/>
                <w:lang w:eastAsia="en-GB"/>
              </w:rPr>
              <w:t>o</w:t>
            </w:r>
            <w:r w:rsidRPr="008C6960">
              <w:rPr>
                <w:color w:val="000000"/>
                <w:lang w:eastAsia="en-GB"/>
              </w:rPr>
              <w:t>edema</w:t>
            </w:r>
          </w:p>
          <w:p w14:paraId="050D2402" w14:textId="311EBE18" w:rsidR="00DD1D8F" w:rsidRPr="008C6960" w:rsidRDefault="00DD1D8F" w:rsidP="00DD1D8F">
            <w:pPr>
              <w:rPr>
                <w:color w:val="000000"/>
                <w:lang w:eastAsia="en-GB"/>
              </w:rPr>
            </w:pPr>
            <w:r w:rsidRPr="008C6960">
              <w:rPr>
                <w:color w:val="000000"/>
                <w:lang w:eastAsia="en-GB"/>
              </w:rPr>
              <w:t xml:space="preserve">1=Continuous ligament with normal signal, surrounding hyperintensity reflecting </w:t>
            </w:r>
            <w:proofErr w:type="spellStart"/>
            <w:r w:rsidRPr="008C6960">
              <w:rPr>
                <w:color w:val="000000"/>
                <w:lang w:eastAsia="en-GB"/>
              </w:rPr>
              <w:t>edema</w:t>
            </w:r>
            <w:proofErr w:type="spellEnd"/>
            <w:r w:rsidRPr="008C6960">
              <w:rPr>
                <w:color w:val="000000"/>
                <w:lang w:eastAsia="en-GB"/>
              </w:rPr>
              <w:t xml:space="preserve"> and/or hematoma</w:t>
            </w:r>
          </w:p>
          <w:p w14:paraId="642B17F2" w14:textId="641DD264" w:rsidR="00DD1D8F" w:rsidRPr="008C6960" w:rsidRDefault="00DD1D8F" w:rsidP="00DD1D8F">
            <w:pPr>
              <w:rPr>
                <w:color w:val="000000"/>
                <w:lang w:eastAsia="en-GB"/>
              </w:rPr>
            </w:pPr>
            <w:r w:rsidRPr="008C6960">
              <w:rPr>
                <w:color w:val="000000"/>
                <w:lang w:eastAsia="en-GB"/>
              </w:rPr>
              <w:t xml:space="preserve">2=Partial rupture/discontinuity with some preserved </w:t>
            </w:r>
            <w:proofErr w:type="spellStart"/>
            <w:r w:rsidRPr="008C6960">
              <w:rPr>
                <w:color w:val="000000"/>
                <w:lang w:eastAsia="en-GB"/>
              </w:rPr>
              <w:t>fibers</w:t>
            </w:r>
            <w:proofErr w:type="spellEnd"/>
          </w:p>
          <w:p w14:paraId="6F366B49" w14:textId="64B2746B" w:rsidR="00DD1D8F" w:rsidRPr="008C6960" w:rsidRDefault="00DD1D8F" w:rsidP="00DD1D8F">
            <w:pPr>
              <w:rPr>
                <w:b/>
                <w:bCs/>
                <w:color w:val="000000"/>
                <w:lang w:eastAsia="en-GB"/>
              </w:rPr>
            </w:pPr>
            <w:r w:rsidRPr="008C6960">
              <w:rPr>
                <w:color w:val="000000"/>
                <w:lang w:eastAsia="en-GB"/>
              </w:rPr>
              <w:t>3=Complete disruption</w:t>
            </w:r>
          </w:p>
        </w:tc>
      </w:tr>
      <w:tr w:rsidR="00727A0D" w:rsidRPr="008C6960" w14:paraId="729E2473" w14:textId="77777777" w:rsidTr="00892C0C">
        <w:trPr>
          <w:trHeight w:val="405"/>
        </w:trPr>
        <w:tc>
          <w:tcPr>
            <w:tcW w:w="2464" w:type="dxa"/>
          </w:tcPr>
          <w:p w14:paraId="60F7CBF6" w14:textId="108F0F98" w:rsidR="00727A0D" w:rsidRPr="008C6960" w:rsidRDefault="00727A0D" w:rsidP="00727A0D">
            <w:pPr>
              <w:rPr>
                <w:b/>
                <w:color w:val="000000"/>
                <w:lang w:eastAsia="en-GB"/>
              </w:rPr>
            </w:pPr>
            <w:r w:rsidRPr="008C6960">
              <w:rPr>
                <w:b/>
                <w:color w:val="000000"/>
                <w:lang w:eastAsia="en-GB"/>
              </w:rPr>
              <w:t>MOAKS 0-1</w:t>
            </w:r>
            <w:r w:rsidR="00EE2E2C" w:rsidRPr="008C6960">
              <w:rPr>
                <w:b/>
                <w:color w:val="000000"/>
                <w:lang w:eastAsia="en-GB"/>
              </w:rPr>
              <w:t xml:space="preserve"> </w:t>
            </w:r>
            <w:r w:rsidR="00EE2E2C" w:rsidRPr="008C6960">
              <w:rPr>
                <w:bCs/>
                <w:color w:val="000000"/>
                <w:lang w:eastAsia="en-GB"/>
              </w:rPr>
              <w:fldChar w:fldCharType="begin" w:fldLock="1"/>
            </w:r>
            <w:r w:rsidR="009440E6">
              <w:rPr>
                <w:bCs/>
                <w:color w:val="000000"/>
                <w:lang w:eastAsia="en-GB"/>
              </w:rPr>
              <w:instrText>ADDIN CSL_CITATION {"citationItems":[{"id":"ITEM-1","itemData":{"DOI":"10.1016/j.joca.2011.05.004","ISBN":"2122633255","ISSN":"10634584","PMID":"21645627","abstract":"Objective: In an effort to evolve semi-quantitative scoring methods based upon limitations identified in existing tools, integrating expert readers' experience with all available scoring tools and the published data comparing the different scoring systems, we iteratively developed the magnetic resonance imaging (MRI) Osteoarthritis Knee Score (MOAKS). The purpose of this report is to describe the instrument and its reliability. Methods: The MOAKS instrument refines the scoring of bone marrow lesions (BMLs) (providing regional delineation and scoring across regions), cartilage (sub-regional assessment), and refines the elements of meniscal morphology (adding meniscal hypertrophy, partial maceration and progressive partial maceration) scoring. After a training and calibration session two expert readers read MRIs of 20 knees separately. In addition, one reader re-read the same 20 MRIs 4 weeks later presented in random order to assess intra-rater reliability. The analyses presented here are for both intra- and inter-rater reliability (calculated using the linear weighted kappa and overall percent agreement). Results: With the exception of inter-rater reliability for tibial cartilage area (kappa = 0.36) and tibial osteophytes (kappa = 0.49); and intra-rater reliability for tibial BML number of lesions (kappa = 0.54), Hoffa-synovitis (kappa = 0.42) all measures of reliability using kappa statistics were very good (0.61-0.8) or reached near-perfect agreement (0.81-1.0). Only intra-rater reliability for Hoffa-synovitis, and inter-rater reliability for tibial and patellar osteophytes showed overall percent agreement &lt;75%. Conclusion: MOAKS scoring shows very good to excellent reliability for the large majority of features assessed. Further iterative development and research will include assessment of its validation and responsiveness. © 2011 Osteoarthritis Research Society International.","author":[{"dropping-particle":"","family":"Hunter","given":"D. J.","non-dropping-particle":"","parse-names":false,"suffix":""},{"dropping-particle":"","family":"Guermazi","given":"A.","non-dropping-particle":"","parse-names":false,"suffix":""},{"dropping-particle":"","family":"Lo","given":"G. H.","non-dropping-particle":"","parse-names":false,"suffix":""},{"dropping-particle":"","family":"Grainger","given":"A. J.","non-dropping-particle":"","parse-names":false,"suffix":""},{"dropping-particle":"","family":"Conaghan","given":"P. G.","non-dropping-particle":"","parse-names":false,"suffix":""},{"dropping-particle":"","family":"Boudreau","given":"R. M.","non-dropping-particle":"","parse-names":false,"suffix":""},{"dropping-particle":"","family":"Roemer","given":"F. W.","non-dropping-particle":"","parse-names":false,"suffix":""}],"container-title":"Osteoarthritis and Cartilage","id":"ITEM-1","issue":"8","issued":{"date-parts":[["2011"]]},"page":"990-1002","title":"Evolution of semi-quantitative whole joint assessment of knee OA: MOAKS (MRI Osteoarthritis Knee Score)","type":"article-journal","volume":"19"},"uris":["http://www.mendeley.com/documents/?uuid=453b47e7-7ca5-46a9-9ab0-6436a26c172b"]}],"mendeley":{"formattedCitation":"[8]","plainTextFormattedCitation":"[8]","previouslyFormattedCitation":"[6]"},"properties":{"noteIndex":0},"schema":"https://github.com/citation-style-language/schema/raw/master/csl-citation.json"}</w:instrText>
            </w:r>
            <w:r w:rsidR="00EE2E2C" w:rsidRPr="008C6960">
              <w:rPr>
                <w:bCs/>
                <w:color w:val="000000"/>
                <w:lang w:eastAsia="en-GB"/>
              </w:rPr>
              <w:fldChar w:fldCharType="separate"/>
            </w:r>
            <w:r w:rsidR="009440E6" w:rsidRPr="009440E6">
              <w:rPr>
                <w:bCs/>
                <w:noProof/>
                <w:color w:val="000000"/>
                <w:lang w:eastAsia="en-GB"/>
              </w:rPr>
              <w:t>[8]</w:t>
            </w:r>
            <w:r w:rsidR="00EE2E2C" w:rsidRPr="008C6960">
              <w:rPr>
                <w:bCs/>
                <w:color w:val="000000"/>
                <w:lang w:eastAsia="en-GB"/>
              </w:rPr>
              <w:fldChar w:fldCharType="end"/>
            </w:r>
            <w:r w:rsidRPr="008C6960">
              <w:rPr>
                <w:bCs/>
                <w:color w:val="000000"/>
                <w:lang w:eastAsia="en-GB"/>
              </w:rPr>
              <w:t>:</w:t>
            </w:r>
            <w:r w:rsidRPr="008C6960">
              <w:rPr>
                <w:b/>
                <w:color w:val="000000"/>
                <w:lang w:eastAsia="en-GB"/>
              </w:rPr>
              <w:t xml:space="preserve"> </w:t>
            </w:r>
          </w:p>
          <w:p w14:paraId="7155098B" w14:textId="0123C09D" w:rsidR="00727A0D" w:rsidRPr="008C6960" w:rsidRDefault="00727A0D" w:rsidP="00DD1D8F">
            <w:pPr>
              <w:rPr>
                <w:rFonts w:eastAsiaTheme="minorHAnsi"/>
                <w:b/>
              </w:rPr>
            </w:pPr>
            <w:r w:rsidRPr="008C6960">
              <w:rPr>
                <w:b/>
              </w:rPr>
              <w:t>ITB signal</w:t>
            </w:r>
          </w:p>
        </w:tc>
        <w:tc>
          <w:tcPr>
            <w:tcW w:w="6603" w:type="dxa"/>
            <w:gridSpan w:val="2"/>
          </w:tcPr>
          <w:p w14:paraId="735179FD" w14:textId="4E98042F" w:rsidR="00727A0D" w:rsidRPr="008C6960" w:rsidRDefault="00727A0D" w:rsidP="00727A0D">
            <w:pPr>
              <w:rPr>
                <w:color w:val="000000"/>
                <w:lang w:eastAsia="en-GB"/>
              </w:rPr>
            </w:pPr>
            <w:r w:rsidRPr="008C6960">
              <w:rPr>
                <w:color w:val="000000"/>
                <w:lang w:eastAsia="en-GB"/>
              </w:rPr>
              <w:t>0=absent</w:t>
            </w:r>
          </w:p>
          <w:p w14:paraId="665C00F8" w14:textId="17C1CEB5" w:rsidR="00727A0D" w:rsidRPr="008C6960" w:rsidRDefault="00727A0D" w:rsidP="00727A0D">
            <w:pPr>
              <w:rPr>
                <w:color w:val="000000"/>
                <w:lang w:eastAsia="en-GB"/>
              </w:rPr>
            </w:pPr>
            <w:r w:rsidRPr="008C6960">
              <w:rPr>
                <w:color w:val="000000"/>
                <w:lang w:eastAsia="en-GB"/>
              </w:rPr>
              <w:t>1=present</w:t>
            </w:r>
          </w:p>
        </w:tc>
      </w:tr>
      <w:tr w:rsidR="00DD1D8F" w:rsidRPr="008C6960" w14:paraId="4F67C675" w14:textId="77777777" w:rsidTr="00892C0C">
        <w:trPr>
          <w:trHeight w:val="405"/>
        </w:trPr>
        <w:tc>
          <w:tcPr>
            <w:tcW w:w="2464" w:type="dxa"/>
          </w:tcPr>
          <w:p w14:paraId="0DC901C5" w14:textId="579DADBA" w:rsidR="00DD1D8F" w:rsidRPr="008C6960" w:rsidRDefault="00DD1D8F" w:rsidP="00DD1D8F">
            <w:pPr>
              <w:rPr>
                <w:b/>
                <w:color w:val="000000"/>
                <w:vertAlign w:val="superscript"/>
                <w:lang w:eastAsia="en-GB"/>
              </w:rPr>
            </w:pPr>
            <w:r w:rsidRPr="008C6960">
              <w:rPr>
                <w:b/>
                <w:color w:val="000000"/>
                <w:lang w:eastAsia="en-GB"/>
              </w:rPr>
              <w:t>WORMS 0-3</w:t>
            </w:r>
            <w:r w:rsidR="00EE2E2C" w:rsidRPr="008C6960">
              <w:rPr>
                <w:b/>
                <w:color w:val="000000"/>
                <w:lang w:eastAsia="en-GB"/>
              </w:rPr>
              <w:t xml:space="preserve"> </w:t>
            </w:r>
            <w:r w:rsidR="00EE2E2C" w:rsidRPr="008C6960">
              <w:rPr>
                <w:b/>
                <w:color w:val="000000"/>
                <w:lang w:eastAsia="en-GB"/>
              </w:rPr>
              <w:fldChar w:fldCharType="begin" w:fldLock="1"/>
            </w:r>
            <w:r w:rsidR="009440E6">
              <w:rPr>
                <w:b/>
                <w:color w:val="000000"/>
                <w:lang w:eastAsia="en-GB"/>
              </w:rPr>
              <w:instrText>ADDIN CSL_CITATION {"citationItems":[{"id":"ITEM-1","itemData":{"DOI":"10.1016/j.joca.2003.11.003","ISBN":"1063-4584 (Print)\\r1063-4584 (Linking)","ISSN":"10634584","PMID":"14972335","abstract":"Objectives: To describe a semi-quantitative scoring method for multi-feature, whole-organ evaluation of the knee in osteoarthritis (OA) based on magnetic resonance imaging (MRI) findings. To determine the inter-observer agreement of this scoring method. To examine associations among the features included in the scoring method. Methods: Nineteen knees of 19 patients with knee OA were imaged with MRI using conventional pulse sequences and a clinical 1.5 T MRI system. Images were independently analyzed by two musculoskeletal radiologists using a whole-organ MRI scoring method (WORMS) that incorporated 14 features: articular cartilage integrity, subarticular bone marrow abnormality, subarticular cysts, subarticular bone attrition, marginal osteophytes, medial and lateral meniscal integrity, anterior and posterior cruciate ligament integrity, medial and lateral collateral ligament integrity, synovitis/effusion, intraarticular loose bodies, and periarticular cysts/bursitis. Intraclass correlation coefficients (ICC) were determined for each feature as a measure of inter-observer agreement. Associations among the scores for different features were expressed as Spearman Rho. Results: All knees showed structural abnormalities with MRI. Cartilage loss and osteophytes were the most prevalent features (98% and 92%, respectively). One of the least common features was ligament abnormality (8%). Inter-observer agreement for WORMS scores was high (most ICC values were &gt;0.80). The individual features showed strong inter-associations. Conclusion: The WORMS method described in this report provides multi-feature, whole-organ assessment of the knee in OA using conventional MR images, and shows high inter-observer agreement among trained readers. This method may be useful in epidemiological studies and clinical trials of OA. © 2003 OsteoArthritis Research Society International. Published by Elsevier Ltd. All rights reserved.","author":[{"dropping-particle":"","family":"Peterfy","given":"Charles G.","non-dropping-particle":"","parse-names":false,"suffix":""},{"dropping-particle":"","family":"Guermazi","given":"A.","non-dropping-particle":"","parse-names":false,"suffix":""},{"dropping-particle":"","family":"Zaim","given":"S.","non-dropping-particle":"","parse-names":false,"suffix":""},{"dropping-particle":"","family":"Tirman","given":"P. F.J.","non-dropping-particle":"","parse-names":false,"suffix":""},{"dropping-particle":"","family":"Miaux","given":"Y.","non-dropping-particle":"","parse-names":false,"suffix":""},{"dropping-particle":"","family":"White","given":"D.","non-dropping-particle":"","parse-names":false,"suffix":""},{"dropping-particle":"","family":"Kothari","given":"M.","non-dropping-particle":"","parse-names":false,"suffix":""},{"dropping-particle":"","family":"Lu","given":"Y.","non-dropping-particle":"","parse-names":false,"suffix":""},{"dropping-particle":"","family":"Fye","given":"K.","non-dropping-particle":"","parse-names":false,"suffix":""},{"dropping-particle":"","family":"Zhao","given":"S.","non-dropping-particle":"","parse-names":false,"suffix":""},{"dropping-particle":"","family":"Genant","given":"H. K.","non-dropping-particle":"","parse-names":false,"suffix":""}],"container-title":"Osteoarthritis and Cartilage","id":"ITEM-1","issue":"3","issued":{"date-parts":[["2004"]]},"page":"177-190","title":"Whole-organ magnetic resonance imaging score (WORMS) of the knee in osteoarthritis","type":"article-journal","volume":"12"},"uris":["http://www.mendeley.com/documents/?uuid=5e37d2b4-4079-4944-b689-d251583e64a9"]}],"mendeley":{"formattedCitation":"[9]","plainTextFormattedCitation":"[9]","previouslyFormattedCitation":"[7]"},"properties":{"noteIndex":0},"schema":"https://github.com/citation-style-language/schema/raw/master/csl-citation.json"}</w:instrText>
            </w:r>
            <w:r w:rsidR="00EE2E2C" w:rsidRPr="008C6960">
              <w:rPr>
                <w:b/>
                <w:color w:val="000000"/>
                <w:lang w:eastAsia="en-GB"/>
              </w:rPr>
              <w:fldChar w:fldCharType="separate"/>
            </w:r>
            <w:r w:rsidR="009440E6" w:rsidRPr="009440E6">
              <w:rPr>
                <w:noProof/>
                <w:color w:val="000000"/>
                <w:lang w:eastAsia="en-GB"/>
              </w:rPr>
              <w:t>[9]</w:t>
            </w:r>
            <w:r w:rsidR="00EE2E2C" w:rsidRPr="008C6960">
              <w:rPr>
                <w:b/>
                <w:color w:val="000000"/>
                <w:lang w:eastAsia="en-GB"/>
              </w:rPr>
              <w:fldChar w:fldCharType="end"/>
            </w:r>
            <w:r w:rsidR="007854E4" w:rsidRPr="008C6960">
              <w:rPr>
                <w:b/>
                <w:color w:val="000000"/>
                <w:lang w:eastAsia="en-GB"/>
              </w:rPr>
              <w:t>:</w:t>
            </w:r>
          </w:p>
          <w:p w14:paraId="7355A506" w14:textId="578F38F9" w:rsidR="00DD1D8F" w:rsidRPr="008C6960" w:rsidRDefault="00DD1D8F" w:rsidP="00DD1D8F">
            <w:pPr>
              <w:rPr>
                <w:b/>
                <w:color w:val="000000"/>
                <w:lang w:eastAsia="en-GB"/>
              </w:rPr>
            </w:pPr>
            <w:r w:rsidRPr="008C6960">
              <w:rPr>
                <w:b/>
                <w:color w:val="000000"/>
                <w:lang w:eastAsia="en-GB"/>
              </w:rPr>
              <w:t xml:space="preserve">Joint effusion </w:t>
            </w:r>
          </w:p>
          <w:p w14:paraId="573EC706" w14:textId="77777777" w:rsidR="00DD1D8F" w:rsidRPr="008C6960" w:rsidRDefault="00DD1D8F" w:rsidP="00DD1D8F">
            <w:pPr>
              <w:rPr>
                <w:b/>
                <w:color w:val="000000"/>
                <w:lang w:eastAsia="en-GB"/>
              </w:rPr>
            </w:pPr>
          </w:p>
        </w:tc>
        <w:tc>
          <w:tcPr>
            <w:tcW w:w="6603" w:type="dxa"/>
            <w:gridSpan w:val="2"/>
          </w:tcPr>
          <w:p w14:paraId="1E66235F" w14:textId="38E55B76" w:rsidR="00DD1D8F" w:rsidRPr="008C6960" w:rsidRDefault="00DD1D8F" w:rsidP="00DD1D8F">
            <w:pPr>
              <w:rPr>
                <w:color w:val="000000"/>
                <w:lang w:eastAsia="en-GB"/>
              </w:rPr>
            </w:pPr>
            <w:r w:rsidRPr="008C6960">
              <w:rPr>
                <w:color w:val="000000"/>
                <w:lang w:eastAsia="en-GB"/>
              </w:rPr>
              <w:t>0=</w:t>
            </w:r>
            <w:r w:rsidR="00652C95" w:rsidRPr="008C6960">
              <w:rPr>
                <w:color w:val="000000"/>
                <w:lang w:eastAsia="en-GB"/>
              </w:rPr>
              <w:t>absent</w:t>
            </w:r>
            <w:r w:rsidRPr="008C6960">
              <w:rPr>
                <w:color w:val="000000"/>
                <w:lang w:eastAsia="en-GB"/>
              </w:rPr>
              <w:t xml:space="preserve"> </w:t>
            </w:r>
            <w:r w:rsidRPr="008C6960">
              <w:rPr>
                <w:color w:val="000000"/>
                <w:lang w:eastAsia="en-GB"/>
              </w:rPr>
              <w:br/>
              <w:t>1=&lt;33% of maximum potential distention</w:t>
            </w:r>
            <w:r w:rsidRPr="008C6960">
              <w:rPr>
                <w:color w:val="000000"/>
                <w:lang w:eastAsia="en-GB"/>
              </w:rPr>
              <w:br/>
              <w:t>2=33%–66% of maximum potential distention</w:t>
            </w:r>
            <w:r w:rsidRPr="008C6960">
              <w:rPr>
                <w:color w:val="000000"/>
                <w:lang w:eastAsia="en-GB"/>
              </w:rPr>
              <w:br/>
              <w:t>3=&gt;66% of maximum potential distention</w:t>
            </w:r>
          </w:p>
        </w:tc>
      </w:tr>
      <w:tr w:rsidR="00DD1D8F" w:rsidRPr="008C6960" w14:paraId="4672538C" w14:textId="77777777" w:rsidTr="00892C0C">
        <w:trPr>
          <w:trHeight w:val="405"/>
        </w:trPr>
        <w:tc>
          <w:tcPr>
            <w:tcW w:w="2464" w:type="dxa"/>
          </w:tcPr>
          <w:p w14:paraId="72C6626E" w14:textId="2DD4355A" w:rsidR="00DD1D8F" w:rsidRPr="008C6960" w:rsidRDefault="00DD1D8F" w:rsidP="00DD1D8F">
            <w:pPr>
              <w:rPr>
                <w:b/>
                <w:color w:val="000000"/>
                <w:lang w:eastAsia="en-GB"/>
              </w:rPr>
            </w:pPr>
            <w:r w:rsidRPr="008C6960">
              <w:rPr>
                <w:b/>
                <w:color w:val="000000"/>
                <w:lang w:eastAsia="en-GB"/>
              </w:rPr>
              <w:t>MOAKS 0-1</w:t>
            </w:r>
            <w:r w:rsidR="00EE2E2C" w:rsidRPr="008C6960">
              <w:rPr>
                <w:b/>
                <w:color w:val="000000"/>
                <w:lang w:eastAsia="en-GB"/>
              </w:rPr>
              <w:t xml:space="preserve"> </w:t>
            </w:r>
            <w:r w:rsidR="00EE2E2C" w:rsidRPr="008C6960">
              <w:rPr>
                <w:bCs/>
                <w:color w:val="000000"/>
                <w:lang w:eastAsia="en-GB"/>
              </w:rPr>
              <w:fldChar w:fldCharType="begin" w:fldLock="1"/>
            </w:r>
            <w:r w:rsidR="009440E6">
              <w:rPr>
                <w:bCs/>
                <w:color w:val="000000"/>
                <w:lang w:eastAsia="en-GB"/>
              </w:rPr>
              <w:instrText>ADDIN CSL_CITATION {"citationItems":[{"id":"ITEM-1","itemData":{"DOI":"10.1016/j.joca.2011.05.004","ISBN":"2122633255","ISSN":"10634584","PMID":"21645627","abstract":"Objective: In an effort to evolve semi-quantitative scoring methods based upon limitations identified in existing tools, integrating expert readers' experience with all available scoring tools and the published data comparing the different scoring systems, we iteratively developed the magnetic resonance imaging (MRI) Osteoarthritis Knee Score (MOAKS). The purpose of this report is to describe the instrument and its reliability. Methods: The MOAKS instrument refines the scoring of bone marrow lesions (BMLs) (providing regional delineation and scoring across regions), cartilage (sub-regional assessment), and refines the elements of meniscal morphology (adding meniscal hypertrophy, partial maceration and progressive partial maceration) scoring. After a training and calibration session two expert readers read MRIs of 20 knees separately. In addition, one reader re-read the same 20 MRIs 4 weeks later presented in random order to assess intra-rater reliability. The analyses presented here are for both intra- and inter-rater reliability (calculated using the linear weighted kappa and overall percent agreement). Results: With the exception of inter-rater reliability for tibial cartilage area (kappa = 0.36) and tibial osteophytes (kappa = 0.49); and intra-rater reliability for tibial BML number of lesions (kappa = 0.54), Hoffa-synovitis (kappa = 0.42) all measures of reliability using kappa statistics were very good (0.61-0.8) or reached near-perfect agreement (0.81-1.0). Only intra-rater reliability for Hoffa-synovitis, and inter-rater reliability for tibial and patellar osteophytes showed overall percent agreement &lt;75%. Conclusion: MOAKS scoring shows very good to excellent reliability for the large majority of features assessed. Further iterative development and research will include assessment of its validation and responsiveness. © 2011 Osteoarthritis Research Society International.","author":[{"dropping-particle":"","family":"Hunter","given":"D. J.","non-dropping-particle":"","parse-names":false,"suffix":""},{"dropping-particle":"","family":"Guermazi","given":"A.","non-dropping-particle":"","parse-names":false,"suffix":""},{"dropping-particle":"","family":"Lo","given":"G. H.","non-dropping-particle":"","parse-names":false,"suffix":""},{"dropping-particle":"","family":"Grainger","given":"A. J.","non-dropping-particle":"","parse-names":false,"suffix":""},{"dropping-particle":"","family":"Conaghan","given":"P. G.","non-dropping-particle":"","parse-names":false,"suffix":""},{"dropping-particle":"","family":"Boudreau","given":"R. M.","non-dropping-particle":"","parse-names":false,"suffix":""},{"dropping-particle":"","family":"Roemer","given":"F. W.","non-dropping-particle":"","parse-names":false,"suffix":""}],"container-title":"Osteoarthritis and Cartilage","id":"ITEM-1","issue":"8","issued":{"date-parts":[["2011"]]},"page":"990-1002","title":"Evolution of semi-quantitative whole joint assessment of knee OA: MOAKS (MRI Osteoarthritis Knee Score)","type":"article-journal","volume":"19"},"uris":["http://www.mendeley.com/documents/?uuid=453b47e7-7ca5-46a9-9ab0-6436a26c172b"]}],"mendeley":{"formattedCitation":"[8]","plainTextFormattedCitation":"[8]","previouslyFormattedCitation":"[6]"},"properties":{"noteIndex":0},"schema":"https://github.com/citation-style-language/schema/raw/master/csl-citation.json"}</w:instrText>
            </w:r>
            <w:r w:rsidR="00EE2E2C" w:rsidRPr="008C6960">
              <w:rPr>
                <w:bCs/>
                <w:color w:val="000000"/>
                <w:lang w:eastAsia="en-GB"/>
              </w:rPr>
              <w:fldChar w:fldCharType="separate"/>
            </w:r>
            <w:r w:rsidR="009440E6" w:rsidRPr="009440E6">
              <w:rPr>
                <w:bCs/>
                <w:noProof/>
                <w:color w:val="000000"/>
                <w:lang w:eastAsia="en-GB"/>
              </w:rPr>
              <w:t>[8]</w:t>
            </w:r>
            <w:r w:rsidR="00EE2E2C" w:rsidRPr="008C6960">
              <w:rPr>
                <w:bCs/>
                <w:color w:val="000000"/>
                <w:lang w:eastAsia="en-GB"/>
              </w:rPr>
              <w:fldChar w:fldCharType="end"/>
            </w:r>
            <w:r w:rsidRPr="008C6960">
              <w:rPr>
                <w:bCs/>
                <w:color w:val="000000"/>
                <w:lang w:eastAsia="en-GB"/>
              </w:rPr>
              <w:t>:</w:t>
            </w:r>
          </w:p>
          <w:p w14:paraId="03C7839E" w14:textId="3612C459" w:rsidR="00DD1D8F" w:rsidRPr="008C6960" w:rsidRDefault="00DD1D8F" w:rsidP="00DD1D8F">
            <w:pPr>
              <w:rPr>
                <w:b/>
                <w:color w:val="000000"/>
                <w:lang w:eastAsia="en-GB"/>
              </w:rPr>
            </w:pPr>
            <w:r w:rsidRPr="008C6960">
              <w:rPr>
                <w:b/>
                <w:color w:val="000000"/>
                <w:lang w:eastAsia="en-GB"/>
              </w:rPr>
              <w:t>Prepatellar bursitis</w:t>
            </w:r>
          </w:p>
          <w:p w14:paraId="09034A40" w14:textId="781B9140" w:rsidR="00DD1D8F" w:rsidRPr="008C6960" w:rsidRDefault="00DD1D8F" w:rsidP="00DD1D8F">
            <w:pPr>
              <w:rPr>
                <w:b/>
                <w:color w:val="000000"/>
                <w:lang w:eastAsia="en-GB"/>
              </w:rPr>
            </w:pPr>
            <w:r w:rsidRPr="008C6960">
              <w:rPr>
                <w:b/>
                <w:color w:val="000000"/>
                <w:lang w:eastAsia="en-GB"/>
              </w:rPr>
              <w:t>Pes anserine bursitis</w:t>
            </w:r>
          </w:p>
          <w:p w14:paraId="1810F40E" w14:textId="77777777" w:rsidR="00DD1D8F" w:rsidRPr="008C6960" w:rsidRDefault="00DD1D8F" w:rsidP="00DD1D8F">
            <w:pPr>
              <w:rPr>
                <w:b/>
                <w:color w:val="000000"/>
                <w:lang w:eastAsia="en-GB"/>
              </w:rPr>
            </w:pPr>
            <w:r w:rsidRPr="008C6960">
              <w:rPr>
                <w:b/>
                <w:color w:val="000000"/>
                <w:lang w:eastAsia="en-GB"/>
              </w:rPr>
              <w:t>Baker's/popliteal cyst</w:t>
            </w:r>
          </w:p>
          <w:p w14:paraId="1A407354" w14:textId="77777777" w:rsidR="00DD1D8F" w:rsidRPr="008C6960" w:rsidRDefault="00DD1D8F" w:rsidP="00DD1D8F">
            <w:pPr>
              <w:rPr>
                <w:b/>
                <w:color w:val="000000"/>
                <w:lang w:eastAsia="en-GB"/>
              </w:rPr>
            </w:pPr>
            <w:r w:rsidRPr="008C6960">
              <w:rPr>
                <w:b/>
                <w:color w:val="000000"/>
                <w:lang w:eastAsia="en-GB"/>
              </w:rPr>
              <w:t>Other ganglion cysts</w:t>
            </w:r>
          </w:p>
          <w:p w14:paraId="28BBDEAB" w14:textId="77777777" w:rsidR="00DD1D8F" w:rsidRPr="008C6960" w:rsidRDefault="00DD1D8F" w:rsidP="00DD1D8F">
            <w:pPr>
              <w:rPr>
                <w:b/>
              </w:rPr>
            </w:pPr>
          </w:p>
          <w:p w14:paraId="5439E09C" w14:textId="4A43DE81" w:rsidR="00DD1D8F" w:rsidRPr="008C6960" w:rsidRDefault="00DD1D8F" w:rsidP="00DD1D8F">
            <w:pPr>
              <w:rPr>
                <w:b/>
              </w:rPr>
            </w:pPr>
          </w:p>
        </w:tc>
        <w:tc>
          <w:tcPr>
            <w:tcW w:w="6603" w:type="dxa"/>
            <w:gridSpan w:val="2"/>
          </w:tcPr>
          <w:p w14:paraId="4B6AA0CE" w14:textId="2D291F10" w:rsidR="00DD1D8F" w:rsidRPr="008C6960" w:rsidRDefault="00DD1D8F" w:rsidP="00DD1D8F">
            <w:pPr>
              <w:rPr>
                <w:color w:val="000000"/>
                <w:lang w:eastAsia="en-GB"/>
              </w:rPr>
            </w:pPr>
            <w:r w:rsidRPr="008C6960">
              <w:rPr>
                <w:color w:val="000000"/>
                <w:lang w:eastAsia="en-GB"/>
              </w:rPr>
              <w:t>0=absent</w:t>
            </w:r>
          </w:p>
          <w:p w14:paraId="54A7DA66" w14:textId="77777777" w:rsidR="00DD1D8F" w:rsidRPr="008C6960" w:rsidRDefault="00DD1D8F" w:rsidP="00DD1D8F">
            <w:r w:rsidRPr="008C6960">
              <w:rPr>
                <w:color w:val="000000"/>
                <w:lang w:eastAsia="en-GB"/>
              </w:rPr>
              <w:t>1=present</w:t>
            </w:r>
          </w:p>
        </w:tc>
      </w:tr>
      <w:tr w:rsidR="00DD1D8F" w:rsidRPr="008C6960" w14:paraId="33A49C04" w14:textId="77777777" w:rsidTr="00892C0C">
        <w:trPr>
          <w:trHeight w:val="984"/>
        </w:trPr>
        <w:tc>
          <w:tcPr>
            <w:tcW w:w="2464" w:type="dxa"/>
          </w:tcPr>
          <w:p w14:paraId="2AFBE931" w14:textId="06C1CF57" w:rsidR="00DD1D8F" w:rsidRPr="008C6960" w:rsidRDefault="00DD1D8F" w:rsidP="00DD1D8F">
            <w:pPr>
              <w:rPr>
                <w:b/>
                <w:vertAlign w:val="superscript"/>
              </w:rPr>
            </w:pPr>
            <w:r w:rsidRPr="008C6960">
              <w:rPr>
                <w:b/>
              </w:rPr>
              <w:t>MOAKS 0-3</w:t>
            </w:r>
            <w:r w:rsidR="00EE2E2C" w:rsidRPr="008C6960">
              <w:rPr>
                <w:b/>
              </w:rPr>
              <w:t xml:space="preserve"> </w:t>
            </w:r>
            <w:r w:rsidR="00EE2E2C" w:rsidRPr="008C6960">
              <w:rPr>
                <w:b/>
              </w:rPr>
              <w:fldChar w:fldCharType="begin" w:fldLock="1"/>
            </w:r>
            <w:r w:rsidR="009440E6">
              <w:rPr>
                <w:b/>
              </w:rPr>
              <w:instrText>ADDIN CSL_CITATION {"citationItems":[{"id":"ITEM-1","itemData":{"DOI":"10.1016/j.joca.2011.05.004","ISBN":"2122633255","ISSN":"10634584","PMID":"21645627","abstract":"Objective: In an effort to evolve semi-quantitative scoring methods based upon limitations identified in existing tools, integrating expert readers' experience with all available scoring tools and the published data comparing the different scoring systems, we iteratively developed the magnetic resonance imaging (MRI) Osteoarthritis Knee Score (MOAKS). The purpose of this report is to describe the instrument and its reliability. Methods: The MOAKS instrument refines the scoring of bone marrow lesions (BMLs) (providing regional delineation and scoring across regions), cartilage (sub-regional assessment), and refines the elements of meniscal morphology (adding meniscal hypertrophy, partial maceration and progressive partial maceration) scoring. After a training and calibration session two expert readers read MRIs of 20 knees separately. In addition, one reader re-read the same 20 MRIs 4 weeks later presented in random order to assess intra-rater reliability. The analyses presented here are for both intra- and inter-rater reliability (calculated using the linear weighted kappa and overall percent agreement). Results: With the exception of inter-rater reliability for tibial cartilage area (kappa = 0.36) and tibial osteophytes (kappa = 0.49); and intra-rater reliability for tibial BML number of lesions (kappa = 0.54), Hoffa-synovitis (kappa = 0.42) all measures of reliability using kappa statistics were very good (0.61-0.8) or reached near-perfect agreement (0.81-1.0). Only intra-rater reliability for Hoffa-synovitis, and inter-rater reliability for tibial and patellar osteophytes showed overall percent agreement &lt;75%. Conclusion: MOAKS scoring shows very good to excellent reliability for the large majority of features assessed. Further iterative development and research will include assessment of its validation and responsiveness. © 2011 Osteoarthritis Research Society International.","author":[{"dropping-particle":"","family":"Hunter","given":"D. J.","non-dropping-particle":"","parse-names":false,"suffix":""},{"dropping-particle":"","family":"Guermazi","given":"A.","non-dropping-particle":"","parse-names":false,"suffix":""},{"dropping-particle":"","family":"Lo","given":"G. H.","non-dropping-particle":"","parse-names":false,"suffix":""},{"dropping-particle":"","family":"Grainger","given":"A. J.","non-dropping-particle":"","parse-names":false,"suffix":""},{"dropping-particle":"","family":"Conaghan","given":"P. G.","non-dropping-particle":"","parse-names":false,"suffix":""},{"dropping-particle":"","family":"Boudreau","given":"R. M.","non-dropping-particle":"","parse-names":false,"suffix":""},{"dropping-particle":"","family":"Roemer","given":"F. W.","non-dropping-particle":"","parse-names":false,"suffix":""}],"container-title":"Osteoarthritis and Cartilage","id":"ITEM-1","issue":"8","issued":{"date-parts":[["2011"]]},"page":"990-1002","title":"Evolution of semi-quantitative whole joint assessment of knee OA: MOAKS (MRI Osteoarthritis Knee Score)","type":"article-journal","volume":"19"},"uris":["http://www.mendeley.com/documents/?uuid=453b47e7-7ca5-46a9-9ab0-6436a26c172b"]}],"mendeley":{"formattedCitation":"[8]","plainTextFormattedCitation":"[8]","previouslyFormattedCitation":"[6]"},"properties":{"noteIndex":0},"schema":"https://github.com/citation-style-language/schema/raw/master/csl-citation.json"}</w:instrText>
            </w:r>
            <w:r w:rsidR="00EE2E2C" w:rsidRPr="008C6960">
              <w:rPr>
                <w:b/>
              </w:rPr>
              <w:fldChar w:fldCharType="separate"/>
            </w:r>
            <w:r w:rsidR="009440E6" w:rsidRPr="009440E6">
              <w:rPr>
                <w:noProof/>
              </w:rPr>
              <w:t>[8]</w:t>
            </w:r>
            <w:r w:rsidR="00EE2E2C" w:rsidRPr="008C6960">
              <w:rPr>
                <w:b/>
              </w:rPr>
              <w:fldChar w:fldCharType="end"/>
            </w:r>
            <w:r w:rsidR="007854E4" w:rsidRPr="008C6960">
              <w:rPr>
                <w:b/>
              </w:rPr>
              <w:t>:</w:t>
            </w:r>
          </w:p>
          <w:p w14:paraId="1D2DD3A5" w14:textId="77777777" w:rsidR="00DD1D8F" w:rsidRPr="008C6960" w:rsidRDefault="00DD1D8F" w:rsidP="00DD1D8F">
            <w:r w:rsidRPr="008C6960">
              <w:rPr>
                <w:b/>
              </w:rPr>
              <w:t>Hoffa’s synovitis</w:t>
            </w:r>
          </w:p>
        </w:tc>
        <w:tc>
          <w:tcPr>
            <w:tcW w:w="6603" w:type="dxa"/>
            <w:gridSpan w:val="2"/>
          </w:tcPr>
          <w:p w14:paraId="021D286D" w14:textId="51F29648" w:rsidR="00DD1D8F" w:rsidRPr="008C6960" w:rsidRDefault="00DD1D8F" w:rsidP="00DD1D8F">
            <w:pPr>
              <w:rPr>
                <w:color w:val="000000"/>
                <w:lang w:eastAsia="en-GB"/>
              </w:rPr>
            </w:pPr>
            <w:r w:rsidRPr="008C6960">
              <w:rPr>
                <w:color w:val="000000"/>
                <w:lang w:eastAsia="en-GB"/>
              </w:rPr>
              <w:t>0=</w:t>
            </w:r>
            <w:r w:rsidR="00652C95" w:rsidRPr="008C6960">
              <w:rPr>
                <w:color w:val="000000"/>
                <w:lang w:eastAsia="en-GB"/>
              </w:rPr>
              <w:t>absent</w:t>
            </w:r>
            <w:r w:rsidRPr="008C6960">
              <w:rPr>
                <w:color w:val="000000"/>
                <w:lang w:eastAsia="en-GB"/>
              </w:rPr>
              <w:br/>
              <w:t>1=mild</w:t>
            </w:r>
            <w:r w:rsidRPr="008C6960">
              <w:rPr>
                <w:color w:val="000000"/>
                <w:lang w:eastAsia="en-GB"/>
              </w:rPr>
              <w:br/>
              <w:t>2=moderate</w:t>
            </w:r>
            <w:r w:rsidRPr="008C6960">
              <w:rPr>
                <w:color w:val="000000"/>
                <w:lang w:eastAsia="en-GB"/>
              </w:rPr>
              <w:br/>
              <w:t>3=severe</w:t>
            </w:r>
          </w:p>
        </w:tc>
      </w:tr>
      <w:tr w:rsidR="00DD1D8F" w:rsidRPr="008C6960" w14:paraId="6CDE877B" w14:textId="77777777" w:rsidTr="00892C0C">
        <w:trPr>
          <w:trHeight w:val="700"/>
        </w:trPr>
        <w:tc>
          <w:tcPr>
            <w:tcW w:w="2464" w:type="dxa"/>
          </w:tcPr>
          <w:p w14:paraId="1865C3DC" w14:textId="53958807" w:rsidR="00DD1D8F" w:rsidRPr="008C6960" w:rsidRDefault="00DD1D8F" w:rsidP="00DD1D8F">
            <w:pPr>
              <w:rPr>
                <w:b/>
                <w:color w:val="000000"/>
                <w:vertAlign w:val="superscript"/>
                <w:lang w:eastAsia="en-GB"/>
              </w:rPr>
            </w:pPr>
            <w:r w:rsidRPr="008C6960">
              <w:rPr>
                <w:b/>
                <w:color w:val="000000"/>
                <w:lang w:eastAsia="en-GB"/>
              </w:rPr>
              <w:t>WORMS 0-1</w:t>
            </w:r>
            <w:r w:rsidR="00EE2E2C" w:rsidRPr="008C6960">
              <w:rPr>
                <w:b/>
                <w:color w:val="000000"/>
                <w:lang w:eastAsia="en-GB"/>
              </w:rPr>
              <w:t xml:space="preserve"> </w:t>
            </w:r>
            <w:r w:rsidR="00EE2E2C" w:rsidRPr="008C6960">
              <w:rPr>
                <w:bCs/>
                <w:color w:val="000000"/>
                <w:lang w:eastAsia="en-GB"/>
              </w:rPr>
              <w:fldChar w:fldCharType="begin" w:fldLock="1"/>
            </w:r>
            <w:r w:rsidR="009440E6">
              <w:rPr>
                <w:bCs/>
                <w:color w:val="000000"/>
                <w:lang w:eastAsia="en-GB"/>
              </w:rPr>
              <w:instrText>ADDIN CSL_CITATION {"citationItems":[{"id":"ITEM-1","itemData":{"DOI":"10.1016/j.joca.2003.11.003","ISBN":"1063-4584 (Print)\\r1063-4584 (Linking)","ISSN":"10634584","PMID":"14972335","abstract":"Objectives: To describe a semi-quantitative scoring method for multi-feature, whole-organ evaluation of the knee in osteoarthritis (OA) based on magnetic resonance imaging (MRI) findings. To determine the inter-observer agreement of this scoring method. To examine associations among the features included in the scoring method. Methods: Nineteen knees of 19 patients with knee OA were imaged with MRI using conventional pulse sequences and a clinical 1.5 T MRI system. Images were independently analyzed by two musculoskeletal radiologists using a whole-organ MRI scoring method (WORMS) that incorporated 14 features: articular cartilage integrity, subarticular bone marrow abnormality, subarticular cysts, subarticular bone attrition, marginal osteophytes, medial and lateral meniscal integrity, anterior and posterior cruciate ligament integrity, medial and lateral collateral ligament integrity, synovitis/effusion, intraarticular loose bodies, and periarticular cysts/bursitis. Intraclass correlation coefficients (ICC) were determined for each feature as a measure of inter-observer agreement. Associations among the scores for different features were expressed as Spearman Rho. Results: All knees showed structural abnormalities with MRI. Cartilage loss and osteophytes were the most prevalent features (98% and 92%, respectively). One of the least common features was ligament abnormality (8%). Inter-observer agreement for WORMS scores was high (most ICC values were &gt;0.80). The individual features showed strong inter-associations. Conclusion: The WORMS method described in this report provides multi-feature, whole-organ assessment of the knee in OA using conventional MR images, and shows high inter-observer agreement among trained readers. This method may be useful in epidemiological studies and clinical trials of OA. © 2003 OsteoArthritis Research Society International. Published by Elsevier Ltd. All rights reserved.","author":[{"dropping-particle":"","family":"Peterfy","given":"Charles G.","non-dropping-particle":"","parse-names":false,"suffix":""},{"dropping-particle":"","family":"Guermazi","given":"A.","non-dropping-particle":"","parse-names":false,"suffix":""},{"dropping-particle":"","family":"Zaim","given":"S.","non-dropping-particle":"","parse-names":false,"suffix":""},{"dropping-particle":"","family":"Tirman","given":"P. F.J.","non-dropping-particle":"","parse-names":false,"suffix":""},{"dropping-particle":"","family":"Miaux","given":"Y.","non-dropping-particle":"","parse-names":false,"suffix":""},{"dropping-particle":"","family":"White","given":"D.","non-dropping-particle":"","parse-names":false,"suffix":""},{"dropping-particle":"","family":"Kothari","given":"M.","non-dropping-particle":"","parse-names":false,"suffix":""},{"dropping-particle":"","family":"Lu","given":"Y.","non-dropping-particle":"","parse-names":false,"suffix":""},{"dropping-particle":"","family":"Fye","given":"K.","non-dropping-particle":"","parse-names":false,"suffix":""},{"dropping-particle":"","family":"Zhao","given":"S.","non-dropping-particle":"","parse-names":false,"suffix":""},{"dropping-particle":"","family":"Genant","given":"H. K.","non-dropping-particle":"","parse-names":false,"suffix":""}],"container-title":"Osteoarthritis and Cartilage","id":"ITEM-1","issue":"3","issued":{"date-parts":[["2004"]]},"page":"177-190","title":"Whole-organ magnetic resonance imaging score (WORMS) of the knee in osteoarthritis","type":"article-journal","volume":"12"},"uris":["http://www.mendeley.com/documents/?uuid=5e37d2b4-4079-4944-b689-d251583e64a9"]}],"mendeley":{"formattedCitation":"[9]","plainTextFormattedCitation":"[9]","previouslyFormattedCitation":"[7]"},"properties":{"noteIndex":0},"schema":"https://github.com/citation-style-language/schema/raw/master/csl-citation.json"}</w:instrText>
            </w:r>
            <w:r w:rsidR="00EE2E2C" w:rsidRPr="008C6960">
              <w:rPr>
                <w:bCs/>
                <w:color w:val="000000"/>
                <w:lang w:eastAsia="en-GB"/>
              </w:rPr>
              <w:fldChar w:fldCharType="separate"/>
            </w:r>
            <w:r w:rsidR="009440E6" w:rsidRPr="009440E6">
              <w:rPr>
                <w:bCs/>
                <w:noProof/>
                <w:color w:val="000000"/>
                <w:lang w:eastAsia="en-GB"/>
              </w:rPr>
              <w:t>[9]</w:t>
            </w:r>
            <w:r w:rsidR="00EE2E2C" w:rsidRPr="008C6960">
              <w:rPr>
                <w:bCs/>
                <w:color w:val="000000"/>
                <w:lang w:eastAsia="en-GB"/>
              </w:rPr>
              <w:fldChar w:fldCharType="end"/>
            </w:r>
            <w:r w:rsidRPr="008C6960">
              <w:rPr>
                <w:bCs/>
                <w:color w:val="000000"/>
                <w:lang w:eastAsia="en-GB"/>
              </w:rPr>
              <w:t>:</w:t>
            </w:r>
          </w:p>
          <w:p w14:paraId="5889E207" w14:textId="6FEB40FC" w:rsidR="00DD1D8F" w:rsidRPr="008C6960" w:rsidRDefault="00DD1D8F" w:rsidP="00DD1D8F">
            <w:pPr>
              <w:rPr>
                <w:b/>
              </w:rPr>
            </w:pPr>
            <w:r w:rsidRPr="008C6960">
              <w:rPr>
                <w:b/>
              </w:rPr>
              <w:t>PMC &amp; PLC</w:t>
            </w:r>
            <w:r w:rsidR="00585009" w:rsidRPr="008C6960">
              <w:rPr>
                <w:b/>
              </w:rPr>
              <w:t xml:space="preserve"> injury</w:t>
            </w:r>
          </w:p>
        </w:tc>
        <w:tc>
          <w:tcPr>
            <w:tcW w:w="6603" w:type="dxa"/>
            <w:gridSpan w:val="2"/>
          </w:tcPr>
          <w:p w14:paraId="365145CE" w14:textId="37A49437" w:rsidR="00DD1D8F" w:rsidRPr="008C6960" w:rsidRDefault="00DD1D8F" w:rsidP="00DD1D8F">
            <w:pPr>
              <w:rPr>
                <w:color w:val="000000"/>
                <w:lang w:eastAsia="en-GB"/>
              </w:rPr>
            </w:pPr>
            <w:r w:rsidRPr="008C6960">
              <w:rPr>
                <w:color w:val="000000"/>
                <w:lang w:eastAsia="en-GB"/>
              </w:rPr>
              <w:t>0=absent</w:t>
            </w:r>
          </w:p>
          <w:p w14:paraId="3CB0FCC9" w14:textId="66EFB212" w:rsidR="00DD1D8F" w:rsidRPr="008C6960" w:rsidRDefault="00DD1D8F" w:rsidP="00892C0C">
            <w:pPr>
              <w:keepNext/>
              <w:rPr>
                <w:color w:val="000000"/>
                <w:lang w:eastAsia="en-GB"/>
              </w:rPr>
            </w:pPr>
            <w:r w:rsidRPr="008C6960">
              <w:rPr>
                <w:color w:val="000000"/>
                <w:lang w:eastAsia="en-GB"/>
              </w:rPr>
              <w:t>1=present</w:t>
            </w:r>
          </w:p>
        </w:tc>
      </w:tr>
    </w:tbl>
    <w:p w14:paraId="21246D56" w14:textId="4B197151" w:rsidR="00892C0C" w:rsidRDefault="00B74A25" w:rsidP="00892C0C">
      <w:pPr>
        <w:spacing w:line="480" w:lineRule="auto"/>
        <w:jc w:val="both"/>
        <w:rPr>
          <w:color w:val="000000" w:themeColor="text1"/>
        </w:rPr>
      </w:pPr>
      <w:r w:rsidRPr="008C6960">
        <w:rPr>
          <w:color w:val="000000" w:themeColor="text1"/>
        </w:rPr>
        <w:t xml:space="preserve">BLOKS, Boston Leeds Osteoarthritis Score; ACLOAS, Anterior Cruciate Ligament </w:t>
      </w:r>
      <w:proofErr w:type="spellStart"/>
      <w:r w:rsidRPr="008C6960">
        <w:rPr>
          <w:color w:val="000000" w:themeColor="text1"/>
        </w:rPr>
        <w:t>OsteoArthritis</w:t>
      </w:r>
      <w:proofErr w:type="spellEnd"/>
      <w:r w:rsidRPr="008C6960">
        <w:rPr>
          <w:color w:val="000000" w:themeColor="text1"/>
        </w:rPr>
        <w:t xml:space="preserve"> Score; AH, anterior horn of the meniscus; PH, posterior horn of the meniscus; MFC, medial femoral condyle; LFC, lateral femoral condyle; MTC, medial tibial condyle; LTC, lateral tibial condyle; KOSS, Knee Osteoarthritis Scoring System; ACL, anterior cruciate ligament; PCL, posterior cruciate ligament; MCL, medial collateral ligament; LCL, lateral collateral ligament; MOAKS, MRI Osteoarthritis Knee Score; ITB, iliotibial band; WORMS, </w:t>
      </w:r>
      <w:r w:rsidRPr="008C6960">
        <w:rPr>
          <w:color w:val="000000" w:themeColor="text1"/>
        </w:rPr>
        <w:lastRenderedPageBreak/>
        <w:t>Whole-Organ Magnetic Resonance Imaging score; PMC, posteromedial corner; PLC, posterolateral corner.</w:t>
      </w:r>
    </w:p>
    <w:p w14:paraId="2A1D0087" w14:textId="35A9F530" w:rsidR="008C6960" w:rsidRDefault="008C6960" w:rsidP="00892C0C">
      <w:pPr>
        <w:spacing w:line="480" w:lineRule="auto"/>
        <w:jc w:val="both"/>
        <w:rPr>
          <w:color w:val="000000" w:themeColor="text1"/>
        </w:rPr>
      </w:pPr>
    </w:p>
    <w:p w14:paraId="54300A7A" w14:textId="520ED491" w:rsidR="008C6960" w:rsidRDefault="008C6960" w:rsidP="00892C0C">
      <w:pPr>
        <w:spacing w:line="480" w:lineRule="auto"/>
        <w:jc w:val="both"/>
        <w:rPr>
          <w:color w:val="000000" w:themeColor="text1"/>
        </w:rPr>
      </w:pPr>
    </w:p>
    <w:p w14:paraId="1DFDAE3F" w14:textId="28126C1F" w:rsidR="008C6960" w:rsidRDefault="008C6960" w:rsidP="00892C0C">
      <w:pPr>
        <w:spacing w:line="480" w:lineRule="auto"/>
        <w:jc w:val="both"/>
        <w:rPr>
          <w:color w:val="000000" w:themeColor="text1"/>
        </w:rPr>
      </w:pPr>
    </w:p>
    <w:p w14:paraId="65CAB4CE" w14:textId="2C8730FB" w:rsidR="008C6960" w:rsidRDefault="008C6960" w:rsidP="00892C0C">
      <w:pPr>
        <w:spacing w:line="480" w:lineRule="auto"/>
        <w:jc w:val="both"/>
        <w:rPr>
          <w:color w:val="000000" w:themeColor="text1"/>
        </w:rPr>
      </w:pPr>
    </w:p>
    <w:p w14:paraId="596EE779" w14:textId="0EB2E214" w:rsidR="008C6960" w:rsidRDefault="008C6960" w:rsidP="00892C0C">
      <w:pPr>
        <w:spacing w:line="480" w:lineRule="auto"/>
        <w:jc w:val="both"/>
        <w:rPr>
          <w:color w:val="000000" w:themeColor="text1"/>
        </w:rPr>
      </w:pPr>
    </w:p>
    <w:p w14:paraId="7F97D9ED" w14:textId="7F904FEE" w:rsidR="008C6960" w:rsidRDefault="008C6960" w:rsidP="00892C0C">
      <w:pPr>
        <w:spacing w:line="480" w:lineRule="auto"/>
        <w:jc w:val="both"/>
        <w:rPr>
          <w:color w:val="000000" w:themeColor="text1"/>
        </w:rPr>
      </w:pPr>
    </w:p>
    <w:p w14:paraId="5E5760F5" w14:textId="592F8ED0" w:rsidR="008C6960" w:rsidRDefault="008C6960" w:rsidP="00892C0C">
      <w:pPr>
        <w:spacing w:line="480" w:lineRule="auto"/>
        <w:jc w:val="both"/>
        <w:rPr>
          <w:color w:val="000000" w:themeColor="text1"/>
        </w:rPr>
      </w:pPr>
    </w:p>
    <w:p w14:paraId="1086AC6A" w14:textId="199112BC" w:rsidR="008C6960" w:rsidRDefault="008C6960" w:rsidP="00892C0C">
      <w:pPr>
        <w:spacing w:line="480" w:lineRule="auto"/>
        <w:jc w:val="both"/>
        <w:rPr>
          <w:color w:val="000000" w:themeColor="text1"/>
        </w:rPr>
      </w:pPr>
    </w:p>
    <w:p w14:paraId="6D8880EC" w14:textId="28C6DAA4" w:rsidR="008C6960" w:rsidRDefault="008C6960" w:rsidP="00892C0C">
      <w:pPr>
        <w:spacing w:line="480" w:lineRule="auto"/>
        <w:jc w:val="both"/>
        <w:rPr>
          <w:color w:val="000000" w:themeColor="text1"/>
        </w:rPr>
      </w:pPr>
    </w:p>
    <w:p w14:paraId="6FBE979F" w14:textId="7DCBAAFD" w:rsidR="008C6960" w:rsidRDefault="008C6960" w:rsidP="00892C0C">
      <w:pPr>
        <w:spacing w:line="480" w:lineRule="auto"/>
        <w:jc w:val="both"/>
        <w:rPr>
          <w:color w:val="000000" w:themeColor="text1"/>
        </w:rPr>
      </w:pPr>
    </w:p>
    <w:p w14:paraId="096BB269" w14:textId="03A81B6C" w:rsidR="008C6960" w:rsidRDefault="008C6960" w:rsidP="00892C0C">
      <w:pPr>
        <w:spacing w:line="480" w:lineRule="auto"/>
        <w:jc w:val="both"/>
        <w:rPr>
          <w:color w:val="000000" w:themeColor="text1"/>
        </w:rPr>
      </w:pPr>
    </w:p>
    <w:p w14:paraId="6330B754" w14:textId="5EF5FB17" w:rsidR="008C6960" w:rsidRDefault="008C6960" w:rsidP="00892C0C">
      <w:pPr>
        <w:spacing w:line="480" w:lineRule="auto"/>
        <w:jc w:val="both"/>
        <w:rPr>
          <w:color w:val="000000" w:themeColor="text1"/>
        </w:rPr>
      </w:pPr>
    </w:p>
    <w:p w14:paraId="1DAE7893" w14:textId="4954635D" w:rsidR="008C6960" w:rsidRDefault="008C6960" w:rsidP="00892C0C">
      <w:pPr>
        <w:spacing w:line="480" w:lineRule="auto"/>
        <w:jc w:val="both"/>
        <w:rPr>
          <w:color w:val="000000" w:themeColor="text1"/>
        </w:rPr>
      </w:pPr>
    </w:p>
    <w:p w14:paraId="4574B6F5" w14:textId="299BBC7B" w:rsidR="008C6960" w:rsidRDefault="008C6960" w:rsidP="00892C0C">
      <w:pPr>
        <w:spacing w:line="480" w:lineRule="auto"/>
        <w:jc w:val="both"/>
        <w:rPr>
          <w:color w:val="000000" w:themeColor="text1"/>
        </w:rPr>
      </w:pPr>
    </w:p>
    <w:p w14:paraId="569A8E9A" w14:textId="025D9493" w:rsidR="008C6960" w:rsidRDefault="008C6960" w:rsidP="00892C0C">
      <w:pPr>
        <w:spacing w:line="480" w:lineRule="auto"/>
        <w:jc w:val="both"/>
        <w:rPr>
          <w:color w:val="000000" w:themeColor="text1"/>
        </w:rPr>
      </w:pPr>
    </w:p>
    <w:p w14:paraId="5B196AB9" w14:textId="79201233" w:rsidR="008C6960" w:rsidRDefault="008C6960" w:rsidP="00892C0C">
      <w:pPr>
        <w:spacing w:line="480" w:lineRule="auto"/>
        <w:jc w:val="both"/>
        <w:rPr>
          <w:color w:val="000000" w:themeColor="text1"/>
        </w:rPr>
      </w:pPr>
    </w:p>
    <w:p w14:paraId="5E671AF2" w14:textId="3481AFD3" w:rsidR="008C6960" w:rsidRDefault="008C6960" w:rsidP="00892C0C">
      <w:pPr>
        <w:spacing w:line="480" w:lineRule="auto"/>
        <w:jc w:val="both"/>
        <w:rPr>
          <w:color w:val="000000" w:themeColor="text1"/>
        </w:rPr>
      </w:pPr>
    </w:p>
    <w:p w14:paraId="6E42F96E" w14:textId="1A67F19E" w:rsidR="008C6960" w:rsidRDefault="008C6960" w:rsidP="00892C0C">
      <w:pPr>
        <w:spacing w:line="480" w:lineRule="auto"/>
        <w:jc w:val="both"/>
        <w:rPr>
          <w:color w:val="000000" w:themeColor="text1"/>
        </w:rPr>
      </w:pPr>
    </w:p>
    <w:p w14:paraId="20ACE93B" w14:textId="247C4411" w:rsidR="008C6960" w:rsidRDefault="008C6960" w:rsidP="00892C0C">
      <w:pPr>
        <w:spacing w:line="480" w:lineRule="auto"/>
        <w:jc w:val="both"/>
        <w:rPr>
          <w:color w:val="000000" w:themeColor="text1"/>
        </w:rPr>
      </w:pPr>
    </w:p>
    <w:p w14:paraId="4E4C0C87" w14:textId="56897467" w:rsidR="008C6960" w:rsidRDefault="008C6960" w:rsidP="00892C0C">
      <w:pPr>
        <w:spacing w:line="480" w:lineRule="auto"/>
        <w:jc w:val="both"/>
        <w:rPr>
          <w:color w:val="000000" w:themeColor="text1"/>
        </w:rPr>
      </w:pPr>
    </w:p>
    <w:p w14:paraId="724379B1" w14:textId="21A0792F" w:rsidR="008C6960" w:rsidRDefault="008C6960" w:rsidP="00892C0C">
      <w:pPr>
        <w:spacing w:line="480" w:lineRule="auto"/>
        <w:jc w:val="both"/>
        <w:rPr>
          <w:color w:val="000000" w:themeColor="text1"/>
        </w:rPr>
      </w:pPr>
    </w:p>
    <w:p w14:paraId="2455B98C" w14:textId="07BBEF8D" w:rsidR="008C6960" w:rsidRDefault="008C6960" w:rsidP="00892C0C">
      <w:pPr>
        <w:spacing w:line="480" w:lineRule="auto"/>
        <w:jc w:val="both"/>
        <w:rPr>
          <w:color w:val="000000" w:themeColor="text1"/>
        </w:rPr>
      </w:pPr>
    </w:p>
    <w:p w14:paraId="47ECED55" w14:textId="77777777" w:rsidR="008C6960" w:rsidRPr="008C6960" w:rsidRDefault="008C6960" w:rsidP="00892C0C">
      <w:pPr>
        <w:spacing w:line="480" w:lineRule="auto"/>
        <w:jc w:val="both"/>
        <w:rPr>
          <w:color w:val="000000" w:themeColor="text1"/>
        </w:rPr>
      </w:pPr>
    </w:p>
    <w:p w14:paraId="4D0204B2" w14:textId="27EE3412" w:rsidR="001E3617" w:rsidRPr="008C6960" w:rsidRDefault="0052351C" w:rsidP="00C30A5F">
      <w:pPr>
        <w:spacing w:line="480" w:lineRule="auto"/>
        <w:jc w:val="both"/>
        <w:rPr>
          <w:b/>
        </w:rPr>
      </w:pPr>
      <w:r w:rsidRPr="008C6960">
        <w:rPr>
          <w:b/>
        </w:rPr>
        <w:lastRenderedPageBreak/>
        <w:t>References</w:t>
      </w:r>
    </w:p>
    <w:p w14:paraId="785062AA" w14:textId="77777777" w:rsidR="00C30A5F" w:rsidRPr="008C6960" w:rsidRDefault="00C30A5F" w:rsidP="00C30A5F">
      <w:pPr>
        <w:spacing w:line="480" w:lineRule="auto"/>
        <w:jc w:val="both"/>
        <w:rPr>
          <w:b/>
        </w:rPr>
      </w:pPr>
    </w:p>
    <w:p w14:paraId="19415E01" w14:textId="3D503520" w:rsidR="009440E6" w:rsidRPr="009440E6" w:rsidRDefault="00EE2E2C" w:rsidP="009440E6">
      <w:pPr>
        <w:widowControl w:val="0"/>
        <w:autoSpaceDE w:val="0"/>
        <w:autoSpaceDN w:val="0"/>
        <w:adjustRightInd w:val="0"/>
        <w:spacing w:line="480" w:lineRule="auto"/>
        <w:ind w:left="640" w:hanging="640"/>
        <w:rPr>
          <w:noProof/>
          <w:lang w:val="en-US"/>
        </w:rPr>
      </w:pPr>
      <w:r w:rsidRPr="008C6960">
        <w:rPr>
          <w:b/>
        </w:rPr>
        <w:fldChar w:fldCharType="begin" w:fldLock="1"/>
      </w:r>
      <w:r w:rsidRPr="008C6960">
        <w:rPr>
          <w:b/>
        </w:rPr>
        <w:instrText xml:space="preserve">ADDIN Mendeley Bibliography CSL_BIBLIOGRAPHY </w:instrText>
      </w:r>
      <w:r w:rsidRPr="008C6960">
        <w:rPr>
          <w:b/>
        </w:rPr>
        <w:fldChar w:fldCharType="separate"/>
      </w:r>
      <w:r w:rsidR="009440E6" w:rsidRPr="009440E6">
        <w:rPr>
          <w:noProof/>
          <w:lang w:val="en-US"/>
        </w:rPr>
        <w:t xml:space="preserve">1. </w:t>
      </w:r>
      <w:r w:rsidR="009440E6" w:rsidRPr="009440E6">
        <w:rPr>
          <w:noProof/>
          <w:lang w:val="en-US"/>
        </w:rPr>
        <w:tab/>
        <w:t>Hunter DJ, Lo GH, Gale D, Grainger AJ, Guermazi A, Conaghan PG (2008) The reliability of a new scoring system for knee osteoarthritis MRI and the validity of bone marrow lesion assessment: BLOKS (Boston-Leeds Osteoarthritis Knee Score). Ann Rheum Dis 67:206–211</w:t>
      </w:r>
    </w:p>
    <w:p w14:paraId="7BBFFEA3" w14:textId="77777777" w:rsidR="009440E6" w:rsidRPr="009440E6" w:rsidRDefault="009440E6" w:rsidP="009440E6">
      <w:pPr>
        <w:widowControl w:val="0"/>
        <w:autoSpaceDE w:val="0"/>
        <w:autoSpaceDN w:val="0"/>
        <w:adjustRightInd w:val="0"/>
        <w:spacing w:line="480" w:lineRule="auto"/>
        <w:ind w:left="640" w:hanging="640"/>
        <w:rPr>
          <w:noProof/>
          <w:lang w:val="en-US"/>
        </w:rPr>
      </w:pPr>
      <w:r w:rsidRPr="009440E6">
        <w:rPr>
          <w:noProof/>
          <w:lang w:val="en-US"/>
        </w:rPr>
        <w:t xml:space="preserve">2. </w:t>
      </w:r>
      <w:r w:rsidRPr="009440E6">
        <w:rPr>
          <w:noProof/>
          <w:lang w:val="en-US"/>
        </w:rPr>
        <w:tab/>
        <w:t>Roemer FW, Frobell R, Lohmander LS, Niu J, Guermazi A (2014) Anterior cruciate ligament osteoarthritis score (ACLOAS): Longitudinal MRI-based whole joint assessment of anterior cruciate ligament injury. Osteoarthr Cartil 22:668–682</w:t>
      </w:r>
    </w:p>
    <w:p w14:paraId="0F98AEDA" w14:textId="77777777" w:rsidR="009440E6" w:rsidRPr="009440E6" w:rsidRDefault="009440E6" w:rsidP="009440E6">
      <w:pPr>
        <w:widowControl w:val="0"/>
        <w:autoSpaceDE w:val="0"/>
        <w:autoSpaceDN w:val="0"/>
        <w:adjustRightInd w:val="0"/>
        <w:spacing w:line="480" w:lineRule="auto"/>
        <w:ind w:left="640" w:hanging="640"/>
        <w:rPr>
          <w:noProof/>
          <w:lang w:val="en-US"/>
        </w:rPr>
      </w:pPr>
      <w:r w:rsidRPr="009440E6">
        <w:rPr>
          <w:noProof/>
          <w:lang w:val="en-US"/>
        </w:rPr>
        <w:t xml:space="preserve">3. </w:t>
      </w:r>
      <w:r w:rsidRPr="009440E6">
        <w:rPr>
          <w:noProof/>
          <w:lang w:val="en-US"/>
        </w:rPr>
        <w:tab/>
        <w:t>Noyes FR, Stabler CL (1989) A system for grading articular cartilage lesions at arthroscopy. Am J Sports Med 17:505–513</w:t>
      </w:r>
    </w:p>
    <w:p w14:paraId="6F788994" w14:textId="77777777" w:rsidR="009440E6" w:rsidRPr="009440E6" w:rsidRDefault="009440E6" w:rsidP="009440E6">
      <w:pPr>
        <w:widowControl w:val="0"/>
        <w:autoSpaceDE w:val="0"/>
        <w:autoSpaceDN w:val="0"/>
        <w:adjustRightInd w:val="0"/>
        <w:spacing w:line="480" w:lineRule="auto"/>
        <w:ind w:left="640" w:hanging="640"/>
        <w:rPr>
          <w:noProof/>
          <w:lang w:val="en-US"/>
        </w:rPr>
      </w:pPr>
      <w:r w:rsidRPr="009440E6">
        <w:rPr>
          <w:noProof/>
          <w:lang w:val="en-US"/>
        </w:rPr>
        <w:t xml:space="preserve">4. </w:t>
      </w:r>
      <w:r w:rsidRPr="009440E6">
        <w:rPr>
          <w:noProof/>
          <w:lang w:val="en-US"/>
        </w:rPr>
        <w:tab/>
        <w:t>Pappas GP, Vogelsong MA, Staroswiecki E, Gold GE, Safran MR (2016) Magnetic Resonance Imaging of Asymptomatic Knees in Collegiate Basketball Players: The Effect of One Season of Play. Clin J Sport Med. doi: 10.1097/JSM.0000000000000283</w:t>
      </w:r>
    </w:p>
    <w:p w14:paraId="7E42EF4B" w14:textId="77777777" w:rsidR="009440E6" w:rsidRPr="009440E6" w:rsidRDefault="009440E6" w:rsidP="009440E6">
      <w:pPr>
        <w:widowControl w:val="0"/>
        <w:autoSpaceDE w:val="0"/>
        <w:autoSpaceDN w:val="0"/>
        <w:adjustRightInd w:val="0"/>
        <w:spacing w:line="480" w:lineRule="auto"/>
        <w:ind w:left="640" w:hanging="640"/>
        <w:rPr>
          <w:noProof/>
          <w:lang w:val="en-US"/>
        </w:rPr>
      </w:pPr>
      <w:r w:rsidRPr="009440E6">
        <w:rPr>
          <w:noProof/>
          <w:lang w:val="en-US"/>
        </w:rPr>
        <w:t xml:space="preserve">5. </w:t>
      </w:r>
      <w:r w:rsidRPr="009440E6">
        <w:rPr>
          <w:noProof/>
          <w:lang w:val="en-US"/>
        </w:rPr>
        <w:tab/>
        <w:t>Gold GE, Chen CA, Koo S, Hargreaves BA, Bangerter NK (2009) Recent advances in MRI of articular cartilage. Am J Roentgenol. doi: 10.2214/AJR.09.3042</w:t>
      </w:r>
    </w:p>
    <w:p w14:paraId="68E30C40" w14:textId="77777777" w:rsidR="009440E6" w:rsidRPr="009440E6" w:rsidRDefault="009440E6" w:rsidP="009440E6">
      <w:pPr>
        <w:widowControl w:val="0"/>
        <w:autoSpaceDE w:val="0"/>
        <w:autoSpaceDN w:val="0"/>
        <w:adjustRightInd w:val="0"/>
        <w:spacing w:line="480" w:lineRule="auto"/>
        <w:ind w:left="640" w:hanging="640"/>
        <w:rPr>
          <w:noProof/>
          <w:lang w:val="en-US"/>
        </w:rPr>
      </w:pPr>
      <w:r w:rsidRPr="009440E6">
        <w:rPr>
          <w:noProof/>
          <w:lang w:val="en-US"/>
        </w:rPr>
        <w:t xml:space="preserve">6. </w:t>
      </w:r>
      <w:r w:rsidRPr="009440E6">
        <w:rPr>
          <w:noProof/>
          <w:lang w:val="en-US"/>
        </w:rPr>
        <w:tab/>
        <w:t>Kornaat PR, Ceulemans RYT, Kroon HM, Riyazi N, Kloppenburg M, Carter WO, Woodworth TG, Bloem JL (2005) MRI assessment of knee osteoarthritis: Knee Osteoarthritis Scoring System (KOSS) - Inter-observer and intra-observer reproducibility of a compartment-based scoring system. Skeletal Radiol 34:95–102</w:t>
      </w:r>
    </w:p>
    <w:p w14:paraId="6959E4C4" w14:textId="77777777" w:rsidR="009440E6" w:rsidRPr="009440E6" w:rsidRDefault="009440E6" w:rsidP="009440E6">
      <w:pPr>
        <w:widowControl w:val="0"/>
        <w:autoSpaceDE w:val="0"/>
        <w:autoSpaceDN w:val="0"/>
        <w:adjustRightInd w:val="0"/>
        <w:spacing w:line="480" w:lineRule="auto"/>
        <w:ind w:left="640" w:hanging="640"/>
        <w:rPr>
          <w:noProof/>
          <w:lang w:val="en-US"/>
        </w:rPr>
      </w:pPr>
      <w:r w:rsidRPr="009440E6">
        <w:rPr>
          <w:noProof/>
          <w:lang w:val="en-US"/>
        </w:rPr>
        <w:t xml:space="preserve">7. </w:t>
      </w:r>
      <w:r w:rsidRPr="009440E6">
        <w:rPr>
          <w:noProof/>
          <w:lang w:val="en-US"/>
        </w:rPr>
        <w:tab/>
        <w:t>Johnson DP, Wakeley CJ, Watt I (1996) Magnetic resonance imaging of patellar tendonitis. J Bone Jt Surg - Ser B. doi: 10.1302/0301-620x.78b3.0780452</w:t>
      </w:r>
    </w:p>
    <w:p w14:paraId="38AA1429" w14:textId="77777777" w:rsidR="009440E6" w:rsidRPr="009440E6" w:rsidRDefault="009440E6" w:rsidP="009440E6">
      <w:pPr>
        <w:widowControl w:val="0"/>
        <w:autoSpaceDE w:val="0"/>
        <w:autoSpaceDN w:val="0"/>
        <w:adjustRightInd w:val="0"/>
        <w:spacing w:line="480" w:lineRule="auto"/>
        <w:ind w:left="640" w:hanging="640"/>
        <w:rPr>
          <w:noProof/>
          <w:lang w:val="en-US"/>
        </w:rPr>
      </w:pPr>
      <w:r w:rsidRPr="009440E6">
        <w:rPr>
          <w:noProof/>
          <w:lang w:val="en-US"/>
        </w:rPr>
        <w:t xml:space="preserve">8. </w:t>
      </w:r>
      <w:r w:rsidRPr="009440E6">
        <w:rPr>
          <w:noProof/>
          <w:lang w:val="en-US"/>
        </w:rPr>
        <w:tab/>
        <w:t>Hunter DJ, Guermazi A, Lo GH, Grainger AJ, Conaghan PG, Boudreau RM, Roemer FW (2011) Evolution of semi-quantitative whole joint assessment of knee OA: MOAKS (MRI Osteoarthritis Knee Score). Osteoarthr Cartil 19:990–1002</w:t>
      </w:r>
    </w:p>
    <w:p w14:paraId="6FD44461" w14:textId="77777777" w:rsidR="009440E6" w:rsidRPr="009440E6" w:rsidRDefault="009440E6" w:rsidP="009440E6">
      <w:pPr>
        <w:widowControl w:val="0"/>
        <w:autoSpaceDE w:val="0"/>
        <w:autoSpaceDN w:val="0"/>
        <w:adjustRightInd w:val="0"/>
        <w:spacing w:line="480" w:lineRule="auto"/>
        <w:ind w:left="640" w:hanging="640"/>
        <w:rPr>
          <w:noProof/>
        </w:rPr>
      </w:pPr>
      <w:r w:rsidRPr="009440E6">
        <w:rPr>
          <w:noProof/>
          <w:lang w:val="en-US"/>
        </w:rPr>
        <w:lastRenderedPageBreak/>
        <w:t xml:space="preserve">9. </w:t>
      </w:r>
      <w:r w:rsidRPr="009440E6">
        <w:rPr>
          <w:noProof/>
          <w:lang w:val="en-US"/>
        </w:rPr>
        <w:tab/>
        <w:t>Peterfy CG, Guermazi A, Zaim S, et al (2004) Whole-organ magnetic resonance imaging score (WORMS) of the knee in osteoarthritis. Osteoarthr Cartil 12:177–190</w:t>
      </w:r>
    </w:p>
    <w:p w14:paraId="0B902029" w14:textId="2A905594" w:rsidR="00FC5F2D" w:rsidRPr="008C6960" w:rsidRDefault="00EE2E2C" w:rsidP="009440E6">
      <w:pPr>
        <w:widowControl w:val="0"/>
        <w:autoSpaceDE w:val="0"/>
        <w:autoSpaceDN w:val="0"/>
        <w:adjustRightInd w:val="0"/>
        <w:spacing w:line="480" w:lineRule="auto"/>
        <w:ind w:left="640" w:hanging="640"/>
      </w:pPr>
      <w:r w:rsidRPr="008C6960">
        <w:rPr>
          <w:b/>
        </w:rPr>
        <w:fldChar w:fldCharType="end"/>
      </w:r>
    </w:p>
    <w:sectPr w:rsidR="00FC5F2D" w:rsidRPr="008C69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F60993"/>
    <w:multiLevelType w:val="hybridMultilevel"/>
    <w:tmpl w:val="C87E1200"/>
    <w:lvl w:ilvl="0" w:tplc="7B90D0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9"/>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04D"/>
    <w:rsid w:val="000556A1"/>
    <w:rsid w:val="000E7AED"/>
    <w:rsid w:val="001818D9"/>
    <w:rsid w:val="001C6ACD"/>
    <w:rsid w:val="00217AEC"/>
    <w:rsid w:val="002E51A4"/>
    <w:rsid w:val="003505FF"/>
    <w:rsid w:val="003728F7"/>
    <w:rsid w:val="0052351C"/>
    <w:rsid w:val="00543780"/>
    <w:rsid w:val="00585009"/>
    <w:rsid w:val="00644BC7"/>
    <w:rsid w:val="00652C95"/>
    <w:rsid w:val="00727A0D"/>
    <w:rsid w:val="007854E4"/>
    <w:rsid w:val="007872CB"/>
    <w:rsid w:val="007C15AD"/>
    <w:rsid w:val="00824C2F"/>
    <w:rsid w:val="00892C0C"/>
    <w:rsid w:val="008C6960"/>
    <w:rsid w:val="009440E6"/>
    <w:rsid w:val="009B3AE7"/>
    <w:rsid w:val="009D1D1D"/>
    <w:rsid w:val="009F13CF"/>
    <w:rsid w:val="00B17013"/>
    <w:rsid w:val="00B730C1"/>
    <w:rsid w:val="00B74A25"/>
    <w:rsid w:val="00C30A5F"/>
    <w:rsid w:val="00D01002"/>
    <w:rsid w:val="00DB32BD"/>
    <w:rsid w:val="00DD1D8F"/>
    <w:rsid w:val="00E12863"/>
    <w:rsid w:val="00EE2E2C"/>
    <w:rsid w:val="00EE604D"/>
    <w:rsid w:val="00FC5F2D"/>
    <w:rsid w:val="00FF4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C1EDF"/>
  <w15:chartTrackingRefBased/>
  <w15:docId w15:val="{C2669E46-8D2A-47B3-95C6-9A699E3AB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AE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730C1"/>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B730C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6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730C1"/>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B730C1"/>
    <w:rPr>
      <w:color w:val="0000FF"/>
      <w:u w:val="single"/>
    </w:rPr>
  </w:style>
  <w:style w:type="character" w:customStyle="1" w:styleId="Heading1Char">
    <w:name w:val="Heading 1 Char"/>
    <w:basedOn w:val="DefaultParagraphFont"/>
    <w:link w:val="Heading1"/>
    <w:uiPriority w:val="9"/>
    <w:rsid w:val="00B730C1"/>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basedOn w:val="DefaultParagraphFont"/>
    <w:rsid w:val="009B3AE7"/>
  </w:style>
  <w:style w:type="character" w:styleId="Emphasis">
    <w:name w:val="Emphasis"/>
    <w:basedOn w:val="DefaultParagraphFont"/>
    <w:uiPriority w:val="20"/>
    <w:qFormat/>
    <w:rsid w:val="009B3AE7"/>
    <w:rPr>
      <w:i/>
      <w:iCs/>
    </w:rPr>
  </w:style>
  <w:style w:type="character" w:styleId="Strong">
    <w:name w:val="Strong"/>
    <w:basedOn w:val="DefaultParagraphFont"/>
    <w:uiPriority w:val="22"/>
    <w:qFormat/>
    <w:rsid w:val="009B3AE7"/>
    <w:rPr>
      <w:b/>
      <w:bCs/>
    </w:rPr>
  </w:style>
  <w:style w:type="paragraph" w:styleId="ListParagraph">
    <w:name w:val="List Paragraph"/>
    <w:basedOn w:val="Normal"/>
    <w:uiPriority w:val="34"/>
    <w:qFormat/>
    <w:rsid w:val="00E12863"/>
    <w:pPr>
      <w:ind w:left="720"/>
      <w:contextualSpacing/>
    </w:pPr>
  </w:style>
  <w:style w:type="paragraph" w:styleId="BalloonText">
    <w:name w:val="Balloon Text"/>
    <w:basedOn w:val="Normal"/>
    <w:link w:val="BalloonTextChar"/>
    <w:uiPriority w:val="99"/>
    <w:semiHidden/>
    <w:unhideWhenUsed/>
    <w:rsid w:val="001818D9"/>
    <w:rPr>
      <w:sz w:val="18"/>
      <w:szCs w:val="18"/>
    </w:rPr>
  </w:style>
  <w:style w:type="character" w:customStyle="1" w:styleId="BalloonTextChar">
    <w:name w:val="Balloon Text Char"/>
    <w:basedOn w:val="DefaultParagraphFont"/>
    <w:link w:val="BalloonText"/>
    <w:uiPriority w:val="99"/>
    <w:semiHidden/>
    <w:rsid w:val="001818D9"/>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1818D9"/>
    <w:rPr>
      <w:sz w:val="16"/>
      <w:szCs w:val="16"/>
    </w:rPr>
  </w:style>
  <w:style w:type="paragraph" w:styleId="CommentText">
    <w:name w:val="annotation text"/>
    <w:basedOn w:val="Normal"/>
    <w:link w:val="CommentTextChar"/>
    <w:uiPriority w:val="99"/>
    <w:semiHidden/>
    <w:unhideWhenUsed/>
    <w:rsid w:val="001818D9"/>
    <w:rPr>
      <w:sz w:val="20"/>
      <w:szCs w:val="20"/>
    </w:rPr>
  </w:style>
  <w:style w:type="character" w:customStyle="1" w:styleId="CommentTextChar">
    <w:name w:val="Comment Text Char"/>
    <w:basedOn w:val="DefaultParagraphFont"/>
    <w:link w:val="CommentText"/>
    <w:uiPriority w:val="99"/>
    <w:semiHidden/>
    <w:rsid w:val="001818D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818D9"/>
    <w:rPr>
      <w:b/>
      <w:bCs/>
    </w:rPr>
  </w:style>
  <w:style w:type="character" w:customStyle="1" w:styleId="CommentSubjectChar">
    <w:name w:val="Comment Subject Char"/>
    <w:basedOn w:val="CommentTextChar"/>
    <w:link w:val="CommentSubject"/>
    <w:uiPriority w:val="99"/>
    <w:semiHidden/>
    <w:rsid w:val="001818D9"/>
    <w:rPr>
      <w:rFonts w:ascii="Times New Roman" w:eastAsia="Times New Roman" w:hAnsi="Times New Roman" w:cs="Times New Roman"/>
      <w:b/>
      <w:bCs/>
      <w:sz w:val="20"/>
      <w:szCs w:val="20"/>
    </w:rPr>
  </w:style>
  <w:style w:type="paragraph" w:styleId="Caption">
    <w:name w:val="caption"/>
    <w:basedOn w:val="Normal"/>
    <w:next w:val="Normal"/>
    <w:uiPriority w:val="35"/>
    <w:semiHidden/>
    <w:unhideWhenUsed/>
    <w:qFormat/>
    <w:rsid w:val="00892C0C"/>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698341">
      <w:bodyDiv w:val="1"/>
      <w:marLeft w:val="0"/>
      <w:marRight w:val="0"/>
      <w:marTop w:val="0"/>
      <w:marBottom w:val="0"/>
      <w:divBdr>
        <w:top w:val="none" w:sz="0" w:space="0" w:color="auto"/>
        <w:left w:val="none" w:sz="0" w:space="0" w:color="auto"/>
        <w:bottom w:val="none" w:sz="0" w:space="0" w:color="auto"/>
        <w:right w:val="none" w:sz="0" w:space="0" w:color="auto"/>
      </w:divBdr>
      <w:divsChild>
        <w:div w:id="804198050">
          <w:marLeft w:val="0"/>
          <w:marRight w:val="0"/>
          <w:marTop w:val="0"/>
          <w:marBottom w:val="0"/>
          <w:divBdr>
            <w:top w:val="none" w:sz="0" w:space="0" w:color="auto"/>
            <w:left w:val="none" w:sz="0" w:space="0" w:color="auto"/>
            <w:bottom w:val="none" w:sz="0" w:space="0" w:color="auto"/>
            <w:right w:val="none" w:sz="0" w:space="0" w:color="auto"/>
          </w:divBdr>
        </w:div>
        <w:div w:id="1219240612">
          <w:marLeft w:val="0"/>
          <w:marRight w:val="0"/>
          <w:marTop w:val="0"/>
          <w:marBottom w:val="0"/>
          <w:divBdr>
            <w:top w:val="none" w:sz="0" w:space="0" w:color="auto"/>
            <w:left w:val="none" w:sz="0" w:space="0" w:color="auto"/>
            <w:bottom w:val="none" w:sz="0" w:space="0" w:color="auto"/>
            <w:right w:val="none" w:sz="0" w:space="0" w:color="auto"/>
          </w:divBdr>
        </w:div>
      </w:divsChild>
    </w:div>
    <w:div w:id="222647592">
      <w:bodyDiv w:val="1"/>
      <w:marLeft w:val="0"/>
      <w:marRight w:val="0"/>
      <w:marTop w:val="0"/>
      <w:marBottom w:val="0"/>
      <w:divBdr>
        <w:top w:val="none" w:sz="0" w:space="0" w:color="auto"/>
        <w:left w:val="none" w:sz="0" w:space="0" w:color="auto"/>
        <w:bottom w:val="none" w:sz="0" w:space="0" w:color="auto"/>
        <w:right w:val="none" w:sz="0" w:space="0" w:color="auto"/>
      </w:divBdr>
    </w:div>
    <w:div w:id="730614701">
      <w:bodyDiv w:val="1"/>
      <w:marLeft w:val="0"/>
      <w:marRight w:val="0"/>
      <w:marTop w:val="0"/>
      <w:marBottom w:val="0"/>
      <w:divBdr>
        <w:top w:val="none" w:sz="0" w:space="0" w:color="auto"/>
        <w:left w:val="none" w:sz="0" w:space="0" w:color="auto"/>
        <w:bottom w:val="none" w:sz="0" w:space="0" w:color="auto"/>
        <w:right w:val="none" w:sz="0" w:space="0" w:color="auto"/>
      </w:divBdr>
    </w:div>
    <w:div w:id="1014301488">
      <w:bodyDiv w:val="1"/>
      <w:marLeft w:val="0"/>
      <w:marRight w:val="0"/>
      <w:marTop w:val="0"/>
      <w:marBottom w:val="0"/>
      <w:divBdr>
        <w:top w:val="none" w:sz="0" w:space="0" w:color="auto"/>
        <w:left w:val="none" w:sz="0" w:space="0" w:color="auto"/>
        <w:bottom w:val="none" w:sz="0" w:space="0" w:color="auto"/>
        <w:right w:val="none" w:sz="0" w:space="0" w:color="auto"/>
      </w:divBdr>
    </w:div>
    <w:div w:id="176923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06CE7-0348-EB4D-A2E2-26F2A6DB0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6880</Words>
  <Characters>39217</Characters>
  <Application>Microsoft Office Word</Application>
  <DocSecurity>0</DocSecurity>
  <Lines>326</Lines>
  <Paragraphs>92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College London</Company>
  <LinksUpToDate>false</LinksUpToDate>
  <CharactersWithSpaces>46005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Horga</dc:creator>
  <cp:keywords/>
  <dc:description/>
  <cp:lastModifiedBy>Horga, Laura</cp:lastModifiedBy>
  <cp:revision>8</cp:revision>
  <dcterms:created xsi:type="dcterms:W3CDTF">2019-08-01T22:54:00Z</dcterms:created>
  <dcterms:modified xsi:type="dcterms:W3CDTF">2019-12-22T16:03:00Z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http://www.zotero.org/styles/american-medical-association-alphabetical</vt:lpwstr>
  </property>
  <property fmtid="{D5CDD505-2E9C-101B-9397-08002B2CF9AE}" pid="3" name="Mendeley Recent Style Name 0_1">
    <vt:lpwstr>American Medical Association (sorted alphabetically)</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http://www.zotero.org/styles/bmj</vt:lpwstr>
  </property>
  <property fmtid="{D5CDD505-2E9C-101B-9397-08002B2CF9AE}" pid="7" name="Mendeley Recent Style Name 2_1">
    <vt:lpwstr>BMJ</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http://www.zotero.org/styles/skeletal-radiology</vt:lpwstr>
  </property>
  <property fmtid="{D5CDD505-2E9C-101B-9397-08002B2CF9AE}" pid="17" name="Mendeley Recent Style Name 7_1">
    <vt:lpwstr>Skeletal Radiology</vt:lpwstr>
  </property>
  <property fmtid="{D5CDD505-2E9C-101B-9397-08002B2CF9AE}" pid="18" name="Mendeley Recent Style Id 8_1">
    <vt:lpwstr>http://www.zotero.org/styles/springer-vancouver</vt:lpwstr>
  </property>
  <property fmtid="{D5CDD505-2E9C-101B-9397-08002B2CF9AE}" pid="19" name="Mendeley Recent Style Name 8_1">
    <vt:lpwstr>Springer - Vancouver</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9924343f-0d07-3a6e-a173-4ddb432d820c</vt:lpwstr>
  </property>
  <property fmtid="{D5CDD505-2E9C-101B-9397-08002B2CF9AE}" pid="24" name="Mendeley Citation Style_1">
    <vt:lpwstr>http://www.zotero.org/styles/springer-vancouver</vt:lpwstr>
  </property>
</Properties>
</file>