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D11" w:rsidRPr="00E23D11" w:rsidRDefault="00E23D11" w:rsidP="00E23D11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Supplemental Table 2: Results of </w:t>
      </w:r>
      <w:proofErr w:type="spellStart"/>
      <w:r>
        <w:rPr>
          <w:rFonts w:ascii="Times New Roman" w:hAnsi="Times New Roman" w:cs="Times New Roman"/>
          <w:lang w:val="en-GB"/>
        </w:rPr>
        <w:t>un</w:t>
      </w:r>
      <w:bookmarkStart w:id="0" w:name="_GoBack"/>
      <w:bookmarkEnd w:id="0"/>
      <w:r>
        <w:rPr>
          <w:rFonts w:ascii="Times New Roman" w:hAnsi="Times New Roman" w:cs="Times New Roman"/>
          <w:lang w:val="en-GB"/>
        </w:rPr>
        <w:t>ivariable</w:t>
      </w:r>
      <w:proofErr w:type="spellEnd"/>
      <w:r>
        <w:rPr>
          <w:rFonts w:ascii="Times New Roman" w:hAnsi="Times New Roman" w:cs="Times New Roman"/>
          <w:lang w:val="en-GB"/>
        </w:rPr>
        <w:t xml:space="preserve"> logistic regression analysis, the accuracy, and robustness of candidate predictors. P-values&lt;0.157, AUCs&gt;0.8, and ICCs&gt;0.7 are given in bold.</w:t>
      </w:r>
    </w:p>
    <w:tbl>
      <w:tblPr>
        <w:tblW w:w="9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0"/>
        <w:gridCol w:w="866"/>
        <w:gridCol w:w="605"/>
        <w:gridCol w:w="960"/>
        <w:gridCol w:w="923"/>
        <w:gridCol w:w="715"/>
        <w:gridCol w:w="960"/>
        <w:gridCol w:w="709"/>
      </w:tblGrid>
      <w:tr w:rsidR="00E76B06" w:rsidRPr="00FC1321" w:rsidTr="00795398">
        <w:trPr>
          <w:trHeight w:val="300"/>
          <w:tblHeader/>
        </w:trPr>
        <w:tc>
          <w:tcPr>
            <w:tcW w:w="3590" w:type="dxa"/>
            <w:tcBorders>
              <w:top w:val="single" w:sz="4" w:space="0" w:color="auto"/>
            </w:tcBorders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6B06" w:rsidRPr="00FD0401" w:rsidRDefault="00E76B06" w:rsidP="00795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vs. II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6B06" w:rsidRPr="00FD0401" w:rsidRDefault="00E76B06" w:rsidP="00795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6B06" w:rsidRPr="00FD0401" w:rsidRDefault="00E76B06" w:rsidP="00795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FD0401">
              <w:rPr>
                <w:rFonts w:ascii="Times New Roman" w:eastAsia="Times New Roman" w:hAnsi="Times New Roman" w:cs="Times New Roman"/>
                <w:lang w:val="en-GB"/>
              </w:rPr>
              <w:t>Ia</w:t>
            </w:r>
            <w:proofErr w:type="spellEnd"/>
            <w:r w:rsidRPr="00FD0401">
              <w:rPr>
                <w:rFonts w:ascii="Times New Roman" w:eastAsia="Times New Roman" w:hAnsi="Times New Roman" w:cs="Times New Roman"/>
                <w:lang w:val="en-GB"/>
              </w:rPr>
              <w:t xml:space="preserve"> vs.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Ib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6B06" w:rsidRDefault="00E76B06" w:rsidP="00795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76B06" w:rsidRPr="00FC1321" w:rsidTr="00795398">
        <w:trPr>
          <w:trHeight w:val="300"/>
          <w:tblHeader/>
        </w:trPr>
        <w:tc>
          <w:tcPr>
            <w:tcW w:w="3590" w:type="dxa"/>
            <w:tcBorders>
              <w:bottom w:val="single" w:sz="4" w:space="0" w:color="auto"/>
            </w:tcBorders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Variable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B06" w:rsidRPr="00FD040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P-value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B06" w:rsidRPr="00FD040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lang w:val="en-GB"/>
              </w:rPr>
              <w:t>AUC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B06" w:rsidRPr="00FD040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B06" w:rsidRPr="00FD040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P-value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B06" w:rsidRPr="00FD040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lang w:val="en-GB"/>
              </w:rPr>
              <w:t>AUC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6B06" w:rsidRPr="00FD040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ICC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tcBorders>
              <w:top w:val="single" w:sz="4" w:space="0" w:color="auto"/>
            </w:tcBorders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Conventional measures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Maximal standardized uptake value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01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0.87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13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Tissue to background ratio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06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Visual grading scale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First order textural features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Minimum intensity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Range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Mean intensity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Quantile 0.025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Quantile 0.25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07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Median intensity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Quantile 0.75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Quantile 0.975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Sum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0.98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Variance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0.85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Standard deviation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Skewness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Kurtosis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Energy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0.98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Entropy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0.97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Mean absolute deviation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0.71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Root mean square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Uniformity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Second order textural features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GLCM-based textural features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Autocorrection</w:t>
            </w:r>
            <w:proofErr w:type="spellEnd"/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Contrast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Correlation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Haralicks</w:t>
            </w:r>
            <w:proofErr w:type="spellEnd"/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correlation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Cluster prominence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03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0.89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Cluster shade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05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0.83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Cluster tendency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Dissimilarity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Energy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Entropy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Homogeneity 1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Homogeneity 2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Maximum probability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>Sum of squares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Sum average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Sum entropy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Sum variance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Difference variance 1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Difference variance 2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05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Difference entropy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Information measure of correlation 1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0.70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Information measure of correlation 2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Inverse difference moment normalized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-0.07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Inverse difference normalized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-0.14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GLRLM-based textural features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Short run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Long run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Grey level </w:t>
            </w:r>
            <w:proofErr w:type="spellStart"/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nonuniformity</w:t>
            </w:r>
            <w:proofErr w:type="spellEnd"/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Run length </w:t>
            </w:r>
            <w:proofErr w:type="spellStart"/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nonuniformity</w:t>
            </w:r>
            <w:proofErr w:type="spellEnd"/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0.91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Run percentage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05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0.93</w:t>
            </w:r>
          </w:p>
        </w:tc>
      </w:tr>
      <w:tr w:rsidR="00E76B06" w:rsidRPr="00DB6A46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Low grey level run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</w:tr>
      <w:tr w:rsidR="00E76B06" w:rsidRPr="00DB6A46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High grey level run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06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0.73</w:t>
            </w:r>
          </w:p>
        </w:tc>
      </w:tr>
      <w:tr w:rsidR="00E76B06" w:rsidRPr="00DB6A46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Short run low grey level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E76B06" w:rsidRPr="00DB6A46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Short run high grey level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07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0.75</w:t>
            </w:r>
          </w:p>
        </w:tc>
      </w:tr>
      <w:tr w:rsidR="00E76B06" w:rsidRPr="00DB6A46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Long run low grey level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Long run high grey level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C132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GLSZM-based textural features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Small zone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Large zone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Grey level </w:t>
            </w:r>
            <w:proofErr w:type="spellStart"/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nonuniformity</w:t>
            </w:r>
            <w:proofErr w:type="spellEnd"/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0.83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Size zone </w:t>
            </w:r>
            <w:proofErr w:type="spellStart"/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nonuniformity</w:t>
            </w:r>
            <w:proofErr w:type="spellEnd"/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05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0.84</w:t>
            </w:r>
          </w:p>
        </w:tc>
      </w:tr>
      <w:tr w:rsidR="00E76B06" w:rsidRPr="00FC1321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Zone percentage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E76B06" w:rsidRPr="00DB6A46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Low grey level zone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</w:tr>
      <w:tr w:rsidR="00E76B06" w:rsidRPr="00DB6A46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High grey level zone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0.83</w:t>
            </w:r>
          </w:p>
        </w:tc>
      </w:tr>
      <w:tr w:rsidR="00E76B06" w:rsidRPr="00DB6A46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Small zone low grey level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0.86</w:t>
            </w:r>
          </w:p>
        </w:tc>
      </w:tr>
      <w:tr w:rsidR="00E76B06" w:rsidRPr="00DB6A46" w:rsidTr="00795398">
        <w:trPr>
          <w:trHeight w:val="300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Small zone high grey level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04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0.79</w:t>
            </w:r>
          </w:p>
        </w:tc>
      </w:tr>
      <w:tr w:rsidR="00E76B06" w:rsidRPr="00DB6A46" w:rsidTr="00795398">
        <w:trPr>
          <w:trHeight w:val="315"/>
        </w:trPr>
        <w:tc>
          <w:tcPr>
            <w:tcW w:w="3590" w:type="dxa"/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Large zone low grey level emphasis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</w:tr>
      <w:tr w:rsidR="00E76B06" w:rsidRPr="00FC1321" w:rsidTr="00795398">
        <w:trPr>
          <w:trHeight w:val="315"/>
        </w:trPr>
        <w:tc>
          <w:tcPr>
            <w:tcW w:w="3590" w:type="dxa"/>
            <w:tcBorders>
              <w:bottom w:val="single" w:sz="4" w:space="0" w:color="auto"/>
            </w:tcBorders>
            <w:vAlign w:val="center"/>
          </w:tcPr>
          <w:p w:rsidR="00E76B06" w:rsidRPr="00FD0401" w:rsidRDefault="00E76B06" w:rsidP="0079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FD040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Large zone high grey level emphasis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6B06" w:rsidRPr="00FC1321" w:rsidRDefault="00E76B06" w:rsidP="00795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1321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</w:tr>
    </w:tbl>
    <w:p w:rsidR="00CF5DB9" w:rsidRDefault="00CF5DB9"/>
    <w:sectPr w:rsidR="00CF5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B06"/>
    <w:rsid w:val="003F2D49"/>
    <w:rsid w:val="00CF5DB9"/>
    <w:rsid w:val="00E23D11"/>
    <w:rsid w:val="00E7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B061"/>
  <w15:chartTrackingRefBased/>
  <w15:docId w15:val="{146E2632-88C6-4FB4-B00B-CD173524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  <w:rsid w:val="00E76B06"/>
    <w:pPr>
      <w:spacing w:after="200" w:line="276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Jorn Beukinga</dc:creator>
  <cp:keywords/>
  <dc:description/>
  <cp:lastModifiedBy>Jorn Beukinga</cp:lastModifiedBy>
  <cp:revision>2</cp:revision>
  <dcterms:created xsi:type="dcterms:W3CDTF">2016-09-11T15:42:00Z</dcterms:created>
  <dcterms:modified xsi:type="dcterms:W3CDTF">2016-09-12T08:46:00Z</dcterms:modified>
</cp:coreProperties>
</file>