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BD5" w:rsidRDefault="00F05BD5" w:rsidP="00F05BD5">
      <w:pPr>
        <w:spacing w:line="360" w:lineRule="auto"/>
        <w:rPr>
          <w:b/>
        </w:rPr>
      </w:pPr>
      <w:r w:rsidRPr="00EB5D4F">
        <w:rPr>
          <w:b/>
        </w:rPr>
        <w:t>Supplement</w:t>
      </w:r>
      <w:r>
        <w:rPr>
          <w:b/>
        </w:rPr>
        <w:t>ary</w:t>
      </w:r>
      <w:r w:rsidRPr="00EB5D4F">
        <w:rPr>
          <w:b/>
        </w:rPr>
        <w:t xml:space="preserve"> appendix</w:t>
      </w:r>
    </w:p>
    <w:p w:rsidR="00F05BD5" w:rsidRDefault="00F05BD5" w:rsidP="00F05BD5">
      <w:pPr>
        <w:spacing w:line="360" w:lineRule="auto"/>
        <w:rPr>
          <w:b/>
        </w:rPr>
      </w:pPr>
    </w:p>
    <w:p w:rsidR="00F05BD5" w:rsidRPr="007E22F5" w:rsidRDefault="00F05BD5" w:rsidP="00F05BD5">
      <w:pPr>
        <w:spacing w:line="360" w:lineRule="auto"/>
      </w:pPr>
      <w:r>
        <w:rPr>
          <w:b/>
        </w:rPr>
        <w:t xml:space="preserve">Supplement </w:t>
      </w:r>
      <w:r w:rsidRPr="00E45A4A">
        <w:rPr>
          <w:b/>
        </w:rPr>
        <w:t>1</w:t>
      </w:r>
      <w:r w:rsidRPr="00A60A9B">
        <w:rPr>
          <w:b/>
          <w:color w:val="000000"/>
        </w:rPr>
        <w:t>:</w:t>
      </w:r>
      <w:r w:rsidRPr="007E22F5">
        <w:t xml:space="preserve"> </w:t>
      </w:r>
      <w:r w:rsidRPr="007E22F5">
        <w:rPr>
          <w:bCs/>
        </w:rPr>
        <w:t>Levels of evidence and grades of recommendations</w:t>
      </w:r>
      <w:r>
        <w:rPr>
          <w:bCs/>
        </w:rPr>
        <w:t xml:space="preserve"> </w:t>
      </w:r>
      <w:r>
        <w:rPr>
          <w:bCs/>
        </w:rPr>
        <w:fldChar w:fldCharType="begin"/>
      </w:r>
      <w:r>
        <w:rPr>
          <w:bCs/>
        </w:rPr>
        <w:instrText xml:space="preserve"> ADDIN REFMGR.CITE &lt;Refman&gt;&lt;Cite&gt;&lt;Year&gt;2016&lt;/Year&gt;&lt;RecNum&gt;233&lt;/RecNum&gt;&lt;IDText&gt;OCEBM Levels of Evidence Working Group. The Oxford 2011 Levels of Evidence. Oxford Center for Evidence-Based Medicine.&lt;/IDText&gt;&lt;MDL Ref_Type="Online Source"&gt;&lt;Ref_Type&gt;Online Source&lt;/Ref_Type&gt;&lt;Ref_ID&gt;233&lt;/Ref_ID&gt;&lt;Title_Primary&gt;OCEBM Levels of Evidence Working Group. The Oxford 2011 Levels of Evidence. Oxford Center for Evidence-Based Medicine.&lt;/Title_Primary&gt;&lt;Date_Primary&gt;2016&lt;/Date_Primary&gt;&lt;Reprint&gt;Not in File&lt;/Reprint&gt;&lt;Web_URL&gt;&lt;u&gt;www.cebm.net&lt;/u&gt;&lt;/Web_URL&gt;&lt;ZZ_WorkformID&gt;31&lt;/ZZ_WorkformID&gt;&lt;/MDL&gt;&lt;/Cite&gt;&lt;/Refman&gt;</w:instrText>
      </w:r>
      <w:r>
        <w:rPr>
          <w:bCs/>
        </w:rPr>
        <w:fldChar w:fldCharType="separate"/>
      </w:r>
      <w:r>
        <w:rPr>
          <w:bCs/>
          <w:noProof/>
        </w:rPr>
        <w:t>[107]</w:t>
      </w:r>
      <w:r>
        <w:rPr>
          <w:bCs/>
        </w:rPr>
        <w:fldChar w:fldCharType="end"/>
      </w:r>
      <w:r w:rsidRPr="007E22F5">
        <w:rPr>
          <w:bCs/>
        </w:rPr>
        <w:t>.</w:t>
      </w:r>
    </w:p>
    <w:tbl>
      <w:tblPr>
        <w:tblStyle w:val="TableGrid"/>
        <w:tblW w:w="0" w:type="auto"/>
        <w:tblLook w:val="04A0" w:firstRow="1" w:lastRow="0" w:firstColumn="1" w:lastColumn="0" w:noHBand="0" w:noVBand="1"/>
      </w:tblPr>
      <w:tblGrid>
        <w:gridCol w:w="855"/>
        <w:gridCol w:w="8357"/>
      </w:tblGrid>
      <w:tr w:rsidR="00F05BD5" w:rsidTr="00C6460B">
        <w:tc>
          <w:tcPr>
            <w:tcW w:w="855" w:type="dxa"/>
          </w:tcPr>
          <w:p w:rsidR="00F05BD5" w:rsidRPr="00EB5D4F" w:rsidRDefault="00F05BD5" w:rsidP="00C6460B">
            <w:pPr>
              <w:spacing w:line="360" w:lineRule="auto"/>
              <w:rPr>
                <w:rFonts w:eastAsiaTheme="minorHAnsi"/>
                <w:b/>
                <w:bCs/>
                <w:lang w:eastAsia="en-US"/>
              </w:rPr>
            </w:pPr>
            <w:r w:rsidRPr="00EB5D4F">
              <w:rPr>
                <w:rFonts w:eastAsiaTheme="minorHAnsi"/>
                <w:b/>
                <w:bCs/>
                <w:lang w:eastAsia="en-US"/>
              </w:rPr>
              <w:t>Rating</w:t>
            </w:r>
          </w:p>
          <w:p w:rsidR="00F05BD5" w:rsidRDefault="00F05BD5" w:rsidP="00C6460B">
            <w:pPr>
              <w:spacing w:line="360" w:lineRule="auto"/>
            </w:pPr>
            <w:r w:rsidRPr="00EB5D4F">
              <w:t>Level</w:t>
            </w:r>
          </w:p>
        </w:tc>
        <w:tc>
          <w:tcPr>
            <w:tcW w:w="8357" w:type="dxa"/>
          </w:tcPr>
          <w:p w:rsidR="00F05BD5" w:rsidRPr="00EB5D4F" w:rsidRDefault="00F05BD5" w:rsidP="00C6460B">
            <w:pPr>
              <w:autoSpaceDE w:val="0"/>
              <w:autoSpaceDN w:val="0"/>
              <w:adjustRightInd w:val="0"/>
              <w:spacing w:line="360" w:lineRule="auto"/>
              <w:rPr>
                <w:rFonts w:eastAsiaTheme="minorHAnsi"/>
                <w:b/>
                <w:bCs/>
                <w:lang w:eastAsia="en-US"/>
              </w:rPr>
            </w:pPr>
            <w:r w:rsidRPr="00EB5D4F">
              <w:rPr>
                <w:rFonts w:eastAsiaTheme="minorHAnsi"/>
                <w:b/>
                <w:bCs/>
                <w:sz w:val="20"/>
                <w:szCs w:val="20"/>
                <w:lang w:eastAsia="en-US"/>
              </w:rPr>
              <w:t xml:space="preserve"> </w:t>
            </w:r>
            <w:r w:rsidRPr="00EB5D4F">
              <w:rPr>
                <w:rFonts w:eastAsiaTheme="minorHAnsi"/>
                <w:b/>
                <w:bCs/>
                <w:lang w:eastAsia="en-US"/>
              </w:rPr>
              <w:t>Description</w:t>
            </w:r>
          </w:p>
          <w:p w:rsidR="00F05BD5" w:rsidRDefault="00F05BD5" w:rsidP="00C6460B">
            <w:pPr>
              <w:spacing w:line="360" w:lineRule="auto"/>
            </w:pPr>
          </w:p>
        </w:tc>
      </w:tr>
      <w:tr w:rsidR="00F05BD5" w:rsidTr="00C6460B">
        <w:tc>
          <w:tcPr>
            <w:tcW w:w="855" w:type="dxa"/>
          </w:tcPr>
          <w:p w:rsidR="00F05BD5" w:rsidRDefault="00F05BD5" w:rsidP="00C6460B">
            <w:pPr>
              <w:spacing w:line="360" w:lineRule="auto"/>
            </w:pPr>
            <w:r>
              <w:t>I</w:t>
            </w:r>
          </w:p>
        </w:tc>
        <w:tc>
          <w:tcPr>
            <w:tcW w:w="8357" w:type="dxa"/>
          </w:tcPr>
          <w:p w:rsidR="00F05BD5" w:rsidRPr="00EB5D4F" w:rsidRDefault="00F05BD5" w:rsidP="00C6460B">
            <w:pPr>
              <w:autoSpaceDE w:val="0"/>
              <w:autoSpaceDN w:val="0"/>
              <w:adjustRightInd w:val="0"/>
              <w:rPr>
                <w:rFonts w:eastAsiaTheme="minorHAnsi"/>
                <w:sz w:val="20"/>
                <w:szCs w:val="20"/>
                <w:lang w:eastAsia="en-US"/>
              </w:rPr>
            </w:pPr>
            <w:r w:rsidRPr="00EB5D4F">
              <w:rPr>
                <w:rFonts w:eastAsiaTheme="minorHAnsi"/>
                <w:sz w:val="20"/>
                <w:szCs w:val="20"/>
                <w:lang w:eastAsia="en-US"/>
              </w:rPr>
              <w:t xml:space="preserve">Evidence obtained from meta-analysis of multiple well-designed, controlled studies; randomized </w:t>
            </w:r>
            <w:r>
              <w:rPr>
                <w:rFonts w:eastAsiaTheme="minorHAnsi"/>
                <w:sz w:val="20"/>
                <w:szCs w:val="20"/>
                <w:lang w:eastAsia="en-US"/>
              </w:rPr>
              <w:t xml:space="preserve">studies with low false-positive </w:t>
            </w:r>
            <w:r w:rsidRPr="00EB5D4F">
              <w:rPr>
                <w:rFonts w:eastAsiaTheme="minorHAnsi"/>
                <w:sz w:val="20"/>
                <w:szCs w:val="20"/>
                <w:lang w:eastAsia="en-US"/>
              </w:rPr>
              <w:t>and low false-negative error</w:t>
            </w:r>
            <w:r>
              <w:rPr>
                <w:rFonts w:eastAsiaTheme="minorHAnsi"/>
                <w:sz w:val="20"/>
                <w:szCs w:val="20"/>
                <w:lang w:eastAsia="en-US"/>
              </w:rPr>
              <w:t>s (high power)</w:t>
            </w:r>
          </w:p>
        </w:tc>
      </w:tr>
      <w:tr w:rsidR="00F05BD5" w:rsidTr="00C6460B">
        <w:tc>
          <w:tcPr>
            <w:tcW w:w="855" w:type="dxa"/>
          </w:tcPr>
          <w:p w:rsidR="00F05BD5" w:rsidRDefault="00F05BD5" w:rsidP="00C6460B">
            <w:pPr>
              <w:spacing w:line="360" w:lineRule="auto"/>
            </w:pPr>
            <w:r>
              <w:t>II</w:t>
            </w:r>
          </w:p>
        </w:tc>
        <w:tc>
          <w:tcPr>
            <w:tcW w:w="8357" w:type="dxa"/>
          </w:tcPr>
          <w:p w:rsidR="00F05BD5" w:rsidRPr="00EB5D4F" w:rsidRDefault="00F05BD5" w:rsidP="00C6460B">
            <w:pPr>
              <w:autoSpaceDE w:val="0"/>
              <w:autoSpaceDN w:val="0"/>
              <w:adjustRightInd w:val="0"/>
              <w:rPr>
                <w:rFonts w:eastAsiaTheme="minorHAnsi"/>
                <w:sz w:val="20"/>
                <w:szCs w:val="20"/>
                <w:lang w:eastAsia="en-US"/>
              </w:rPr>
            </w:pPr>
            <w:r w:rsidRPr="00EB5D4F">
              <w:rPr>
                <w:rFonts w:eastAsiaTheme="minorHAnsi"/>
                <w:sz w:val="20"/>
                <w:szCs w:val="20"/>
                <w:lang w:eastAsia="en-US"/>
              </w:rPr>
              <w:t>Evidence obtained from at least one well-designed experimental study; randomized studies with high false-positive and/or false</w:t>
            </w:r>
            <w:r>
              <w:rPr>
                <w:rFonts w:eastAsiaTheme="minorHAnsi"/>
                <w:sz w:val="20"/>
                <w:szCs w:val="20"/>
                <w:lang w:eastAsia="en-US"/>
              </w:rPr>
              <w:t xml:space="preserve"> </w:t>
            </w:r>
            <w:r w:rsidRPr="00EB5D4F">
              <w:rPr>
                <w:rFonts w:eastAsiaTheme="minorHAnsi"/>
                <w:sz w:val="20"/>
                <w:szCs w:val="20"/>
                <w:lang w:eastAsia="en-US"/>
              </w:rPr>
              <w:t>negative</w:t>
            </w:r>
            <w:r>
              <w:rPr>
                <w:rFonts w:eastAsiaTheme="minorHAnsi"/>
                <w:sz w:val="20"/>
                <w:szCs w:val="20"/>
                <w:lang w:eastAsia="en-US"/>
              </w:rPr>
              <w:t xml:space="preserve"> errors (low power)</w:t>
            </w:r>
          </w:p>
        </w:tc>
      </w:tr>
      <w:tr w:rsidR="00F05BD5" w:rsidTr="00C6460B">
        <w:tc>
          <w:tcPr>
            <w:tcW w:w="855" w:type="dxa"/>
          </w:tcPr>
          <w:p w:rsidR="00F05BD5" w:rsidRDefault="00F05BD5" w:rsidP="00C6460B">
            <w:pPr>
              <w:spacing w:line="360" w:lineRule="auto"/>
            </w:pPr>
            <w:r>
              <w:t>III</w:t>
            </w:r>
          </w:p>
        </w:tc>
        <w:tc>
          <w:tcPr>
            <w:tcW w:w="8357" w:type="dxa"/>
          </w:tcPr>
          <w:p w:rsidR="00F05BD5" w:rsidRPr="00EB5D4F" w:rsidRDefault="00F05BD5" w:rsidP="00C6460B">
            <w:pPr>
              <w:autoSpaceDE w:val="0"/>
              <w:autoSpaceDN w:val="0"/>
              <w:adjustRightInd w:val="0"/>
              <w:rPr>
                <w:rFonts w:eastAsiaTheme="minorHAnsi"/>
                <w:sz w:val="20"/>
                <w:szCs w:val="20"/>
                <w:lang w:eastAsia="en-US"/>
              </w:rPr>
            </w:pPr>
            <w:r w:rsidRPr="00EB5D4F">
              <w:rPr>
                <w:rFonts w:eastAsiaTheme="minorHAnsi"/>
                <w:sz w:val="20"/>
                <w:szCs w:val="20"/>
                <w:lang w:eastAsia="en-US"/>
              </w:rPr>
              <w:t>Evidence obtained from well-designed quasi</w:t>
            </w:r>
            <w:r>
              <w:rPr>
                <w:rFonts w:eastAsiaTheme="minorHAnsi"/>
                <w:sz w:val="20"/>
                <w:szCs w:val="20"/>
                <w:lang w:eastAsia="en-US"/>
              </w:rPr>
              <w:t xml:space="preserve"> </w:t>
            </w:r>
            <w:r w:rsidRPr="00EB5D4F">
              <w:rPr>
                <w:rFonts w:eastAsiaTheme="minorHAnsi"/>
                <w:sz w:val="20"/>
                <w:szCs w:val="20"/>
                <w:lang w:eastAsia="en-US"/>
              </w:rPr>
              <w:t>experimental studies (e.g. nonrandomized controlled single-group, pre-post, cohort,</w:t>
            </w:r>
            <w:r>
              <w:rPr>
                <w:rFonts w:eastAsiaTheme="minorHAnsi"/>
                <w:sz w:val="20"/>
                <w:szCs w:val="20"/>
                <w:lang w:eastAsia="en-US"/>
              </w:rPr>
              <w:t xml:space="preserve"> </w:t>
            </w:r>
            <w:r w:rsidRPr="00EB5D4F">
              <w:rPr>
                <w:rFonts w:eastAsiaTheme="minorHAnsi"/>
                <w:sz w:val="20"/>
                <w:szCs w:val="20"/>
                <w:lang w:eastAsia="en-US"/>
              </w:rPr>
              <w:t>time, o</w:t>
            </w:r>
            <w:r>
              <w:rPr>
                <w:rFonts w:eastAsiaTheme="minorHAnsi"/>
                <w:sz w:val="20"/>
                <w:szCs w:val="20"/>
                <w:lang w:eastAsia="en-US"/>
              </w:rPr>
              <w:t>r matched case-control studies)</w:t>
            </w:r>
          </w:p>
        </w:tc>
      </w:tr>
      <w:tr w:rsidR="00F05BD5" w:rsidTr="00C6460B">
        <w:tc>
          <w:tcPr>
            <w:tcW w:w="855" w:type="dxa"/>
          </w:tcPr>
          <w:p w:rsidR="00F05BD5" w:rsidRDefault="00F05BD5" w:rsidP="00C6460B">
            <w:pPr>
              <w:spacing w:line="360" w:lineRule="auto"/>
            </w:pPr>
            <w:r>
              <w:t>IV</w:t>
            </w:r>
          </w:p>
        </w:tc>
        <w:tc>
          <w:tcPr>
            <w:tcW w:w="8357" w:type="dxa"/>
          </w:tcPr>
          <w:p w:rsidR="00F05BD5" w:rsidRPr="00EB5D4F" w:rsidRDefault="00F05BD5" w:rsidP="00C6460B">
            <w:pPr>
              <w:contextualSpacing/>
              <w:rPr>
                <w:sz w:val="20"/>
                <w:szCs w:val="20"/>
              </w:rPr>
            </w:pPr>
            <w:r w:rsidRPr="00EB5D4F">
              <w:rPr>
                <w:rFonts w:eastAsiaTheme="minorHAnsi"/>
                <w:sz w:val="20"/>
                <w:szCs w:val="20"/>
                <w:lang w:eastAsia="en-US"/>
              </w:rPr>
              <w:t>Evidence from well-designed non</w:t>
            </w:r>
            <w:r>
              <w:rPr>
                <w:rFonts w:eastAsiaTheme="minorHAnsi"/>
                <w:sz w:val="20"/>
                <w:szCs w:val="20"/>
                <w:lang w:eastAsia="en-US"/>
              </w:rPr>
              <w:t xml:space="preserve"> </w:t>
            </w:r>
            <w:r w:rsidRPr="00EB5D4F">
              <w:rPr>
                <w:rFonts w:eastAsiaTheme="minorHAnsi"/>
                <w:sz w:val="20"/>
                <w:szCs w:val="20"/>
                <w:lang w:eastAsia="en-US"/>
              </w:rPr>
              <w:t>experimental studies (e.g</w:t>
            </w:r>
            <w:r>
              <w:rPr>
                <w:rFonts w:eastAsiaTheme="minorHAnsi"/>
                <w:sz w:val="20"/>
                <w:szCs w:val="20"/>
                <w:lang w:eastAsia="en-US"/>
              </w:rPr>
              <w:t xml:space="preserve">. comparative and correlational </w:t>
            </w:r>
            <w:r w:rsidRPr="00EB5D4F">
              <w:rPr>
                <w:rFonts w:eastAsiaTheme="minorHAnsi"/>
                <w:sz w:val="20"/>
                <w:szCs w:val="20"/>
                <w:lang w:eastAsia="en-US"/>
              </w:rPr>
              <w:t>descriptive and case studies)</w:t>
            </w:r>
          </w:p>
        </w:tc>
      </w:tr>
      <w:tr w:rsidR="00F05BD5" w:rsidTr="00C6460B">
        <w:tc>
          <w:tcPr>
            <w:tcW w:w="855" w:type="dxa"/>
          </w:tcPr>
          <w:p w:rsidR="00F05BD5" w:rsidRDefault="00F05BD5" w:rsidP="00C6460B">
            <w:pPr>
              <w:spacing w:line="360" w:lineRule="auto"/>
            </w:pPr>
            <w:r>
              <w:t>V</w:t>
            </w:r>
          </w:p>
        </w:tc>
        <w:tc>
          <w:tcPr>
            <w:tcW w:w="8357" w:type="dxa"/>
          </w:tcPr>
          <w:p w:rsidR="00F05BD5" w:rsidRPr="00EB5D4F" w:rsidRDefault="00F05BD5" w:rsidP="00C6460B">
            <w:pPr>
              <w:rPr>
                <w:sz w:val="20"/>
                <w:szCs w:val="20"/>
              </w:rPr>
            </w:pPr>
            <w:r w:rsidRPr="00EB5D4F">
              <w:rPr>
                <w:rFonts w:eastAsiaTheme="minorHAnsi"/>
                <w:sz w:val="20"/>
                <w:szCs w:val="20"/>
                <w:lang w:eastAsia="en-US"/>
              </w:rPr>
              <w:t>Evidence from case reports and clinical examples</w:t>
            </w:r>
          </w:p>
        </w:tc>
      </w:tr>
    </w:tbl>
    <w:p w:rsidR="00F05BD5" w:rsidRDefault="00F05BD5" w:rsidP="00F05BD5">
      <w:pPr>
        <w:spacing w:line="360" w:lineRule="auto"/>
      </w:pPr>
    </w:p>
    <w:tbl>
      <w:tblPr>
        <w:tblStyle w:val="TableGrid"/>
        <w:tblW w:w="0" w:type="auto"/>
        <w:tblLook w:val="04A0" w:firstRow="1" w:lastRow="0" w:firstColumn="1" w:lastColumn="0" w:noHBand="0" w:noVBand="1"/>
      </w:tblPr>
      <w:tblGrid>
        <w:gridCol w:w="823"/>
        <w:gridCol w:w="8395"/>
      </w:tblGrid>
      <w:tr w:rsidR="00F05BD5" w:rsidTr="00C6460B">
        <w:tc>
          <w:tcPr>
            <w:tcW w:w="817" w:type="dxa"/>
          </w:tcPr>
          <w:p w:rsidR="00F05BD5" w:rsidRPr="00E45A4A" w:rsidRDefault="00F05BD5" w:rsidP="00C6460B">
            <w:pPr>
              <w:spacing w:line="360" w:lineRule="auto"/>
              <w:rPr>
                <w:b/>
              </w:rPr>
            </w:pPr>
            <w:r w:rsidRPr="00E45A4A">
              <w:rPr>
                <w:b/>
              </w:rPr>
              <w:t>Grade</w:t>
            </w:r>
          </w:p>
        </w:tc>
        <w:tc>
          <w:tcPr>
            <w:tcW w:w="8395" w:type="dxa"/>
          </w:tcPr>
          <w:p w:rsidR="00F05BD5" w:rsidRDefault="00F05BD5" w:rsidP="00C6460B">
            <w:pPr>
              <w:spacing w:line="360" w:lineRule="auto"/>
            </w:pPr>
          </w:p>
        </w:tc>
      </w:tr>
      <w:tr w:rsidR="00F05BD5" w:rsidTr="00C6460B">
        <w:tc>
          <w:tcPr>
            <w:tcW w:w="817" w:type="dxa"/>
          </w:tcPr>
          <w:p w:rsidR="00F05BD5" w:rsidRDefault="00F05BD5" w:rsidP="00C6460B">
            <w:pPr>
              <w:spacing w:line="360" w:lineRule="auto"/>
            </w:pPr>
            <w:r>
              <w:t>A</w:t>
            </w:r>
          </w:p>
        </w:tc>
        <w:tc>
          <w:tcPr>
            <w:tcW w:w="8395" w:type="dxa"/>
          </w:tcPr>
          <w:p w:rsidR="00F05BD5" w:rsidRPr="00027750" w:rsidRDefault="00F05BD5" w:rsidP="00C6460B">
            <w:pPr>
              <w:rPr>
                <w:sz w:val="20"/>
                <w:szCs w:val="20"/>
              </w:rPr>
            </w:pPr>
            <w:r w:rsidRPr="00027750">
              <w:rPr>
                <w:rFonts w:eastAsiaTheme="minorHAnsi"/>
                <w:sz w:val="20"/>
                <w:szCs w:val="20"/>
                <w:lang w:eastAsia="en-US"/>
              </w:rPr>
              <w:t>Evidence of type I or consistent findings from multiple studies of types II, III or IV</w:t>
            </w:r>
          </w:p>
        </w:tc>
      </w:tr>
      <w:tr w:rsidR="00F05BD5" w:rsidTr="00C6460B">
        <w:tc>
          <w:tcPr>
            <w:tcW w:w="817" w:type="dxa"/>
          </w:tcPr>
          <w:p w:rsidR="00F05BD5" w:rsidRDefault="00F05BD5" w:rsidP="00C6460B">
            <w:pPr>
              <w:spacing w:line="360" w:lineRule="auto"/>
            </w:pPr>
            <w:r>
              <w:t>B</w:t>
            </w:r>
          </w:p>
        </w:tc>
        <w:tc>
          <w:tcPr>
            <w:tcW w:w="8395" w:type="dxa"/>
          </w:tcPr>
          <w:p w:rsidR="00F05BD5" w:rsidRPr="00027750" w:rsidRDefault="00F05BD5" w:rsidP="00C6460B">
            <w:pPr>
              <w:rPr>
                <w:sz w:val="20"/>
                <w:szCs w:val="20"/>
              </w:rPr>
            </w:pPr>
            <w:r w:rsidRPr="00027750">
              <w:rPr>
                <w:rFonts w:eastAsiaTheme="minorHAnsi"/>
                <w:sz w:val="20"/>
                <w:szCs w:val="20"/>
                <w:lang w:eastAsia="en-US"/>
              </w:rPr>
              <w:t>Evidence of II, III or IV; findings are generally consistent</w:t>
            </w:r>
          </w:p>
        </w:tc>
      </w:tr>
      <w:tr w:rsidR="00F05BD5" w:rsidTr="00C6460B">
        <w:tc>
          <w:tcPr>
            <w:tcW w:w="817" w:type="dxa"/>
          </w:tcPr>
          <w:p w:rsidR="00F05BD5" w:rsidRDefault="00F05BD5" w:rsidP="00C6460B">
            <w:pPr>
              <w:spacing w:line="360" w:lineRule="auto"/>
            </w:pPr>
            <w:r>
              <w:t>C</w:t>
            </w:r>
          </w:p>
        </w:tc>
        <w:tc>
          <w:tcPr>
            <w:tcW w:w="8395" w:type="dxa"/>
          </w:tcPr>
          <w:p w:rsidR="00F05BD5" w:rsidRPr="00027750" w:rsidRDefault="00F05BD5" w:rsidP="00C6460B">
            <w:pPr>
              <w:rPr>
                <w:sz w:val="20"/>
                <w:szCs w:val="20"/>
              </w:rPr>
            </w:pPr>
            <w:r w:rsidRPr="00027750">
              <w:rPr>
                <w:rFonts w:eastAsiaTheme="minorHAnsi"/>
                <w:sz w:val="20"/>
                <w:szCs w:val="20"/>
                <w:lang w:eastAsia="en-US"/>
              </w:rPr>
              <w:t>Evidence of II, III or IV; findings are inconsistent</w:t>
            </w:r>
          </w:p>
        </w:tc>
      </w:tr>
      <w:tr w:rsidR="00F05BD5" w:rsidTr="00C6460B">
        <w:tc>
          <w:tcPr>
            <w:tcW w:w="817" w:type="dxa"/>
          </w:tcPr>
          <w:p w:rsidR="00F05BD5" w:rsidRDefault="00F05BD5" w:rsidP="00C6460B">
            <w:pPr>
              <w:spacing w:line="360" w:lineRule="auto"/>
            </w:pPr>
            <w:r>
              <w:t>D</w:t>
            </w:r>
          </w:p>
        </w:tc>
        <w:tc>
          <w:tcPr>
            <w:tcW w:w="8395" w:type="dxa"/>
          </w:tcPr>
          <w:p w:rsidR="00F05BD5" w:rsidRPr="00027750" w:rsidRDefault="00F05BD5" w:rsidP="00C6460B">
            <w:pPr>
              <w:rPr>
                <w:sz w:val="20"/>
                <w:szCs w:val="20"/>
              </w:rPr>
            </w:pPr>
            <w:r w:rsidRPr="00027750">
              <w:rPr>
                <w:rFonts w:eastAsiaTheme="minorHAnsi"/>
                <w:sz w:val="20"/>
                <w:szCs w:val="20"/>
                <w:lang w:eastAsia="en-US"/>
              </w:rPr>
              <w:t>Little or no systematic empiric evidence</w:t>
            </w:r>
          </w:p>
        </w:tc>
      </w:tr>
    </w:tbl>
    <w:p w:rsidR="00F05BD5" w:rsidRDefault="00F05BD5" w:rsidP="00F05BD5">
      <w:pPr>
        <w:spacing w:line="360" w:lineRule="auto"/>
      </w:pPr>
    </w:p>
    <w:p w:rsidR="00F05BD5" w:rsidRDefault="00F05BD5" w:rsidP="00F05BD5">
      <w:pPr>
        <w:spacing w:line="360" w:lineRule="auto"/>
      </w:pPr>
    </w:p>
    <w:p w:rsidR="00F05BD5" w:rsidRDefault="00F05BD5" w:rsidP="00F05BD5">
      <w:pPr>
        <w:spacing w:line="360" w:lineRule="auto"/>
      </w:pPr>
    </w:p>
    <w:p w:rsidR="00F05BD5" w:rsidRDefault="00F05BD5" w:rsidP="00F05BD5">
      <w:pPr>
        <w:spacing w:line="360" w:lineRule="auto"/>
      </w:pPr>
    </w:p>
    <w:p w:rsidR="00F05BD5" w:rsidRDefault="00F05BD5" w:rsidP="00F05BD5">
      <w:pPr>
        <w:spacing w:line="360" w:lineRule="auto"/>
      </w:pPr>
    </w:p>
    <w:p w:rsidR="00F05BD5" w:rsidRDefault="00F05BD5" w:rsidP="00F05BD5">
      <w:pPr>
        <w:spacing w:line="360" w:lineRule="auto"/>
      </w:pPr>
    </w:p>
    <w:p w:rsidR="00F05BD5" w:rsidRDefault="00F05BD5" w:rsidP="00F05BD5">
      <w:pPr>
        <w:spacing w:line="360" w:lineRule="auto"/>
      </w:pPr>
    </w:p>
    <w:p w:rsidR="00F05BD5" w:rsidRDefault="00F05BD5" w:rsidP="00F05BD5">
      <w:pPr>
        <w:spacing w:line="360" w:lineRule="auto"/>
      </w:pPr>
    </w:p>
    <w:p w:rsidR="00F05BD5" w:rsidRDefault="00F05BD5" w:rsidP="00F05BD5">
      <w:pPr>
        <w:spacing w:line="360" w:lineRule="auto"/>
      </w:pPr>
    </w:p>
    <w:p w:rsidR="00F05BD5" w:rsidRDefault="00F05BD5" w:rsidP="00F05BD5">
      <w:pPr>
        <w:spacing w:line="360" w:lineRule="auto"/>
      </w:pPr>
    </w:p>
    <w:p w:rsidR="00F05BD5" w:rsidRDefault="00F05BD5" w:rsidP="00F05BD5">
      <w:pPr>
        <w:spacing w:line="360" w:lineRule="auto"/>
      </w:pPr>
    </w:p>
    <w:p w:rsidR="00F05BD5" w:rsidRDefault="00F05BD5" w:rsidP="00F05BD5">
      <w:pPr>
        <w:spacing w:line="360" w:lineRule="auto"/>
      </w:pPr>
    </w:p>
    <w:p w:rsidR="00F05BD5" w:rsidRDefault="00F05BD5" w:rsidP="00F05BD5">
      <w:pPr>
        <w:spacing w:line="360" w:lineRule="auto"/>
      </w:pPr>
    </w:p>
    <w:p w:rsidR="00F05BD5" w:rsidRDefault="00F05BD5" w:rsidP="00F05BD5">
      <w:pPr>
        <w:spacing w:line="360" w:lineRule="auto"/>
      </w:pPr>
    </w:p>
    <w:p w:rsidR="00F05BD5" w:rsidRDefault="00F05BD5" w:rsidP="00F05BD5">
      <w:pPr>
        <w:spacing w:line="360" w:lineRule="auto"/>
      </w:pPr>
    </w:p>
    <w:p w:rsidR="00F05BD5" w:rsidRPr="003E1902" w:rsidRDefault="00F05BD5" w:rsidP="00F05BD5">
      <w:pPr>
        <w:spacing w:line="360" w:lineRule="auto"/>
        <w:rPr>
          <w:b/>
        </w:rPr>
      </w:pPr>
      <w:r w:rsidRPr="003E1902">
        <w:rPr>
          <w:b/>
        </w:rPr>
        <w:t>Supplement 2</w:t>
      </w:r>
      <w:r w:rsidRPr="003E1902">
        <w:rPr>
          <w:b/>
          <w:color w:val="000000"/>
        </w:rPr>
        <w:t>:</w:t>
      </w:r>
      <w:r w:rsidRPr="003E1902">
        <w:rPr>
          <w:b/>
        </w:rPr>
        <w:t xml:space="preserve"> </w:t>
      </w:r>
      <w:r w:rsidRPr="003E1902">
        <w:rPr>
          <w:rFonts w:cs="Shaker 2 Lancet Regular"/>
          <w:bCs/>
          <w:color w:val="000000"/>
        </w:rPr>
        <w:t>Search strategy and selection criteria</w:t>
      </w:r>
      <w:r w:rsidRPr="003E1902">
        <w:rPr>
          <w:b/>
        </w:rPr>
        <w:t xml:space="preserve">. </w:t>
      </w:r>
    </w:p>
    <w:p w:rsidR="00F05BD5" w:rsidRPr="00D9195B" w:rsidRDefault="00F05BD5" w:rsidP="00F05BD5">
      <w:pPr>
        <w:pStyle w:val="PlainText"/>
        <w:spacing w:line="360" w:lineRule="auto"/>
        <w:rPr>
          <w:sz w:val="24"/>
          <w:szCs w:val="24"/>
          <w:lang w:val="en-US"/>
        </w:rPr>
      </w:pPr>
      <w:r w:rsidRPr="00D9195B">
        <w:rPr>
          <w:rFonts w:asciiTheme="minorHAnsi" w:hAnsiTheme="minorHAnsi" w:cs="Shaker 2 Lancet Regular"/>
          <w:color w:val="000000"/>
          <w:sz w:val="24"/>
          <w:szCs w:val="24"/>
          <w:lang w:val="en-US"/>
        </w:rPr>
        <w:t>We describe the differ</w:t>
      </w:r>
      <w:r>
        <w:rPr>
          <w:rFonts w:asciiTheme="minorHAnsi" w:hAnsiTheme="minorHAnsi" w:cs="Shaker 2 Lancet Regular"/>
          <w:color w:val="000000"/>
          <w:sz w:val="24"/>
          <w:szCs w:val="24"/>
          <w:lang w:val="en-US"/>
        </w:rPr>
        <w:t xml:space="preserve">ent methods used to perform </w:t>
      </w:r>
      <w:proofErr w:type="spellStart"/>
      <w:r>
        <w:rPr>
          <w:rFonts w:asciiTheme="minorHAnsi" w:hAnsiTheme="minorHAnsi" w:cs="Shaker 2 Lancet Regular"/>
          <w:color w:val="000000"/>
          <w:sz w:val="24"/>
          <w:szCs w:val="24"/>
          <w:lang w:val="en-US"/>
        </w:rPr>
        <w:t>FDG</w:t>
      </w:r>
      <w:proofErr w:type="spellEnd"/>
      <w:r>
        <w:rPr>
          <w:rFonts w:asciiTheme="minorHAnsi" w:hAnsiTheme="minorHAnsi" w:cs="Shaker 2 Lancet Regular"/>
          <w:color w:val="000000"/>
          <w:sz w:val="24"/>
          <w:szCs w:val="24"/>
          <w:lang w:val="en-US"/>
        </w:rPr>
        <w:t>-</w:t>
      </w:r>
      <w:r w:rsidRPr="00D9195B">
        <w:rPr>
          <w:rFonts w:asciiTheme="minorHAnsi" w:hAnsiTheme="minorHAnsi" w:cs="Shaker 2 Lancet Regular"/>
          <w:color w:val="000000"/>
          <w:sz w:val="24"/>
          <w:szCs w:val="24"/>
          <w:lang w:val="en-US"/>
        </w:rPr>
        <w:t xml:space="preserve">PET/CT in </w:t>
      </w:r>
      <w:proofErr w:type="spellStart"/>
      <w:r w:rsidRPr="00D9195B">
        <w:rPr>
          <w:rFonts w:asciiTheme="minorHAnsi" w:hAnsiTheme="minorHAnsi" w:cs="Shaker 2 Lancet Regular"/>
          <w:color w:val="000000"/>
          <w:sz w:val="24"/>
          <w:szCs w:val="24"/>
          <w:lang w:val="en-US"/>
        </w:rPr>
        <w:t>LVV</w:t>
      </w:r>
      <w:proofErr w:type="spellEnd"/>
      <w:r w:rsidRPr="00D9195B">
        <w:rPr>
          <w:rFonts w:asciiTheme="minorHAnsi" w:hAnsiTheme="minorHAnsi" w:cs="Shaker 2 Lancet Regular"/>
          <w:color w:val="000000"/>
          <w:sz w:val="24"/>
          <w:szCs w:val="24"/>
          <w:lang w:val="en-US"/>
        </w:rPr>
        <w:t>, in</w:t>
      </w:r>
      <w:r>
        <w:rPr>
          <w:rFonts w:asciiTheme="minorHAnsi" w:hAnsiTheme="minorHAnsi" w:cs="Shaker 2 Lancet Regular"/>
          <w:color w:val="000000"/>
          <w:sz w:val="24"/>
          <w:szCs w:val="24"/>
          <w:lang w:val="en-US"/>
        </w:rPr>
        <w:t xml:space="preserve">cluding </w:t>
      </w:r>
      <w:proofErr w:type="spellStart"/>
      <w:r>
        <w:rPr>
          <w:rFonts w:asciiTheme="minorHAnsi" w:hAnsiTheme="minorHAnsi" w:cs="Shaker 2 Lancet Regular"/>
          <w:color w:val="000000"/>
          <w:sz w:val="24"/>
          <w:szCs w:val="24"/>
          <w:lang w:val="en-US"/>
        </w:rPr>
        <w:t>PMR</w:t>
      </w:r>
      <w:proofErr w:type="spellEnd"/>
      <w:r>
        <w:rPr>
          <w:rFonts w:asciiTheme="minorHAnsi" w:hAnsiTheme="minorHAnsi" w:cs="Shaker 2 Lancet Regular"/>
          <w:color w:val="000000"/>
          <w:sz w:val="24"/>
          <w:szCs w:val="24"/>
          <w:lang w:val="en-US"/>
        </w:rPr>
        <w:t xml:space="preserve"> and the role of </w:t>
      </w:r>
      <w:proofErr w:type="spellStart"/>
      <w:r>
        <w:rPr>
          <w:rFonts w:asciiTheme="minorHAnsi" w:hAnsiTheme="minorHAnsi" w:cs="Shaker 2 Lancet Regular"/>
          <w:color w:val="000000"/>
          <w:sz w:val="24"/>
          <w:szCs w:val="24"/>
          <w:lang w:val="en-US"/>
        </w:rPr>
        <w:t>FDG</w:t>
      </w:r>
      <w:proofErr w:type="spellEnd"/>
      <w:r>
        <w:rPr>
          <w:rFonts w:asciiTheme="minorHAnsi" w:hAnsiTheme="minorHAnsi" w:cs="Shaker 2 Lancet Regular"/>
          <w:color w:val="000000"/>
          <w:sz w:val="24"/>
          <w:szCs w:val="24"/>
          <w:lang w:val="en-US"/>
        </w:rPr>
        <w:t>-</w:t>
      </w:r>
      <w:r w:rsidRPr="00D9195B">
        <w:rPr>
          <w:rFonts w:asciiTheme="minorHAnsi" w:hAnsiTheme="minorHAnsi" w:cs="Shaker 2 Lancet Regular"/>
          <w:color w:val="000000"/>
          <w:sz w:val="24"/>
          <w:szCs w:val="24"/>
          <w:lang w:val="en-US"/>
        </w:rPr>
        <w:t xml:space="preserve">PET/CT in the diagnosis of </w:t>
      </w:r>
      <w:proofErr w:type="spellStart"/>
      <w:r w:rsidRPr="00D9195B">
        <w:rPr>
          <w:rFonts w:asciiTheme="minorHAnsi" w:hAnsiTheme="minorHAnsi" w:cs="Shaker 2 Lancet Regular"/>
          <w:color w:val="000000"/>
          <w:sz w:val="24"/>
          <w:szCs w:val="24"/>
          <w:lang w:val="en-US"/>
        </w:rPr>
        <w:t>LVV</w:t>
      </w:r>
      <w:proofErr w:type="spellEnd"/>
      <w:r w:rsidRPr="00D9195B">
        <w:rPr>
          <w:rFonts w:asciiTheme="minorHAnsi" w:hAnsiTheme="minorHAnsi" w:cs="Shaker 2 Lancet Regular"/>
          <w:color w:val="000000"/>
          <w:sz w:val="24"/>
          <w:szCs w:val="24"/>
          <w:lang w:val="en-US"/>
        </w:rPr>
        <w:t>/</w:t>
      </w:r>
      <w:proofErr w:type="spellStart"/>
      <w:r w:rsidRPr="00D9195B">
        <w:rPr>
          <w:rFonts w:asciiTheme="minorHAnsi" w:hAnsiTheme="minorHAnsi" w:cs="Shaker 2 Lancet Regular"/>
          <w:color w:val="000000"/>
          <w:sz w:val="24"/>
          <w:szCs w:val="24"/>
          <w:lang w:val="en-US"/>
        </w:rPr>
        <w:t>PMR</w:t>
      </w:r>
      <w:proofErr w:type="spellEnd"/>
      <w:r w:rsidRPr="00D9195B">
        <w:rPr>
          <w:rFonts w:asciiTheme="minorHAnsi" w:hAnsiTheme="minorHAnsi" w:cs="Shaker 2 Lancet Regular"/>
          <w:color w:val="000000"/>
          <w:sz w:val="24"/>
          <w:szCs w:val="24"/>
          <w:lang w:val="en-US"/>
        </w:rPr>
        <w:t xml:space="preserve">, assessment of response to therapy, as well as introducing a proposal to standardize image interpretation criteria. </w:t>
      </w:r>
      <w:r w:rsidRPr="00D9195B">
        <w:rPr>
          <w:sz w:val="24"/>
          <w:szCs w:val="24"/>
          <w:lang w:val="en-US"/>
        </w:rPr>
        <w:t>Literature search</w:t>
      </w:r>
      <w:r>
        <w:rPr>
          <w:sz w:val="24"/>
          <w:szCs w:val="24"/>
          <w:lang w:val="en-US"/>
        </w:rPr>
        <w:t xml:space="preserve"> has been performed through PubM</w:t>
      </w:r>
      <w:r w:rsidRPr="00D9195B">
        <w:rPr>
          <w:sz w:val="24"/>
          <w:szCs w:val="24"/>
          <w:lang w:val="en-US"/>
        </w:rPr>
        <w:t>ed database (s</w:t>
      </w:r>
      <w:r>
        <w:rPr>
          <w:sz w:val="24"/>
          <w:szCs w:val="24"/>
          <w:lang w:val="en-US"/>
        </w:rPr>
        <w:t>earch date: from inception to 01.03</w:t>
      </w:r>
      <w:r w:rsidRPr="00D9195B">
        <w:rPr>
          <w:sz w:val="24"/>
          <w:szCs w:val="24"/>
          <w:lang w:val="en-US"/>
        </w:rPr>
        <w:t>.2017) using the following key words combination: ((PET) OR (positron emission tomography) OR (computed tomography) OR (imaging) OR (</w:t>
      </w:r>
      <w:proofErr w:type="spellStart"/>
      <w:r w:rsidRPr="00D9195B">
        <w:rPr>
          <w:sz w:val="24"/>
          <w:szCs w:val="24"/>
          <w:lang w:val="en-US"/>
        </w:rPr>
        <w:t>FDG</w:t>
      </w:r>
      <w:proofErr w:type="spellEnd"/>
      <w:r w:rsidRPr="00D9195B">
        <w:rPr>
          <w:sz w:val="24"/>
          <w:szCs w:val="24"/>
          <w:lang w:val="en-US"/>
        </w:rPr>
        <w:t>) OR (</w:t>
      </w:r>
      <w:proofErr w:type="spellStart"/>
      <w:r w:rsidRPr="00D9195B">
        <w:rPr>
          <w:sz w:val="24"/>
          <w:szCs w:val="24"/>
          <w:lang w:val="en-US"/>
        </w:rPr>
        <w:t>fluorodeoxyglucose</w:t>
      </w:r>
      <w:proofErr w:type="spellEnd"/>
      <w:r w:rsidRPr="00D9195B">
        <w:rPr>
          <w:sz w:val="24"/>
          <w:szCs w:val="24"/>
          <w:lang w:val="en-US"/>
        </w:rPr>
        <w:t>)) AND ((sensitivity) OR (specificity) OR (accuracy) OR (diagnosis) OR (response) OR (monitoring)) AND ((</w:t>
      </w:r>
      <w:proofErr w:type="spellStart"/>
      <w:r w:rsidRPr="00D9195B">
        <w:rPr>
          <w:sz w:val="24"/>
          <w:szCs w:val="24"/>
          <w:lang w:val="en-US"/>
        </w:rPr>
        <w:t>Takayasu</w:t>
      </w:r>
      <w:proofErr w:type="spellEnd"/>
      <w:r w:rsidRPr="00D9195B">
        <w:rPr>
          <w:sz w:val="24"/>
          <w:szCs w:val="24"/>
          <w:lang w:val="en-US"/>
        </w:rPr>
        <w:t>) OR (giant cell) OR (polymyalgia) OR (vasculitis) OR (</w:t>
      </w:r>
      <w:proofErr w:type="spellStart"/>
      <w:r w:rsidRPr="00D9195B">
        <w:rPr>
          <w:sz w:val="24"/>
          <w:szCs w:val="24"/>
          <w:lang w:val="en-US"/>
        </w:rPr>
        <w:t>aortitis</w:t>
      </w:r>
      <w:proofErr w:type="spellEnd"/>
      <w:r w:rsidRPr="00D9195B">
        <w:rPr>
          <w:sz w:val="24"/>
          <w:szCs w:val="24"/>
          <w:lang w:val="en-US"/>
        </w:rPr>
        <w:t>) OR (arteritis)). Only articles in English language were selected. Small case series were excluded.</w:t>
      </w:r>
    </w:p>
    <w:p w:rsidR="00F05BD5" w:rsidRPr="00D9195B" w:rsidRDefault="00F05BD5" w:rsidP="00F05BD5">
      <w:pPr>
        <w:pStyle w:val="PlainText"/>
        <w:spacing w:line="360" w:lineRule="auto"/>
        <w:rPr>
          <w:sz w:val="24"/>
          <w:szCs w:val="24"/>
          <w:lang w:val="en-US"/>
        </w:rPr>
      </w:pPr>
      <w:r w:rsidRPr="00D9195B">
        <w:rPr>
          <w:sz w:val="24"/>
          <w:szCs w:val="24"/>
          <w:lang w:val="en-US"/>
        </w:rPr>
        <w:t>To inform our Review, we asked expert in the field to identify articles using the authors’ own file system</w:t>
      </w:r>
      <w:r>
        <w:rPr>
          <w:sz w:val="24"/>
          <w:szCs w:val="24"/>
          <w:lang w:val="en-US"/>
        </w:rPr>
        <w:t>, on the topics addressed in this paper</w:t>
      </w:r>
      <w:r w:rsidRPr="00D9195B">
        <w:rPr>
          <w:sz w:val="24"/>
          <w:szCs w:val="24"/>
          <w:lang w:val="en-US"/>
        </w:rPr>
        <w:t>.</w:t>
      </w:r>
      <w:r>
        <w:rPr>
          <w:sz w:val="24"/>
          <w:szCs w:val="24"/>
          <w:lang w:val="en-US"/>
        </w:rPr>
        <w:t xml:space="preserve"> </w:t>
      </w:r>
      <w:r w:rsidRPr="00D9195B">
        <w:rPr>
          <w:rFonts w:asciiTheme="minorHAnsi" w:hAnsiTheme="minorHAnsi" w:cs="Shaker 2 Lancet Regular"/>
          <w:color w:val="000000"/>
          <w:sz w:val="24"/>
          <w:szCs w:val="24"/>
          <w:lang w:val="en-US"/>
        </w:rPr>
        <w:t>The final reference list was generated on the basis of originality and relevance to the broad scope of this Review. This Review and the</w:t>
      </w:r>
      <w:r>
        <w:rPr>
          <w:rFonts w:asciiTheme="minorHAnsi" w:hAnsiTheme="minorHAnsi" w:cs="Shaker 2 Lancet Regular"/>
          <w:color w:val="000000"/>
          <w:sz w:val="24"/>
          <w:szCs w:val="24"/>
          <w:lang w:val="en-US"/>
        </w:rPr>
        <w:t xml:space="preserve"> recommendations on the use of </w:t>
      </w:r>
      <w:proofErr w:type="spellStart"/>
      <w:r>
        <w:rPr>
          <w:rFonts w:asciiTheme="minorHAnsi" w:hAnsiTheme="minorHAnsi" w:cs="Shaker 2 Lancet Regular"/>
          <w:color w:val="000000"/>
          <w:sz w:val="24"/>
          <w:szCs w:val="24"/>
          <w:lang w:val="en-US"/>
        </w:rPr>
        <w:t>FDG</w:t>
      </w:r>
      <w:proofErr w:type="spellEnd"/>
      <w:r>
        <w:rPr>
          <w:rFonts w:asciiTheme="minorHAnsi" w:hAnsiTheme="minorHAnsi" w:cs="Shaker 2 Lancet Regular"/>
          <w:color w:val="000000"/>
          <w:sz w:val="24"/>
          <w:szCs w:val="24"/>
          <w:lang w:val="en-US"/>
        </w:rPr>
        <w:t>-</w:t>
      </w:r>
      <w:r w:rsidRPr="00D9195B">
        <w:rPr>
          <w:rFonts w:asciiTheme="minorHAnsi" w:hAnsiTheme="minorHAnsi" w:cs="Shaker 2 Lancet Regular"/>
          <w:color w:val="000000"/>
          <w:sz w:val="24"/>
          <w:szCs w:val="24"/>
          <w:lang w:val="en-US"/>
        </w:rPr>
        <w:t>PET/</w:t>
      </w:r>
      <w:proofErr w:type="gramStart"/>
      <w:r w:rsidRPr="00D9195B">
        <w:rPr>
          <w:rFonts w:asciiTheme="minorHAnsi" w:hAnsiTheme="minorHAnsi" w:cs="Shaker 2 Lancet Regular"/>
          <w:color w:val="000000"/>
          <w:sz w:val="24"/>
          <w:szCs w:val="24"/>
          <w:lang w:val="en-US"/>
        </w:rPr>
        <w:t>CT(</w:t>
      </w:r>
      <w:proofErr w:type="gramEnd"/>
      <w:r w:rsidRPr="00D9195B">
        <w:rPr>
          <w:rFonts w:asciiTheme="minorHAnsi" w:hAnsiTheme="minorHAnsi" w:cs="Shaker 2 Lancet Regular"/>
          <w:color w:val="000000"/>
          <w:sz w:val="24"/>
          <w:szCs w:val="24"/>
          <w:lang w:val="en-US"/>
        </w:rPr>
        <w:t>A) were developed by an interdi</w:t>
      </w:r>
      <w:r>
        <w:rPr>
          <w:rFonts w:asciiTheme="minorHAnsi" w:hAnsiTheme="minorHAnsi" w:cs="Shaker 2 Lancet Regular"/>
          <w:color w:val="000000"/>
          <w:sz w:val="24"/>
          <w:szCs w:val="24"/>
          <w:lang w:val="en-US"/>
        </w:rPr>
        <w:t xml:space="preserve">sciplinary panel of experts on </w:t>
      </w:r>
      <w:proofErr w:type="spellStart"/>
      <w:r>
        <w:rPr>
          <w:rFonts w:asciiTheme="minorHAnsi" w:hAnsiTheme="minorHAnsi" w:cs="Shaker 2 Lancet Regular"/>
          <w:color w:val="000000"/>
          <w:sz w:val="24"/>
          <w:szCs w:val="24"/>
          <w:lang w:val="en-US"/>
        </w:rPr>
        <w:t>FDG</w:t>
      </w:r>
      <w:proofErr w:type="spellEnd"/>
      <w:r>
        <w:rPr>
          <w:rFonts w:asciiTheme="minorHAnsi" w:hAnsiTheme="minorHAnsi" w:cs="Shaker 2 Lancet Regular"/>
          <w:color w:val="000000"/>
          <w:sz w:val="24"/>
          <w:szCs w:val="24"/>
          <w:lang w:val="en-US"/>
        </w:rPr>
        <w:t>-</w:t>
      </w:r>
      <w:r w:rsidRPr="00D9195B">
        <w:rPr>
          <w:rFonts w:asciiTheme="minorHAnsi" w:hAnsiTheme="minorHAnsi" w:cs="Shaker 2 Lancet Regular"/>
          <w:color w:val="000000"/>
          <w:sz w:val="24"/>
          <w:szCs w:val="24"/>
          <w:lang w:val="en-US"/>
        </w:rPr>
        <w:t xml:space="preserve">PET/CT in </w:t>
      </w:r>
      <w:proofErr w:type="spellStart"/>
      <w:r w:rsidRPr="00D9195B">
        <w:rPr>
          <w:rFonts w:asciiTheme="minorHAnsi" w:hAnsiTheme="minorHAnsi" w:cs="Shaker 2 Lancet Regular"/>
          <w:color w:val="000000"/>
          <w:sz w:val="24"/>
          <w:szCs w:val="24"/>
          <w:lang w:val="en-US"/>
        </w:rPr>
        <w:t>LVV</w:t>
      </w:r>
      <w:proofErr w:type="spellEnd"/>
      <w:r w:rsidRPr="00D9195B">
        <w:rPr>
          <w:rFonts w:asciiTheme="minorHAnsi" w:hAnsiTheme="minorHAnsi" w:cs="Shaker 2 Lancet Regular"/>
          <w:color w:val="000000"/>
          <w:sz w:val="24"/>
          <w:szCs w:val="24"/>
          <w:lang w:val="en-US"/>
        </w:rPr>
        <w:t>/</w:t>
      </w:r>
      <w:proofErr w:type="spellStart"/>
      <w:r w:rsidRPr="00D9195B">
        <w:rPr>
          <w:rFonts w:asciiTheme="minorHAnsi" w:hAnsiTheme="minorHAnsi" w:cs="Shaker 2 Lancet Regular"/>
          <w:color w:val="000000"/>
          <w:sz w:val="24"/>
          <w:szCs w:val="24"/>
          <w:lang w:val="en-US"/>
        </w:rPr>
        <w:t>PMR</w:t>
      </w:r>
      <w:proofErr w:type="spellEnd"/>
      <w:r w:rsidRPr="00D9195B">
        <w:rPr>
          <w:rFonts w:asciiTheme="minorHAnsi" w:hAnsiTheme="minorHAnsi" w:cs="Shaker 2 Lancet Regular"/>
          <w:color w:val="000000"/>
          <w:sz w:val="24"/>
          <w:szCs w:val="24"/>
          <w:lang w:val="en-US"/>
        </w:rPr>
        <w:t xml:space="preserve">. Expert consensus was used to propose recommendations in the absence of </w:t>
      </w:r>
      <w:r w:rsidRPr="00891CF4">
        <w:rPr>
          <w:rFonts w:asciiTheme="minorHAnsi" w:hAnsiTheme="minorHAnsi" w:cs="Shaker 2 Lancet Regular"/>
          <w:color w:val="000000"/>
          <w:sz w:val="24"/>
          <w:szCs w:val="24"/>
          <w:lang w:val="en-US"/>
        </w:rPr>
        <w:t>sufficiently robust data. Levels of evidence and grades of recommendations were attributed to the different indications according to published criteria (Supplement 1). The paper was drafted and circulated among all panel members followed by subsequent rounds of revisions until consensus was achieved.</w:t>
      </w:r>
    </w:p>
    <w:p w:rsidR="00F05BD5" w:rsidRDefault="00F05BD5">
      <w:bookmarkStart w:id="0" w:name="_GoBack"/>
      <w:bookmarkEnd w:id="0"/>
    </w:p>
    <w:sectPr w:rsidR="00F05B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haker 2 Lancet Regular">
    <w:altName w:val="Shaker 2 Lancet 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BD5"/>
    <w:rsid w:val="00241F3C"/>
    <w:rsid w:val="00F05BD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05BD5"/>
    <w:pPr>
      <w:spacing w:after="0" w:line="240" w:lineRule="auto"/>
    </w:pPr>
    <w:rPr>
      <w:rFonts w:ascii="Calibri" w:hAnsi="Calibri"/>
      <w:szCs w:val="21"/>
      <w:lang w:val="nl-NL"/>
    </w:rPr>
  </w:style>
  <w:style w:type="character" w:customStyle="1" w:styleId="PlainTextChar">
    <w:name w:val="Plain Text Char"/>
    <w:basedOn w:val="DefaultParagraphFont"/>
    <w:link w:val="PlainText"/>
    <w:uiPriority w:val="99"/>
    <w:rsid w:val="00F05BD5"/>
    <w:rPr>
      <w:rFonts w:ascii="Calibri" w:hAnsi="Calibri"/>
      <w:szCs w:val="21"/>
      <w:lang w:val="nl-NL"/>
    </w:rPr>
  </w:style>
  <w:style w:type="table" w:styleId="TableGrid">
    <w:name w:val="Table Grid"/>
    <w:basedOn w:val="TableNormal"/>
    <w:uiPriority w:val="59"/>
    <w:rsid w:val="00F05BD5"/>
    <w:pPr>
      <w:spacing w:after="0" w:line="240" w:lineRule="auto"/>
    </w:pPr>
    <w:rPr>
      <w:rFonts w:eastAsia="MS Mincho"/>
      <w:sz w:val="24"/>
      <w:szCs w:val="24"/>
      <w:lang w:val="it-IT"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05BD5"/>
    <w:pPr>
      <w:spacing w:after="0" w:line="240" w:lineRule="auto"/>
    </w:pPr>
    <w:rPr>
      <w:rFonts w:ascii="Calibri" w:hAnsi="Calibri"/>
      <w:szCs w:val="21"/>
      <w:lang w:val="nl-NL"/>
    </w:rPr>
  </w:style>
  <w:style w:type="character" w:customStyle="1" w:styleId="PlainTextChar">
    <w:name w:val="Plain Text Char"/>
    <w:basedOn w:val="DefaultParagraphFont"/>
    <w:link w:val="PlainText"/>
    <w:uiPriority w:val="99"/>
    <w:rsid w:val="00F05BD5"/>
    <w:rPr>
      <w:rFonts w:ascii="Calibri" w:hAnsi="Calibri"/>
      <w:szCs w:val="21"/>
      <w:lang w:val="nl-NL"/>
    </w:rPr>
  </w:style>
  <w:style w:type="table" w:styleId="TableGrid">
    <w:name w:val="Table Grid"/>
    <w:basedOn w:val="TableNormal"/>
    <w:uiPriority w:val="59"/>
    <w:rsid w:val="00F05BD5"/>
    <w:pPr>
      <w:spacing w:after="0" w:line="240" w:lineRule="auto"/>
    </w:pPr>
    <w:rPr>
      <w:rFonts w:eastAsia="MS Mincho"/>
      <w:sz w:val="24"/>
      <w:szCs w:val="24"/>
      <w:lang w:val="it-IT"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492</Words>
  <Characters>2810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MMORADOS</dc:creator>
  <cp:lastModifiedBy>MMORADOS</cp:lastModifiedBy>
  <cp:revision>1</cp:revision>
  <dcterms:created xsi:type="dcterms:W3CDTF">2018-02-08T00:45:00Z</dcterms:created>
  <dcterms:modified xsi:type="dcterms:W3CDTF">2018-02-08T00:45:00Z</dcterms:modified>
</cp:coreProperties>
</file>