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86D" w:rsidRPr="00B2286D" w:rsidRDefault="00B2286D" w:rsidP="00B2286D">
      <w:pPr>
        <w:spacing w:line="480" w:lineRule="auto"/>
        <w:jc w:val="both"/>
        <w:rPr>
          <w:rFonts w:ascii="Times New Roman" w:hAnsi="Times New Roman" w:cs="Times New Roman"/>
          <w:b/>
        </w:rPr>
      </w:pPr>
      <w:r w:rsidRPr="00B2286D">
        <w:rPr>
          <w:rFonts w:ascii="Times New Roman" w:hAnsi="Times New Roman" w:cs="Times New Roman"/>
          <w:b/>
        </w:rPr>
        <w:t>SUPPLEMENTARY MATERIALS</w:t>
      </w:r>
    </w:p>
    <w:p w:rsidR="00B2286D" w:rsidRPr="00B2286D" w:rsidRDefault="00B2286D" w:rsidP="00B2286D">
      <w:pPr>
        <w:spacing w:line="480" w:lineRule="auto"/>
        <w:jc w:val="both"/>
        <w:rPr>
          <w:rFonts w:ascii="Times New Roman" w:hAnsi="Times New Roman" w:cs="Times New Roman"/>
          <w:b/>
        </w:rPr>
      </w:pPr>
    </w:p>
    <w:p w:rsidR="00B2286D" w:rsidRPr="00B2286D" w:rsidRDefault="00B2286D" w:rsidP="00B2286D">
      <w:pPr>
        <w:spacing w:line="480" w:lineRule="auto"/>
        <w:rPr>
          <w:rFonts w:ascii="Times New Roman" w:hAnsi="Times New Roman" w:cs="Times New Roman"/>
          <w:b/>
        </w:rPr>
      </w:pPr>
      <w:r w:rsidRPr="00B2286D">
        <w:rPr>
          <w:rFonts w:ascii="Times New Roman" w:hAnsi="Times New Roman" w:cs="Times New Roman"/>
          <w:b/>
        </w:rPr>
        <w:t xml:space="preserve">Supplementary material and methods 1 </w:t>
      </w:r>
      <w:r w:rsidRPr="00B2286D">
        <w:rPr>
          <w:rFonts w:ascii="Times New Roman" w:hAnsi="Times New Roman" w:cs="Times New Roman"/>
          <w:b/>
        </w:rPr>
        <w:tab/>
      </w:r>
    </w:p>
    <w:p w:rsidR="00B2286D" w:rsidRPr="00B2286D" w:rsidRDefault="00B2286D" w:rsidP="00B2286D">
      <w:pPr>
        <w:spacing w:line="480" w:lineRule="auto"/>
        <w:rPr>
          <w:rFonts w:ascii="Times New Roman" w:hAnsi="Times New Roman" w:cs="Times New Roman"/>
        </w:rPr>
      </w:pPr>
      <w:r w:rsidRPr="00B2286D">
        <w:rPr>
          <w:rFonts w:ascii="Times New Roman" w:hAnsi="Times New Roman" w:cs="Times New Roman"/>
        </w:rPr>
        <w:t>DW-MRI and DCE-MRI image analysis</w:t>
      </w:r>
    </w:p>
    <w:p w:rsidR="00B2286D" w:rsidRPr="00B2286D" w:rsidRDefault="00B2286D" w:rsidP="00B2286D">
      <w:pPr>
        <w:spacing w:line="480" w:lineRule="auto"/>
        <w:rPr>
          <w:rFonts w:ascii="Times New Roman" w:hAnsi="Times New Roman" w:cs="Times New Roman"/>
          <w:b/>
        </w:rPr>
      </w:pPr>
    </w:p>
    <w:p w:rsidR="00B2286D" w:rsidRPr="00B2286D" w:rsidRDefault="00B2286D" w:rsidP="00B2286D">
      <w:pPr>
        <w:spacing w:line="480" w:lineRule="auto"/>
        <w:rPr>
          <w:rFonts w:ascii="Times New Roman" w:hAnsi="Times New Roman" w:cs="Times New Roman"/>
          <w:b/>
        </w:rPr>
      </w:pPr>
      <w:r w:rsidRPr="00B2286D">
        <w:rPr>
          <w:rFonts w:ascii="Times New Roman" w:hAnsi="Times New Roman" w:cs="Times New Roman"/>
          <w:b/>
        </w:rPr>
        <w:t xml:space="preserve">Supplementary material and methods 2 </w:t>
      </w:r>
      <w:r w:rsidRPr="00B2286D">
        <w:rPr>
          <w:rFonts w:ascii="Times New Roman" w:hAnsi="Times New Roman" w:cs="Times New Roman"/>
          <w:b/>
        </w:rPr>
        <w:tab/>
      </w:r>
    </w:p>
    <w:p w:rsidR="00B2286D" w:rsidRPr="00B2286D" w:rsidRDefault="00B2286D" w:rsidP="00B2286D">
      <w:pPr>
        <w:spacing w:line="480" w:lineRule="auto"/>
        <w:rPr>
          <w:rFonts w:ascii="Times New Roman" w:hAnsi="Times New Roman" w:cs="Times New Roman"/>
        </w:rPr>
      </w:pPr>
      <w:r w:rsidRPr="00B2286D">
        <w:rPr>
          <w:rFonts w:ascii="Times New Roman" w:hAnsi="Times New Roman" w:cs="Times New Roman"/>
        </w:rPr>
        <w:t>Cytokeratin and blood radioactivity measurements</w:t>
      </w:r>
    </w:p>
    <w:p w:rsidR="00B2286D" w:rsidRPr="00B2286D" w:rsidRDefault="00B2286D" w:rsidP="00B2286D">
      <w:pPr>
        <w:spacing w:line="480" w:lineRule="auto"/>
        <w:rPr>
          <w:rFonts w:ascii="Times New Roman" w:hAnsi="Times New Roman" w:cs="Times New Roman"/>
          <w:b/>
        </w:rPr>
      </w:pPr>
    </w:p>
    <w:p w:rsidR="00B2286D" w:rsidRPr="00B2286D" w:rsidRDefault="00B2286D" w:rsidP="00B2286D">
      <w:pPr>
        <w:spacing w:line="480" w:lineRule="auto"/>
        <w:rPr>
          <w:rFonts w:ascii="Times New Roman" w:hAnsi="Times New Roman" w:cs="Times New Roman"/>
        </w:rPr>
      </w:pPr>
      <w:r w:rsidRPr="00B2286D">
        <w:rPr>
          <w:rFonts w:ascii="Times New Roman" w:hAnsi="Times New Roman" w:cs="Times New Roman"/>
          <w:b/>
        </w:rPr>
        <w:t>Supplementary material and methods 3</w:t>
      </w:r>
      <w:r w:rsidRPr="00B2286D">
        <w:rPr>
          <w:rFonts w:ascii="Times New Roman" w:hAnsi="Times New Roman" w:cs="Times New Roman"/>
        </w:rPr>
        <w:t xml:space="preserve"> </w:t>
      </w:r>
      <w:r w:rsidRPr="00B2286D">
        <w:rPr>
          <w:rFonts w:ascii="Times New Roman" w:hAnsi="Times New Roman" w:cs="Times New Roman"/>
        </w:rPr>
        <w:tab/>
      </w:r>
    </w:p>
    <w:p w:rsidR="00B2286D" w:rsidRPr="00B2286D" w:rsidRDefault="00B2286D" w:rsidP="00B2286D">
      <w:pPr>
        <w:spacing w:line="480" w:lineRule="auto"/>
        <w:rPr>
          <w:rFonts w:ascii="Times New Roman" w:hAnsi="Times New Roman" w:cs="Times New Roman"/>
        </w:rPr>
      </w:pPr>
      <w:r w:rsidRPr="00B2286D">
        <w:rPr>
          <w:rFonts w:ascii="Times New Roman" w:hAnsi="Times New Roman" w:cs="Times New Roman"/>
        </w:rPr>
        <w:t xml:space="preserve">Cleaved (active) Caspase-3 immunohistochemistry </w:t>
      </w:r>
    </w:p>
    <w:p w:rsidR="00B2286D" w:rsidRPr="00B2286D" w:rsidRDefault="00B2286D" w:rsidP="00B2286D">
      <w:pPr>
        <w:spacing w:line="480" w:lineRule="auto"/>
        <w:rPr>
          <w:rFonts w:ascii="Times New Roman" w:hAnsi="Times New Roman" w:cs="Times New Roman"/>
        </w:rPr>
      </w:pPr>
    </w:p>
    <w:p w:rsidR="00B2286D" w:rsidRPr="00B2286D" w:rsidRDefault="00B2286D" w:rsidP="00B2286D">
      <w:pPr>
        <w:spacing w:line="480" w:lineRule="auto"/>
        <w:rPr>
          <w:rFonts w:ascii="Times New Roman" w:hAnsi="Times New Roman" w:cs="Times New Roman"/>
        </w:rPr>
      </w:pPr>
      <w:r w:rsidRPr="00B2286D">
        <w:rPr>
          <w:rFonts w:ascii="Times New Roman" w:hAnsi="Times New Roman" w:cs="Times New Roman"/>
          <w:b/>
        </w:rPr>
        <w:t>Supplementary results</w:t>
      </w:r>
    </w:p>
    <w:p w:rsidR="00B2286D" w:rsidRPr="00B2286D" w:rsidRDefault="00B2286D" w:rsidP="00B2286D">
      <w:pPr>
        <w:keepNext/>
        <w:keepLines/>
        <w:spacing w:before="240" w:line="480" w:lineRule="auto"/>
        <w:jc w:val="both"/>
        <w:outlineLvl w:val="0"/>
        <w:rPr>
          <w:rFonts w:ascii="Times New Roman" w:eastAsiaTheme="majorEastAsia" w:hAnsi="Times New Roman" w:cs="Times New Roman"/>
          <w:b/>
          <w:color w:val="000000" w:themeColor="text1"/>
        </w:rPr>
      </w:pPr>
      <w:r w:rsidRPr="00B2286D">
        <w:rPr>
          <w:rFonts w:ascii="Times New Roman" w:eastAsiaTheme="majorEastAsia" w:hAnsi="Times New Roman" w:cs="Times New Roman"/>
          <w:b/>
          <w:color w:val="000000" w:themeColor="text1"/>
        </w:rPr>
        <w:t>Supplementary figures</w:t>
      </w:r>
    </w:p>
    <w:p w:rsidR="00B2286D" w:rsidRPr="00B2286D" w:rsidRDefault="00B2286D" w:rsidP="00B2286D">
      <w:pPr>
        <w:spacing w:line="480" w:lineRule="auto"/>
        <w:ind w:left="1440" w:hanging="1440"/>
        <w:jc w:val="both"/>
        <w:rPr>
          <w:rFonts w:ascii="Times New Roman" w:hAnsi="Times New Roman" w:cs="Times New Roman"/>
          <w:color w:val="FF0000"/>
        </w:rPr>
      </w:pPr>
      <w:r w:rsidRPr="00B2286D">
        <w:rPr>
          <w:rFonts w:ascii="Times New Roman" w:hAnsi="Times New Roman" w:cs="Times New Roman"/>
          <w:color w:val="FF0000"/>
        </w:rPr>
        <w:t>Fig. S1</w:t>
      </w:r>
      <w:r w:rsidRPr="00B2286D">
        <w:rPr>
          <w:rFonts w:ascii="Times New Roman" w:hAnsi="Times New Roman" w:cs="Times New Roman"/>
          <w:color w:val="FF0000"/>
        </w:rPr>
        <w:tab/>
        <w:t xml:space="preserve">Time-activity curves (mean decay-corrected) </w:t>
      </w:r>
      <w:r w:rsidRPr="00B2286D">
        <w:rPr>
          <w:rFonts w:ascii="Times New Roman" w:hAnsi="Times New Roman" w:cs="Times New Roman"/>
          <w:bCs/>
          <w:color w:val="FF0000"/>
        </w:rPr>
        <w:t>of [</w:t>
      </w:r>
      <w:r w:rsidRPr="00B2286D">
        <w:rPr>
          <w:rFonts w:ascii="Times New Roman" w:hAnsi="Times New Roman" w:cs="Times New Roman"/>
          <w:bCs/>
          <w:color w:val="FF0000"/>
          <w:vertAlign w:val="superscript"/>
        </w:rPr>
        <w:t>18</w:t>
      </w:r>
      <w:r w:rsidRPr="00B2286D">
        <w:rPr>
          <w:rFonts w:ascii="Times New Roman" w:hAnsi="Times New Roman" w:cs="Times New Roman"/>
          <w:bCs/>
          <w:color w:val="FF0000"/>
        </w:rPr>
        <w:t xml:space="preserve">F]ICMT-11 </w:t>
      </w:r>
      <w:r w:rsidRPr="00B2286D">
        <w:rPr>
          <w:rFonts w:ascii="Times New Roman" w:hAnsi="Times New Roman" w:cs="Times New Roman"/>
          <w:color w:val="FF0000"/>
        </w:rPr>
        <w:t>for primary breast tumour and normal organs</w:t>
      </w:r>
    </w:p>
    <w:p w:rsidR="00B2286D" w:rsidRPr="00B2286D" w:rsidRDefault="00B2286D" w:rsidP="00B2286D">
      <w:pPr>
        <w:spacing w:line="480" w:lineRule="auto"/>
        <w:jc w:val="both"/>
        <w:rPr>
          <w:rFonts w:ascii="Times New Roman" w:hAnsi="Times New Roman" w:cs="Times New Roman"/>
          <w:color w:val="FF0000"/>
        </w:rPr>
      </w:pPr>
      <w:r w:rsidRPr="00B2286D">
        <w:rPr>
          <w:rFonts w:ascii="Times New Roman" w:hAnsi="Times New Roman" w:cs="Times New Roman"/>
          <w:color w:val="FF0000"/>
        </w:rPr>
        <w:t xml:space="preserve">Fig. S2 </w:t>
      </w:r>
      <w:r w:rsidRPr="00B2286D">
        <w:rPr>
          <w:rFonts w:ascii="Times New Roman" w:hAnsi="Times New Roman" w:cs="Times New Roman"/>
          <w:color w:val="FF0000"/>
        </w:rPr>
        <w:tab/>
        <w:t xml:space="preserve">CK-18 analysis in all breast patients with M65, M30 and M30/M65 ratios </w:t>
      </w:r>
    </w:p>
    <w:p w:rsidR="00B2286D" w:rsidRPr="00B2286D" w:rsidRDefault="00B2286D" w:rsidP="00B2286D">
      <w:pPr>
        <w:spacing w:line="480" w:lineRule="auto"/>
        <w:jc w:val="both"/>
        <w:rPr>
          <w:rFonts w:ascii="Times New Roman" w:hAnsi="Times New Roman" w:cs="Times New Roman"/>
          <w:color w:val="FF0000"/>
        </w:rPr>
      </w:pPr>
      <w:r w:rsidRPr="00B2286D">
        <w:rPr>
          <w:rFonts w:ascii="Times New Roman" w:hAnsi="Times New Roman" w:cs="Times New Roman"/>
          <w:color w:val="FF0000"/>
        </w:rPr>
        <w:t>Fig. S3</w:t>
      </w:r>
      <w:r w:rsidRPr="00B2286D">
        <w:rPr>
          <w:rFonts w:ascii="Times New Roman" w:hAnsi="Times New Roman" w:cs="Times New Roman"/>
          <w:color w:val="FF0000"/>
        </w:rPr>
        <w:tab/>
      </w:r>
      <w:r w:rsidRPr="00B2286D">
        <w:rPr>
          <w:rFonts w:ascii="Times New Roman" w:hAnsi="Times New Roman" w:cs="Times New Roman"/>
          <w:color w:val="FF0000"/>
        </w:rPr>
        <w:tab/>
        <w:t>Detection of tumour cell death in lung cancer by DW-MRI.</w:t>
      </w:r>
    </w:p>
    <w:p w:rsidR="00B2286D" w:rsidRPr="00B2286D" w:rsidRDefault="00B2286D" w:rsidP="00B2286D">
      <w:pPr>
        <w:keepNext/>
        <w:keepLines/>
        <w:spacing w:before="240" w:line="480" w:lineRule="auto"/>
        <w:jc w:val="both"/>
        <w:outlineLvl w:val="0"/>
        <w:rPr>
          <w:rFonts w:ascii="Times New Roman" w:eastAsiaTheme="majorEastAsia" w:hAnsi="Times New Roman" w:cs="Times New Roman"/>
          <w:b/>
          <w:color w:val="000000" w:themeColor="text1"/>
        </w:rPr>
      </w:pPr>
      <w:r w:rsidRPr="00B2286D">
        <w:rPr>
          <w:rFonts w:ascii="Times New Roman" w:eastAsiaTheme="majorEastAsia" w:hAnsi="Times New Roman" w:cs="Times New Roman"/>
          <w:b/>
          <w:color w:val="000000" w:themeColor="text1"/>
        </w:rPr>
        <w:t>Supplementary tables</w:t>
      </w:r>
    </w:p>
    <w:p w:rsidR="00B2286D" w:rsidRPr="00B2286D" w:rsidRDefault="00B2286D" w:rsidP="00B2286D">
      <w:pPr>
        <w:spacing w:line="480" w:lineRule="auto"/>
        <w:jc w:val="both"/>
        <w:rPr>
          <w:rFonts w:ascii="Times New Roman" w:hAnsi="Times New Roman" w:cs="Times New Roman"/>
          <w:color w:val="FF0000"/>
        </w:rPr>
      </w:pPr>
      <w:r w:rsidRPr="00B2286D">
        <w:rPr>
          <w:rFonts w:ascii="Times New Roman" w:hAnsi="Times New Roman" w:cs="Times New Roman"/>
          <w:color w:val="FF0000"/>
        </w:rPr>
        <w:t>Table S1</w:t>
      </w:r>
      <w:r w:rsidRPr="00B2286D">
        <w:rPr>
          <w:rFonts w:ascii="Times New Roman" w:hAnsi="Times New Roman" w:cs="Times New Roman"/>
          <w:color w:val="FF0000"/>
        </w:rPr>
        <w:tab/>
        <w:t xml:space="preserve">DW-MRI scanning protocol </w:t>
      </w:r>
    </w:p>
    <w:p w:rsidR="00B2286D" w:rsidRPr="00B2286D" w:rsidRDefault="00B2286D" w:rsidP="00B2286D">
      <w:pPr>
        <w:spacing w:line="480" w:lineRule="auto"/>
        <w:ind w:left="1440" w:hanging="1440"/>
        <w:jc w:val="both"/>
        <w:rPr>
          <w:rFonts w:ascii="Times New Roman" w:hAnsi="Times New Roman" w:cs="Times New Roman"/>
          <w:color w:val="FF0000"/>
        </w:rPr>
      </w:pPr>
      <w:r w:rsidRPr="00B2286D">
        <w:rPr>
          <w:rFonts w:ascii="Times New Roman" w:hAnsi="Times New Roman" w:cs="Times New Roman"/>
          <w:color w:val="FF0000"/>
        </w:rPr>
        <w:t xml:space="preserve">Table S2 </w:t>
      </w:r>
      <w:r w:rsidRPr="00B2286D">
        <w:rPr>
          <w:rFonts w:ascii="Times New Roman" w:hAnsi="Times New Roman" w:cs="Times New Roman"/>
          <w:color w:val="FF0000"/>
        </w:rPr>
        <w:tab/>
        <w:t>CK-18 analysis with M65, M30 and M30/M65 ratio pre- and post-chemotherapy</w:t>
      </w:r>
    </w:p>
    <w:p w:rsidR="00B2286D" w:rsidRPr="00B2286D" w:rsidRDefault="00B2286D" w:rsidP="00B2286D">
      <w:pPr>
        <w:spacing w:line="480" w:lineRule="auto"/>
        <w:jc w:val="both"/>
        <w:rPr>
          <w:rFonts w:ascii="Times New Roman" w:hAnsi="Times New Roman" w:cs="Times New Roman"/>
          <w:color w:val="FF0000"/>
        </w:rPr>
      </w:pPr>
      <w:r w:rsidRPr="00B2286D">
        <w:rPr>
          <w:rFonts w:ascii="Times New Roman" w:hAnsi="Times New Roman" w:cs="Times New Roman"/>
          <w:color w:val="FF0000"/>
        </w:rPr>
        <w:t xml:space="preserve">Table S3 </w:t>
      </w:r>
      <w:r w:rsidRPr="00B2286D">
        <w:rPr>
          <w:rFonts w:ascii="Times New Roman" w:hAnsi="Times New Roman" w:cs="Times New Roman"/>
          <w:color w:val="FF0000"/>
        </w:rPr>
        <w:tab/>
        <w:t>DW-MRI ADC Histogram analysis results of lung cancer patients 16 and 17</w:t>
      </w:r>
    </w:p>
    <w:p w:rsidR="00B2286D" w:rsidRPr="00B2286D" w:rsidRDefault="00B2286D" w:rsidP="00B2286D">
      <w:pPr>
        <w:spacing w:line="480" w:lineRule="auto"/>
        <w:jc w:val="both"/>
        <w:rPr>
          <w:rFonts w:ascii="Times New Roman" w:hAnsi="Times New Roman" w:cs="Times New Roman"/>
          <w:color w:val="FF0000"/>
        </w:rPr>
      </w:pPr>
      <w:r w:rsidRPr="00B2286D">
        <w:rPr>
          <w:rFonts w:ascii="Times New Roman" w:hAnsi="Times New Roman" w:cs="Times New Roman"/>
          <w:color w:val="FF0000"/>
        </w:rPr>
        <w:t xml:space="preserve">Table S4 </w:t>
      </w:r>
      <w:r w:rsidRPr="00B2286D">
        <w:rPr>
          <w:rFonts w:ascii="Times New Roman" w:hAnsi="Times New Roman" w:cs="Times New Roman"/>
          <w:color w:val="FF0000"/>
        </w:rPr>
        <w:tab/>
        <w:t>DCE-MRI –Shutter speed model in lung cancer patients</w:t>
      </w:r>
    </w:p>
    <w:p w:rsidR="00B2286D" w:rsidRPr="00B2286D" w:rsidRDefault="00B2286D" w:rsidP="00B2286D">
      <w:pPr>
        <w:spacing w:line="480" w:lineRule="auto"/>
        <w:jc w:val="both"/>
        <w:rPr>
          <w:rFonts w:ascii="Times New Roman" w:hAnsi="Times New Roman" w:cs="Times New Roman"/>
        </w:rPr>
      </w:pP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center"/>
        <w:rPr>
          <w:rFonts w:ascii="Times New Roman" w:hAnsi="Times New Roman" w:cs="Times New Roman"/>
          <w:b/>
        </w:rPr>
      </w:pPr>
      <w:r w:rsidRPr="00B2286D">
        <w:rPr>
          <w:rFonts w:ascii="Times New Roman" w:hAnsi="Times New Roman" w:cs="Times New Roman"/>
          <w:b/>
        </w:rPr>
        <w:lastRenderedPageBreak/>
        <w:t>SUPPLEMENTARY MATERIALS</w:t>
      </w: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both"/>
        <w:rPr>
          <w:rFonts w:ascii="Times New Roman" w:hAnsi="Times New Roman" w:cs="Times New Roman"/>
          <w:b/>
        </w:rPr>
      </w:pPr>
      <w:r w:rsidRPr="00B2286D">
        <w:rPr>
          <w:rFonts w:ascii="Times New Roman" w:hAnsi="Times New Roman" w:cs="Times New Roman"/>
          <w:b/>
        </w:rPr>
        <w:t>Supplementary material and methods 1</w:t>
      </w:r>
    </w:p>
    <w:p w:rsidR="00B2286D" w:rsidRPr="00B2286D" w:rsidRDefault="00B2286D" w:rsidP="00B2286D">
      <w:pPr>
        <w:spacing w:line="480" w:lineRule="auto"/>
        <w:jc w:val="both"/>
        <w:rPr>
          <w:rFonts w:ascii="Times New Roman" w:hAnsi="Times New Roman" w:cs="Times New Roman"/>
          <w:b/>
        </w:rPr>
      </w:pPr>
      <w:r w:rsidRPr="00B2286D">
        <w:rPr>
          <w:rFonts w:ascii="Times New Roman" w:hAnsi="Times New Roman" w:cs="Times New Roman"/>
          <w:b/>
        </w:rPr>
        <w:t>DW-MRI and DCE-MRI image analysis</w:t>
      </w:r>
    </w:p>
    <w:p w:rsidR="00B2286D" w:rsidRPr="00B2286D" w:rsidRDefault="00B2286D" w:rsidP="00B2286D">
      <w:pPr>
        <w:keepNext/>
        <w:keepLines/>
        <w:spacing w:before="240" w:line="480" w:lineRule="auto"/>
        <w:jc w:val="both"/>
        <w:outlineLvl w:val="0"/>
        <w:rPr>
          <w:rFonts w:ascii="Times New Roman" w:eastAsiaTheme="majorEastAsia" w:hAnsi="Times New Roman" w:cs="Times New Roman"/>
          <w:color w:val="000000" w:themeColor="text1"/>
        </w:rPr>
      </w:pPr>
      <w:r w:rsidRPr="00B2286D">
        <w:rPr>
          <w:rFonts w:ascii="Times New Roman" w:eastAsiaTheme="majorEastAsia" w:hAnsi="Times New Roman" w:cs="Times New Roman"/>
          <w:color w:val="000000" w:themeColor="text1"/>
        </w:rPr>
        <w:t xml:space="preserve">Lung MRI was performed on a moving-table 3T system (Siemens Verio with Syngo MR B17, Erlangen, Germany), using the body coil for transmission and a matrix phased array coil as receive coil. Axial slices were acquired during free-breathing for DW-MRI, while DW-MRI slice-matched </w:t>
      </w:r>
      <w:r w:rsidRPr="00B2286D">
        <w:rPr>
          <w:rFonts w:ascii="Times New Roman" w:eastAsiaTheme="majorEastAsia" w:hAnsi="Times New Roman" w:cs="Times New Roman"/>
          <w:i/>
          <w:color w:val="000000" w:themeColor="text1"/>
        </w:rPr>
        <w:t>T</w:t>
      </w:r>
      <w:r w:rsidRPr="00B2286D">
        <w:rPr>
          <w:rFonts w:ascii="Times New Roman" w:eastAsiaTheme="majorEastAsia" w:hAnsi="Times New Roman" w:cs="Times New Roman"/>
          <w:color w:val="000000" w:themeColor="text1"/>
          <w:vertAlign w:val="subscript"/>
        </w:rPr>
        <w:t>2</w:t>
      </w:r>
      <w:r w:rsidRPr="00B2286D">
        <w:rPr>
          <w:rFonts w:ascii="Times New Roman" w:eastAsiaTheme="majorEastAsia" w:hAnsi="Times New Roman" w:cs="Times New Roman"/>
          <w:color w:val="000000" w:themeColor="text1"/>
        </w:rPr>
        <w:t>-w imaging was also performed. Dynamic contrast enhanced MRI (DCE-MRI) was performed on the sagittal plane using a VIBE acquisition (0.1mmol/Kg) DOTAREM® (Supplementary Table S1).</w:t>
      </w:r>
      <w:r w:rsidRPr="00B2286D">
        <w:rPr>
          <w:rFonts w:ascii="Times New Roman" w:eastAsiaTheme="majorEastAsia" w:hAnsi="Times New Roman" w:cs="Times New Roman"/>
          <w:b/>
          <w:color w:val="000000" w:themeColor="text1"/>
        </w:rPr>
        <w:t xml:space="preserve"> </w:t>
      </w:r>
    </w:p>
    <w:p w:rsidR="00B2286D" w:rsidRPr="00B2286D" w:rsidRDefault="00B2286D" w:rsidP="00B2286D">
      <w:pPr>
        <w:spacing w:line="480" w:lineRule="auto"/>
        <w:jc w:val="both"/>
        <w:rPr>
          <w:rFonts w:ascii="Times New Roman" w:hAnsi="Times New Roman" w:cs="Times New Roman"/>
        </w:rPr>
      </w:pPr>
      <w:r w:rsidRPr="00B2286D">
        <w:rPr>
          <w:rFonts w:ascii="Times New Roman" w:hAnsi="Times New Roman" w:cs="Times New Roman"/>
        </w:rPr>
        <w:t xml:space="preserve">     ADC maps were generated in Matlab 15a (The MathWorks</w:t>
      </w:r>
      <w:r w:rsidRPr="00B2286D">
        <w:rPr>
          <w:rFonts w:ascii="Times New Roman" w:hAnsi="Times New Roman" w:cs="Times New Roman"/>
          <w:vertAlign w:val="superscript"/>
        </w:rPr>
        <w:t>(R)</w:t>
      </w:r>
      <w:r w:rsidRPr="00B2286D">
        <w:rPr>
          <w:rFonts w:ascii="Times New Roman" w:hAnsi="Times New Roman" w:cs="Times New Roman"/>
        </w:rPr>
        <w:t xml:space="preserve">) using monoexponential, non-linear fittings to the equation: </w:t>
      </w:r>
      <w:r w:rsidRPr="00B2286D">
        <w:rPr>
          <w:rFonts w:ascii="Times New Roman" w:hAnsi="Times New Roman" w:cs="Times New Roman"/>
          <w:i/>
        </w:rPr>
        <w:t>S</w:t>
      </w:r>
      <w:r w:rsidRPr="00B2286D">
        <w:rPr>
          <w:rFonts w:ascii="Times New Roman" w:hAnsi="Times New Roman" w:cs="Times New Roman"/>
        </w:rPr>
        <w:t>=</w:t>
      </w:r>
      <w:r w:rsidRPr="00B2286D">
        <w:rPr>
          <w:rFonts w:ascii="Times New Roman" w:hAnsi="Times New Roman" w:cs="Times New Roman"/>
          <w:i/>
        </w:rPr>
        <w:t>S</w:t>
      </w:r>
      <w:r w:rsidRPr="00B2286D">
        <w:rPr>
          <w:rFonts w:ascii="Times New Roman" w:hAnsi="Times New Roman" w:cs="Times New Roman"/>
          <w:vertAlign w:val="subscript"/>
        </w:rPr>
        <w:t>0</w:t>
      </w:r>
      <w:r w:rsidRPr="00B2286D">
        <w:rPr>
          <w:rFonts w:ascii="Times New Roman" w:hAnsi="Times New Roman" w:cs="Times New Roman"/>
        </w:rPr>
        <w:t>·exp(-</w:t>
      </w:r>
      <w:r w:rsidRPr="00B2286D">
        <w:rPr>
          <w:rFonts w:ascii="Times New Roman" w:hAnsi="Times New Roman" w:cs="Times New Roman"/>
          <w:i/>
        </w:rPr>
        <w:t>b</w:t>
      </w:r>
      <w:r w:rsidRPr="00B2286D">
        <w:rPr>
          <w:rFonts w:ascii="Times New Roman" w:hAnsi="Times New Roman" w:cs="Times New Roman"/>
        </w:rPr>
        <w:t xml:space="preserve">·ADC) and all ten </w:t>
      </w:r>
      <w:r w:rsidRPr="00B2286D">
        <w:rPr>
          <w:rFonts w:ascii="Times New Roman" w:hAnsi="Times New Roman" w:cs="Times New Roman"/>
          <w:i/>
        </w:rPr>
        <w:t>b</w:t>
      </w:r>
      <w:r w:rsidRPr="00B2286D">
        <w:rPr>
          <w:rFonts w:ascii="Times New Roman" w:hAnsi="Times New Roman" w:cs="Times New Roman"/>
        </w:rPr>
        <w:t>-values (0, 10, 20, 30, 50, 80, 100, 150, 400 and 800 s/mm</w:t>
      </w:r>
      <w:r w:rsidRPr="00B2286D">
        <w:rPr>
          <w:rFonts w:ascii="Times New Roman" w:hAnsi="Times New Roman" w:cs="Times New Roman"/>
          <w:vertAlign w:val="superscript"/>
        </w:rPr>
        <w:t>2</w:t>
      </w:r>
      <w:r w:rsidRPr="00B2286D">
        <w:rPr>
          <w:rFonts w:ascii="Times New Roman" w:hAnsi="Times New Roman" w:cs="Times New Roman"/>
        </w:rPr>
        <w:t xml:space="preserve">). ADC values are expressed in </w:t>
      </w:r>
      <w:r w:rsidRPr="00B2286D">
        <w:rPr>
          <w:rFonts w:ascii="Times New Roman" w:hAnsi="Times New Roman" w:cs="Times New Roman"/>
          <w:lang w:val="el-GR"/>
        </w:rPr>
        <w:t>μ</w:t>
      </w:r>
      <w:r w:rsidRPr="00B2286D">
        <w:rPr>
          <w:rFonts w:ascii="Times New Roman" w:hAnsi="Times New Roman" w:cs="Times New Roman"/>
        </w:rPr>
        <w:t>m</w:t>
      </w:r>
      <w:r w:rsidRPr="00B2286D">
        <w:rPr>
          <w:rFonts w:ascii="Times New Roman" w:hAnsi="Times New Roman" w:cs="Times New Roman"/>
          <w:vertAlign w:val="superscript"/>
        </w:rPr>
        <w:t>2</w:t>
      </w:r>
      <w:r w:rsidRPr="00B2286D">
        <w:rPr>
          <w:rFonts w:ascii="Times New Roman" w:hAnsi="Times New Roman" w:cs="Times New Roman"/>
        </w:rPr>
        <w:t xml:space="preserve">/s. For voxels in which the ADC calculation software failed to converge or returned negative values, the ADC value was set to zero. </w:t>
      </w:r>
    </w:p>
    <w:p w:rsidR="00B2286D" w:rsidRPr="00B2286D" w:rsidRDefault="00B2286D" w:rsidP="00B2286D">
      <w:pPr>
        <w:spacing w:line="480" w:lineRule="auto"/>
        <w:jc w:val="both"/>
        <w:rPr>
          <w:rFonts w:ascii="Times New Roman" w:hAnsi="Times New Roman" w:cs="Times New Roman"/>
        </w:rPr>
      </w:pPr>
      <w:r w:rsidRPr="00B2286D">
        <w:rPr>
          <w:rFonts w:ascii="Times New Roman" w:hAnsi="Times New Roman" w:cs="Times New Roman"/>
        </w:rPr>
        <w:t xml:space="preserve">     All parametric maps were saved in DICOM format and imported into MIPAV image processing software (Medical Image Processing, Analysis and Visualisation, National Institutes of Health, US), where the regions of interest (ROIs) were drawn, with consideration to avoid regions affected by artefacts and partial volume effects. Multiple-slice ROIs were used (i.e. volumes of interest-VOIs), as opposed to single-slice ones for the analysis, to avoid observer bias and reduce ADC measurement variability </w:t>
      </w:r>
      <w:r w:rsidRPr="00B2286D">
        <w:rPr>
          <w:rFonts w:ascii="Times New Roman" w:hAnsi="Times New Roman" w:cs="Times New Roman"/>
        </w:rPr>
        <w:fldChar w:fldCharType="begin"/>
      </w:r>
      <w:r w:rsidRPr="00B2286D">
        <w:rPr>
          <w:rFonts w:ascii="Times New Roman" w:hAnsi="Times New Roman" w:cs="Times New Roman"/>
        </w:rPr>
        <w:instrText xml:space="preserve"> ADDIN EN.CITE &lt;EndNote&gt;&lt;Cite&gt;&lt;Author&gt;Miquel&lt;/Author&gt;&lt;Year&gt;2012&lt;/Year&gt;&lt;RecNum&gt;696&lt;/RecNum&gt;&lt;DisplayText&gt;[47]&lt;/DisplayText&gt;&lt;record&gt;&lt;rec-number&gt;696&lt;/rec-number&gt;&lt;foreign-keys&gt;&lt;key app="EN" db-id="pv5xad0wddp0afevfr0vp2v2xzdxx2rwttev" timestamp="1512340041"&gt;696&lt;/key&gt;&lt;/foreign-keys&gt;&lt;ref-type name="Journal Article"&gt;17&lt;/ref-type&gt;&lt;contributors&gt;&lt;authors&gt;&lt;author&gt;Miquel, M E&lt;/author&gt;&lt;author&gt;Scott, A D&lt;/author&gt;&lt;author&gt;Macdougall, N D&lt;/author&gt;&lt;author&gt;Boubertakh, R&lt;/author&gt;&lt;author&gt;Bharwani, N&lt;/author&gt;&lt;author&gt;Rockall, A G&lt;/author&gt;&lt;/authors&gt;&lt;/contributors&gt;&lt;titles&gt;&lt;title&gt;In vitro and in vivo repeatability of abdominal diffusion-weighted MRI&lt;/title&gt;&lt;secondary-title&gt;British Journal of Radiology&lt;/secondary-title&gt;&lt;/titles&gt;&lt;periodical&gt;&lt;full-title&gt;British Journal of Radiology&lt;/full-title&gt;&lt;/periodical&gt;&lt;pages&gt;1507-1512&lt;/pages&gt;&lt;volume&gt;85&lt;/volume&gt;&lt;dates&gt;&lt;year&gt;2012&lt;/year&gt;&lt;pub-dates&gt;&lt;date&gt;June 6, 2012&lt;/date&gt;&lt;/pub-dates&gt;&lt;/dates&gt;&lt;urls&gt;&lt;related-urls&gt;&lt;url&gt;http://bjr.birjournals.org/content/early/2012/06/06/bjr.32269440.abstract&lt;/url&gt;&lt;/related-urls&gt;&lt;/urls&gt;&lt;electronic-resource-num&gt;10.1259/bjr/32269440&lt;/electronic-resource-num&gt;&lt;/record&gt;&lt;/Cite&gt;&lt;/EndNote&gt;</w:instrText>
      </w:r>
      <w:r w:rsidRPr="00B2286D">
        <w:rPr>
          <w:rFonts w:ascii="Times New Roman" w:hAnsi="Times New Roman" w:cs="Times New Roman"/>
        </w:rPr>
        <w:fldChar w:fldCharType="separate"/>
      </w:r>
      <w:r w:rsidRPr="00B2286D">
        <w:rPr>
          <w:rFonts w:ascii="Times New Roman" w:hAnsi="Times New Roman" w:cs="Times New Roman"/>
          <w:noProof/>
        </w:rPr>
        <w:t>[47]</w:t>
      </w:r>
      <w:r w:rsidRPr="00B2286D">
        <w:rPr>
          <w:rFonts w:ascii="Times New Roman" w:hAnsi="Times New Roman" w:cs="Times New Roman"/>
        </w:rPr>
        <w:fldChar w:fldCharType="end"/>
      </w:r>
      <w:r w:rsidRPr="00B2286D">
        <w:rPr>
          <w:rFonts w:ascii="Times New Roman" w:hAnsi="Times New Roman" w:cs="Times New Roman"/>
        </w:rPr>
        <w:t xml:space="preserve">. Volumetric assessment is also expected to capture lesion heterogeneity more effectively than single-slice assessment and, as a result, is better suited for voxel-wise characterisation with histogram analysis. VOIs were drawn by an MRI physicist (IL) on the </w:t>
      </w:r>
      <w:r w:rsidRPr="00B2286D">
        <w:rPr>
          <w:rFonts w:ascii="Times New Roman" w:hAnsi="Times New Roman" w:cs="Times New Roman"/>
          <w:i/>
        </w:rPr>
        <w:t>b</w:t>
      </w:r>
      <w:r w:rsidRPr="00B2286D">
        <w:rPr>
          <w:rFonts w:ascii="Times New Roman" w:hAnsi="Times New Roman" w:cs="Times New Roman"/>
        </w:rPr>
        <w:t>=800 s/mm</w:t>
      </w:r>
      <w:r w:rsidRPr="00B2286D">
        <w:rPr>
          <w:rFonts w:ascii="Times New Roman" w:hAnsi="Times New Roman" w:cs="Times New Roman"/>
          <w:vertAlign w:val="superscript"/>
        </w:rPr>
        <w:t>2</w:t>
      </w:r>
      <w:r w:rsidRPr="00B2286D">
        <w:rPr>
          <w:rFonts w:ascii="Times New Roman" w:hAnsi="Times New Roman" w:cs="Times New Roman"/>
        </w:rPr>
        <w:t xml:space="preserve"> images and then copied to the ADC maps. Histogram analysis was then performed using in-house software developed in Matlab 15a (The </w:t>
      </w:r>
      <w:r w:rsidRPr="00B2286D">
        <w:rPr>
          <w:rFonts w:ascii="Times New Roman" w:hAnsi="Times New Roman" w:cs="Times New Roman"/>
        </w:rPr>
        <w:lastRenderedPageBreak/>
        <w:t>MathWorks</w:t>
      </w:r>
      <w:r w:rsidRPr="00B2286D">
        <w:rPr>
          <w:rFonts w:ascii="Times New Roman" w:hAnsi="Times New Roman" w:cs="Times New Roman"/>
          <w:vertAlign w:val="superscript"/>
        </w:rPr>
        <w:t>(R)</w:t>
      </w:r>
      <w:r w:rsidRPr="00B2286D">
        <w:rPr>
          <w:rFonts w:ascii="Times New Roman" w:hAnsi="Times New Roman" w:cs="Times New Roman"/>
        </w:rPr>
        <w:t>), to calculate mean, skewness, kurtosis, 25</w:t>
      </w:r>
      <w:r w:rsidRPr="00B2286D">
        <w:rPr>
          <w:rFonts w:ascii="Times New Roman" w:hAnsi="Times New Roman" w:cs="Times New Roman"/>
          <w:vertAlign w:val="superscript"/>
        </w:rPr>
        <w:t>th</w:t>
      </w:r>
      <w:r w:rsidRPr="00B2286D">
        <w:rPr>
          <w:rFonts w:ascii="Times New Roman" w:hAnsi="Times New Roman" w:cs="Times New Roman"/>
        </w:rPr>
        <w:t>, 50</w:t>
      </w:r>
      <w:r w:rsidRPr="00B2286D">
        <w:rPr>
          <w:rFonts w:ascii="Times New Roman" w:hAnsi="Times New Roman" w:cs="Times New Roman"/>
          <w:vertAlign w:val="superscript"/>
        </w:rPr>
        <w:t>th</w:t>
      </w:r>
      <w:r w:rsidRPr="00B2286D">
        <w:rPr>
          <w:rFonts w:ascii="Times New Roman" w:hAnsi="Times New Roman" w:cs="Times New Roman"/>
        </w:rPr>
        <w:t xml:space="preserve"> and 75</w:t>
      </w:r>
      <w:r w:rsidRPr="00B2286D">
        <w:rPr>
          <w:rFonts w:ascii="Times New Roman" w:hAnsi="Times New Roman" w:cs="Times New Roman"/>
          <w:vertAlign w:val="superscript"/>
        </w:rPr>
        <w:t>th</w:t>
      </w:r>
      <w:r w:rsidRPr="00B2286D">
        <w:rPr>
          <w:rFonts w:ascii="Times New Roman" w:hAnsi="Times New Roman" w:cs="Times New Roman"/>
        </w:rPr>
        <w:t xml:space="preserve"> percentiles. Voxels with zero ADC values were excluded from the analysis. </w:t>
      </w:r>
    </w:p>
    <w:p w:rsidR="00B2286D" w:rsidRPr="00B2286D" w:rsidRDefault="00B2286D" w:rsidP="00B2286D">
      <w:pPr>
        <w:spacing w:line="480" w:lineRule="auto"/>
        <w:jc w:val="both"/>
        <w:rPr>
          <w:rFonts w:ascii="Times New Roman" w:hAnsi="Times New Roman" w:cs="Times New Roman"/>
          <w:lang w:val="en-US"/>
        </w:rPr>
      </w:pPr>
      <w:r w:rsidRPr="00B2286D">
        <w:rPr>
          <w:rFonts w:ascii="Times New Roman" w:hAnsi="Times New Roman" w:cs="Times New Roman"/>
        </w:rPr>
        <w:t xml:space="preserve">     </w:t>
      </w:r>
      <w:r w:rsidRPr="00B2286D">
        <w:rPr>
          <w:rFonts w:ascii="Times New Roman" w:hAnsi="Times New Roman" w:cs="Times New Roman"/>
          <w:color w:val="FF0000"/>
        </w:rPr>
        <w:t xml:space="preserve">For DCE-MRI, </w:t>
      </w:r>
      <w:r w:rsidRPr="00B2286D">
        <w:rPr>
          <w:rFonts w:ascii="Times New Roman" w:hAnsi="Times New Roman" w:cs="Times New Roman"/>
          <w:color w:val="FF0000"/>
          <w:lang w:val="en-US"/>
        </w:rPr>
        <w:t>the shutter speed model was used</w:t>
      </w:r>
      <w:r w:rsidRPr="00B2286D">
        <w:rPr>
          <w:rFonts w:ascii="Times New Roman" w:hAnsi="Times New Roman" w:cs="Times New Roman"/>
          <w:lang w:val="en-US"/>
        </w:rPr>
        <w:t>. relaxation rate at baseline (</w:t>
      </w:r>
      <w:r w:rsidRPr="00B2286D">
        <w:rPr>
          <w:rFonts w:ascii="Times New Roman" w:hAnsi="Times New Roman" w:cs="Times New Roman"/>
          <w:i/>
          <w:lang w:val="en-US"/>
        </w:rPr>
        <w:t>R</w:t>
      </w:r>
      <w:r w:rsidRPr="00B2286D">
        <w:rPr>
          <w:rFonts w:ascii="Times New Roman" w:hAnsi="Times New Roman" w:cs="Times New Roman"/>
          <w:i/>
          <w:vertAlign w:val="subscript"/>
          <w:lang w:val="en-US"/>
        </w:rPr>
        <w:t>10</w:t>
      </w:r>
      <w:r w:rsidRPr="00B2286D">
        <w:rPr>
          <w:rFonts w:ascii="Times New Roman" w:hAnsi="Times New Roman" w:cs="Times New Roman"/>
          <w:lang w:val="en-US"/>
        </w:rPr>
        <w:t>) and relaxed signal (</w:t>
      </w:r>
      <w:r w:rsidRPr="00B2286D">
        <w:rPr>
          <w:rFonts w:ascii="Times New Roman" w:hAnsi="Times New Roman" w:cs="Times New Roman"/>
          <w:i/>
          <w:lang w:val="en-US"/>
        </w:rPr>
        <w:t>M</w:t>
      </w:r>
      <w:r w:rsidRPr="00B2286D">
        <w:rPr>
          <w:rFonts w:ascii="Times New Roman" w:hAnsi="Times New Roman" w:cs="Times New Roman"/>
          <w:i/>
          <w:vertAlign w:val="subscript"/>
          <w:lang w:val="en-US"/>
        </w:rPr>
        <w:t>0</w:t>
      </w:r>
      <w:r w:rsidRPr="00B2286D">
        <w:rPr>
          <w:rFonts w:ascii="Times New Roman" w:hAnsi="Times New Roman" w:cs="Times New Roman"/>
          <w:lang w:val="en-US"/>
        </w:rPr>
        <w:t xml:space="preserve">) were calculated, as 3dimensional maps, with the Ernst formula (assuming the echo time (TE)&lt;&lt; the transverse relaxation time (T2*)) using the set of spoiled gradient recalled echo (SPGRE) pre-contrast images acquired at different flip angles </w:t>
      </w:r>
      <w:r w:rsidRPr="00B2286D">
        <w:rPr>
          <w:rFonts w:ascii="Times New Roman" w:hAnsi="Times New Roman" w:cs="Times New Roman"/>
          <w:lang w:val="en-US"/>
        </w:rPr>
        <w:fldChar w:fldCharType="begin"/>
      </w:r>
      <w:r w:rsidRPr="00B2286D">
        <w:rPr>
          <w:rFonts w:ascii="Times New Roman" w:hAnsi="Times New Roman" w:cs="Times New Roman"/>
          <w:lang w:val="en-US"/>
        </w:rPr>
        <w:instrText xml:space="preserve"> ADDIN EN.CITE &lt;EndNote&gt;&lt;Cite&gt;&lt;Author&gt;Yuan&lt;/Author&gt;&lt;Year&gt;2012&lt;/Year&gt;&lt;RecNum&gt;697&lt;/RecNum&gt;&lt;DisplayText&gt;[48]&lt;/DisplayText&gt;&lt;record&gt;&lt;rec-number&gt;697&lt;/rec-number&gt;&lt;foreign-keys&gt;&lt;key app="EN" db-id="pv5xad0wddp0afevfr0vp2v2xzdxx2rwttev" timestamp="1512340041"&gt;697&lt;/key&gt;&lt;/foreign-keys&gt;&lt;ref-type name="Journal Article"&gt;17&lt;/ref-type&gt;&lt;contributors&gt;&lt;authors&gt;&lt;author&gt;Yuan, J.&lt;/author&gt;&lt;author&gt;Chow, S. K.&lt;/author&gt;&lt;author&gt;Yeung, D. K.&lt;/author&gt;&lt;author&gt;Ahuja, A. T.&lt;/author&gt;&lt;author&gt;King, A. D.&lt;/author&gt;&lt;/authors&gt;&lt;/contributors&gt;&lt;auth-address&gt;Department of Imaging and Interventional Radiology, The Chinese University of Hong Kong, Shatin, New Territories, Hong Kong, China.&lt;/auth-address&gt;&lt;titles&gt;&lt;title&gt;Quantitative evaluation of dual-flip-angle T1 mapping on DCE-MRI kinetic parameter estimation in head and neck&lt;/title&gt;&lt;secondary-title&gt;Quant Imaging Med Surg&lt;/secondary-title&gt;&lt;/titles&gt;&lt;periodical&gt;&lt;full-title&gt;Quant Imaging Med Surg&lt;/full-title&gt;&lt;/periodical&gt;&lt;pages&gt;245-53&lt;/pages&gt;&lt;volume&gt;2&lt;/volume&gt;&lt;number&gt;4&lt;/number&gt;&lt;keywords&gt;&lt;keyword&gt;Dce-mri&lt;/keyword&gt;&lt;keyword&gt;T1 mapping&lt;/keyword&gt;&lt;keyword&gt;Tofts model&lt;/keyword&gt;&lt;keyword&gt;dual-flip-angle method&lt;/keyword&gt;&lt;keyword&gt;head and neck&lt;/keyword&gt;&lt;/keywords&gt;&lt;dates&gt;&lt;year&gt;2012&lt;/year&gt;&lt;pub-dates&gt;&lt;date&gt;Dec&lt;/date&gt;&lt;/pub-dates&gt;&lt;/dates&gt;&lt;isbn&gt;2223-4292 (Print)&amp;#xD;2223-4306 (Linking)&lt;/isbn&gt;&lt;accession-num&gt;23289084&lt;/accession-num&gt;&lt;urls&gt;&lt;related-urls&gt;&lt;url&gt;https://www.ncbi.nlm.nih.gov/pubmed/23289084&lt;/url&gt;&lt;/related-urls&gt;&lt;/urls&gt;&lt;custom2&gt;PMC3533599&lt;/custom2&gt;&lt;electronic-resource-num&gt;10.3978/j.issn.2223-4292.2012.11.04&lt;/electronic-resource-num&gt;&lt;/record&gt;&lt;/Cite&gt;&lt;/EndNote&gt;</w:instrText>
      </w:r>
      <w:r w:rsidRPr="00B2286D">
        <w:rPr>
          <w:rFonts w:ascii="Times New Roman" w:hAnsi="Times New Roman" w:cs="Times New Roman"/>
          <w:lang w:val="en-US"/>
        </w:rPr>
        <w:fldChar w:fldCharType="separate"/>
      </w:r>
      <w:r w:rsidRPr="00B2286D">
        <w:rPr>
          <w:rFonts w:ascii="Times New Roman" w:hAnsi="Times New Roman" w:cs="Times New Roman"/>
          <w:noProof/>
          <w:lang w:val="en-US"/>
        </w:rPr>
        <w:t>[48]</w:t>
      </w:r>
      <w:r w:rsidRPr="00B2286D">
        <w:rPr>
          <w:rFonts w:ascii="Times New Roman" w:hAnsi="Times New Roman" w:cs="Times New Roman"/>
          <w:lang w:val="en-US"/>
        </w:rPr>
        <w:fldChar w:fldCharType="end"/>
      </w:r>
      <w:r w:rsidRPr="00B2286D">
        <w:rPr>
          <w:rFonts w:ascii="Times New Roman" w:hAnsi="Times New Roman" w:cs="Times New Roman"/>
          <w:lang w:val="en-US"/>
        </w:rPr>
        <w:t>.</w:t>
      </w:r>
    </w:p>
    <w:p w:rsidR="00B2286D" w:rsidRPr="00B2286D" w:rsidRDefault="00A46615" w:rsidP="00B2286D">
      <w:pPr>
        <w:spacing w:line="480" w:lineRule="auto"/>
        <w:jc w:val="center"/>
        <w:rPr>
          <w:rFonts w:ascii="Times New Roman" w:hAnsi="Times New Roman" w:cs="Times New Roman"/>
          <w:lang w:val="en-US"/>
        </w:rPr>
      </w:pPr>
      <w:r w:rsidRPr="00A46615">
        <w:rPr>
          <w:rFonts w:ascii="Times New Roman" w:hAnsi="Times New Roman" w:cs="Times New Roman"/>
          <w:noProof/>
          <w:lang w:val="en-US"/>
        </w:rPr>
        <w:object w:dxaOrig="3519" w:dyaOrig="800" w14:anchorId="01BD2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 style="width:158pt;height:37pt;mso-width-percent:0;mso-height-percent:0;mso-width-percent:0;mso-height-percent:0" o:ole="">
            <v:imagedata r:id="rId5" o:title=""/>
          </v:shape>
          <o:OLEObject Type="Embed" ProgID="Equation.3" ShapeID="_x0000_i1056" DrawAspect="Content" ObjectID="_1588245632" r:id="rId6"/>
        </w:object>
      </w:r>
    </w:p>
    <w:p w:rsidR="00B2286D" w:rsidRPr="00B2286D" w:rsidRDefault="00B2286D" w:rsidP="00B2286D">
      <w:pPr>
        <w:spacing w:line="480" w:lineRule="auto"/>
        <w:jc w:val="both"/>
        <w:rPr>
          <w:rFonts w:ascii="Times New Roman" w:hAnsi="Times New Roman" w:cs="Times New Roman"/>
          <w:lang w:val="en-US"/>
        </w:rPr>
      </w:pPr>
      <w:r w:rsidRPr="00B2286D">
        <w:rPr>
          <w:rFonts w:ascii="Times New Roman" w:hAnsi="Times New Roman" w:cs="Times New Roman"/>
          <w:lang w:val="en-US"/>
        </w:rPr>
        <w:t>where</w:t>
      </w:r>
      <w:r w:rsidR="00A46615" w:rsidRPr="00A46615">
        <w:rPr>
          <w:rFonts w:ascii="Times New Roman" w:hAnsi="Times New Roman" w:cs="Times New Roman"/>
          <w:noProof/>
          <w:lang w:val="it-IT"/>
        </w:rPr>
        <w:object w:dxaOrig="279" w:dyaOrig="360" w14:anchorId="0E3CBDB5">
          <v:shape id="_x0000_i1055" type="#_x0000_t75" alt="" style="width:14pt;height:22pt;mso-width-percent:0;mso-height-percent:0;mso-width-percent:0;mso-height-percent:0" o:ole="">
            <v:imagedata r:id="rId7" o:title=""/>
          </v:shape>
          <o:OLEObject Type="Embed" ProgID="Equation.3" ShapeID="_x0000_i1055" DrawAspect="Content" ObjectID="_1588245633" r:id="rId8"/>
        </w:object>
      </w:r>
      <w:r w:rsidRPr="00B2286D">
        <w:rPr>
          <w:rFonts w:ascii="Times New Roman" w:hAnsi="Times New Roman" w:cs="Times New Roman"/>
          <w:lang w:val="en-US"/>
        </w:rPr>
        <w:t>is the i</w:t>
      </w:r>
      <w:r w:rsidRPr="00B2286D">
        <w:rPr>
          <w:rFonts w:ascii="Times New Roman" w:hAnsi="Times New Roman" w:cs="Times New Roman"/>
          <w:vertAlign w:val="superscript"/>
          <w:lang w:val="en-US"/>
        </w:rPr>
        <w:t>th</w:t>
      </w:r>
      <w:r w:rsidRPr="00B2286D">
        <w:rPr>
          <w:rFonts w:ascii="Times New Roman" w:hAnsi="Times New Roman" w:cs="Times New Roman"/>
          <w:lang w:val="en-US"/>
        </w:rPr>
        <w:t xml:space="preserve"> flip angle and assumes values belonging to [2, 4, 8, 10, 14, 18, 22, 26] and</w:t>
      </w:r>
      <w:r w:rsidR="00A46615" w:rsidRPr="00A46615">
        <w:rPr>
          <w:rFonts w:ascii="Times New Roman" w:hAnsi="Times New Roman" w:cs="Times New Roman"/>
          <w:noProof/>
          <w:lang w:val="it-IT"/>
        </w:rPr>
        <w:object w:dxaOrig="279" w:dyaOrig="340" w14:anchorId="68A0260C">
          <v:shape id="_x0000_i1054" type="#_x0000_t75" alt="" style="width:14pt;height:14pt;mso-width-percent:0;mso-height-percent:0;mso-width-percent:0;mso-height-percent:0" o:ole="">
            <v:imagedata r:id="rId9" o:title=""/>
          </v:shape>
          <o:OLEObject Type="Embed" ProgID="Equation.3" ShapeID="_x0000_i1054" DrawAspect="Content" ObjectID="_1588245634" r:id="rId10"/>
        </w:object>
      </w:r>
      <w:r w:rsidRPr="00B2286D">
        <w:rPr>
          <w:rFonts w:ascii="Times New Roman" w:hAnsi="Times New Roman" w:cs="Times New Roman"/>
          <w:lang w:val="en-US"/>
        </w:rPr>
        <w:t xml:space="preserve"> is the repetition time set to 3.6 ms. The quantitative pharmacokinetic analysis of MRI contrast reagent bolus-tracking data were then modeled by the shutter speed pharmacokinetic model.</w:t>
      </w:r>
    </w:p>
    <w:p w:rsidR="00B2286D" w:rsidRPr="00B2286D" w:rsidRDefault="00B2286D" w:rsidP="00B2286D">
      <w:pPr>
        <w:spacing w:line="480" w:lineRule="auto"/>
        <w:jc w:val="both"/>
        <w:rPr>
          <w:rFonts w:ascii="Times New Roman" w:hAnsi="Times New Roman" w:cs="Times New Roman"/>
          <w:b/>
          <w:lang w:val="en-US"/>
        </w:rPr>
      </w:pPr>
    </w:p>
    <w:p w:rsidR="00B2286D" w:rsidRPr="00B2286D" w:rsidRDefault="00B2286D" w:rsidP="00B2286D">
      <w:pPr>
        <w:spacing w:line="480" w:lineRule="auto"/>
        <w:jc w:val="both"/>
        <w:rPr>
          <w:rFonts w:ascii="Times New Roman" w:hAnsi="Times New Roman" w:cs="Times New Roman"/>
          <w:b/>
          <w:lang w:val="en-US"/>
        </w:rPr>
      </w:pPr>
      <w:r w:rsidRPr="00B2286D">
        <w:rPr>
          <w:rFonts w:ascii="Times New Roman" w:hAnsi="Times New Roman" w:cs="Times New Roman"/>
          <w:b/>
          <w:lang w:val="en-US"/>
        </w:rPr>
        <w:t xml:space="preserve">The shutter speed model </w:t>
      </w:r>
    </w:p>
    <w:p w:rsidR="00B2286D" w:rsidRPr="00B2286D" w:rsidRDefault="00B2286D" w:rsidP="00B2286D">
      <w:pPr>
        <w:spacing w:line="480" w:lineRule="auto"/>
        <w:jc w:val="both"/>
        <w:rPr>
          <w:rFonts w:ascii="Times New Roman" w:hAnsi="Times New Roman" w:cs="Times New Roman"/>
          <w:lang w:val="en-US"/>
        </w:rPr>
      </w:pPr>
      <w:r w:rsidRPr="00B2286D">
        <w:rPr>
          <w:rFonts w:ascii="Times New Roman" w:hAnsi="Times New Roman" w:cs="Times New Roman"/>
          <w:lang w:val="en-US"/>
        </w:rPr>
        <w:t>Shutter speed model</w:t>
      </w:r>
      <w:r w:rsidRPr="00B2286D">
        <w:rPr>
          <w:rFonts w:ascii="Times New Roman" w:hAnsi="Times New Roman" w:cs="Times New Roman"/>
          <w:b/>
          <w:i/>
          <w:lang w:val="en-US"/>
        </w:rPr>
        <w:t xml:space="preserve"> </w:t>
      </w:r>
      <w:r w:rsidRPr="00B2286D">
        <w:rPr>
          <w:rFonts w:ascii="Times New Roman" w:hAnsi="Times New Roman" w:cs="Times New Roman"/>
          <w:lang w:val="en-US"/>
        </w:rPr>
        <w:t>accounts for finite transcytolemmal water exchange kinetics providing an additional pharmacokinetic parameter</w:t>
      </w:r>
      <w:r w:rsidRPr="00B2286D">
        <w:rPr>
          <w:rFonts w:ascii="Times New Roman" w:hAnsi="Times New Roman" w:cs="Times New Roman"/>
          <w:lang w:val="it-IT"/>
        </w:rPr>
        <w:t>: the mean intracellular water molecule lifetime (</w:t>
      </w:r>
      <w:r w:rsidR="00A46615" w:rsidRPr="00A46615">
        <w:rPr>
          <w:rFonts w:ascii="Times New Roman" w:hAnsi="Times New Roman" w:cs="Times New Roman"/>
          <w:noProof/>
          <w:lang w:val="it-IT"/>
        </w:rPr>
        <w:object w:dxaOrig="220" w:dyaOrig="360" w14:anchorId="582FB630">
          <v:shape id="_x0000_i1053" type="#_x0000_t75" alt="" style="width:11pt;height:22pt;mso-width-percent:0;mso-height-percent:0;mso-width-percent:0;mso-height-percent:0" o:ole="">
            <v:imagedata r:id="rId11" o:title=""/>
          </v:shape>
          <o:OLEObject Type="Embed" ProgID="Equation.3" ShapeID="_x0000_i1053" DrawAspect="Content" ObjectID="_1588245635" r:id="rId12"/>
        </w:object>
      </w:r>
      <w:r w:rsidRPr="00B2286D">
        <w:rPr>
          <w:rFonts w:ascii="Times New Roman" w:hAnsi="Times New Roman" w:cs="Times New Roman"/>
          <w:noProof/>
          <w:lang w:val="it-IT"/>
        </w:rPr>
        <w:t>)</w:t>
      </w:r>
      <w:r w:rsidRPr="00B2286D">
        <w:rPr>
          <w:rFonts w:ascii="Times New Roman" w:hAnsi="Times New Roman" w:cs="Times New Roman"/>
          <w:lang w:val="en-US"/>
        </w:rPr>
        <w:t xml:space="preserve">. It admits the system to leave the fast exchange limit (FXL), at rising values of concentration of the contrast media, and to enter the fast exchange regime (FXR), where the longitudinal </w:t>
      </w:r>
      <w:r w:rsidRPr="00B2286D">
        <w:rPr>
          <w:rFonts w:ascii="Times New Roman" w:hAnsi="Times New Roman" w:cs="Times New Roman"/>
          <w:lang w:val="it-IT"/>
        </w:rPr>
        <w:t xml:space="preserve">water </w:t>
      </w:r>
      <w:r w:rsidRPr="00B2286D">
        <w:rPr>
          <w:rFonts w:ascii="Times New Roman" w:hAnsi="Times New Roman" w:cs="Times New Roman"/>
          <w:lang w:val="en-US"/>
        </w:rPr>
        <w:t xml:space="preserve">relaxation is characterized by a bi-exponential decay and the dependence between </w:t>
      </w:r>
      <w:r w:rsidR="00A46615" w:rsidRPr="00A46615">
        <w:rPr>
          <w:rFonts w:ascii="Times New Roman" w:hAnsi="Times New Roman" w:cs="Times New Roman"/>
          <w:noProof/>
          <w:position w:val="-10"/>
          <w:lang w:val="it-IT"/>
        </w:rPr>
        <w:object w:dxaOrig="279" w:dyaOrig="340" w14:anchorId="2F9E0EE2">
          <v:shape id="_x0000_i1052" type="#_x0000_t75" alt="" style="width:14pt;height:14pt;mso-width-percent:0;mso-height-percent:0;mso-width-percent:0;mso-height-percent:0" o:ole="">
            <v:imagedata r:id="rId13" o:title=""/>
          </v:shape>
          <o:OLEObject Type="Embed" ProgID="Equation.3" ShapeID="_x0000_i1052" DrawAspect="Content" ObjectID="_1588245636" r:id="rId14"/>
        </w:object>
      </w:r>
      <w:r w:rsidRPr="00B2286D">
        <w:rPr>
          <w:rFonts w:ascii="Times New Roman" w:hAnsi="Times New Roman" w:cs="Times New Roman"/>
          <w:lang w:val="en-US"/>
        </w:rPr>
        <w:t xml:space="preserve"> and concentration of contrast reagent, [CR], is no more linear:</w:t>
      </w:r>
    </w:p>
    <w:p w:rsidR="00B2286D" w:rsidRPr="00B2286D" w:rsidRDefault="00A46615" w:rsidP="00B2286D">
      <w:pPr>
        <w:spacing w:line="480" w:lineRule="auto"/>
        <w:jc w:val="center"/>
        <w:rPr>
          <w:rFonts w:ascii="Times New Roman" w:hAnsi="Times New Roman" w:cs="Times New Roman"/>
        </w:rPr>
      </w:pPr>
      <w:r w:rsidRPr="00A46615">
        <w:rPr>
          <w:rFonts w:ascii="Times New Roman" w:hAnsi="Times New Roman" w:cs="Times New Roman"/>
          <w:noProof/>
          <w:lang w:val="en-US"/>
        </w:rPr>
        <w:object w:dxaOrig="6920" w:dyaOrig="760" w14:anchorId="6E891651">
          <v:shape id="_x0000_i1051" type="#_x0000_t75" alt="" style="width:322pt;height:36pt;mso-width-percent:0;mso-height-percent:0;mso-width-percent:0;mso-height-percent:0" o:ole="">
            <v:imagedata r:id="rId15" o:title=""/>
          </v:shape>
          <o:OLEObject Type="Embed" ProgID="Equation.3" ShapeID="_x0000_i1051" DrawAspect="Content" ObjectID="_1588245637" r:id="rId16"/>
        </w:object>
      </w:r>
    </w:p>
    <w:p w:rsidR="00B2286D" w:rsidRPr="00B2286D" w:rsidRDefault="00A46615" w:rsidP="00B2286D">
      <w:pPr>
        <w:spacing w:line="480" w:lineRule="auto"/>
        <w:jc w:val="both"/>
        <w:rPr>
          <w:rFonts w:ascii="Times New Roman" w:hAnsi="Times New Roman" w:cs="Times New Roman"/>
          <w:lang w:val="en-US"/>
        </w:rPr>
      </w:pPr>
      <w:r w:rsidRPr="00A46615">
        <w:rPr>
          <w:rFonts w:ascii="Times New Roman" w:hAnsi="Times New Roman" w:cs="Times New Roman"/>
          <w:noProof/>
          <w:lang w:val="it-IT"/>
        </w:rPr>
        <w:object w:dxaOrig="320" w:dyaOrig="360" w14:anchorId="159B6335">
          <v:shape id="_x0000_i1050" type="#_x0000_t75" alt="" style="width:14pt;height:14pt;mso-width-percent:0;mso-height-percent:0;mso-width-percent:0;mso-height-percent:0" o:ole="">
            <v:imagedata r:id="rId17" o:title=""/>
          </v:shape>
          <o:OLEObject Type="Embed" ProgID="Equation.3" ShapeID="_x0000_i1050" DrawAspect="Content" ObjectID="_1588245638" r:id="rId18"/>
        </w:object>
      </w:r>
      <w:r w:rsidR="00B2286D" w:rsidRPr="00B2286D">
        <w:rPr>
          <w:rFonts w:ascii="Times New Roman" w:hAnsi="Times New Roman" w:cs="Times New Roman"/>
          <w:lang w:val="it-IT"/>
        </w:rPr>
        <w:t xml:space="preserve"> </w:t>
      </w:r>
      <w:r w:rsidR="00B2286D" w:rsidRPr="00B2286D">
        <w:rPr>
          <w:rFonts w:ascii="Times New Roman" w:hAnsi="Times New Roman" w:cs="Times New Roman"/>
          <w:lang w:val="en-US"/>
        </w:rPr>
        <w:t xml:space="preserve">is the </w:t>
      </w:r>
      <w:r w:rsidR="00B2286D" w:rsidRPr="00B2286D">
        <w:rPr>
          <w:rFonts w:ascii="Times New Roman" w:hAnsi="Times New Roman" w:cs="Times New Roman"/>
          <w:lang w:val="it-IT"/>
        </w:rPr>
        <w:t xml:space="preserve">water </w:t>
      </w:r>
      <w:r w:rsidR="00B2286D" w:rsidRPr="00B2286D">
        <w:rPr>
          <w:rFonts w:ascii="Times New Roman" w:hAnsi="Times New Roman" w:cs="Times New Roman"/>
          <w:lang w:val="en-US"/>
        </w:rPr>
        <w:t xml:space="preserve">rate constant in the absence of exchange, </w:t>
      </w:r>
      <w:r w:rsidRPr="00A46615">
        <w:rPr>
          <w:rFonts w:ascii="Times New Roman" w:hAnsi="Times New Roman" w:cs="Times New Roman"/>
          <w:noProof/>
          <w:lang w:val="it-IT"/>
        </w:rPr>
        <w:object w:dxaOrig="279" w:dyaOrig="360" w14:anchorId="11C41C52">
          <v:shape id="_x0000_i1049" type="#_x0000_t75" alt="" style="width:6pt;height:14pt;mso-width-percent:0;mso-height-percent:0;mso-width-percent:0;mso-height-percent:0" o:ole="">
            <v:imagedata r:id="rId19" o:title=""/>
          </v:shape>
          <o:OLEObject Type="Embed" ProgID="Equation.3" ShapeID="_x0000_i1049" DrawAspect="Content" ObjectID="_1588245639" r:id="rId20"/>
        </w:object>
      </w:r>
      <w:r w:rsidR="00B2286D" w:rsidRPr="00B2286D">
        <w:rPr>
          <w:rFonts w:ascii="Times New Roman" w:hAnsi="Times New Roman" w:cs="Times New Roman"/>
          <w:lang w:val="en-US"/>
        </w:rPr>
        <w:t xml:space="preserve"> is the interstitial CR relaxivity, </w:t>
      </w:r>
      <w:r w:rsidRPr="00A46615">
        <w:rPr>
          <w:rFonts w:ascii="Times New Roman" w:hAnsi="Times New Roman" w:cs="Times New Roman"/>
          <w:noProof/>
          <w:lang w:val="it-IT"/>
        </w:rPr>
        <w:object w:dxaOrig="300" w:dyaOrig="360" w14:anchorId="4792D08F">
          <v:shape id="_x0000_i1048" type="#_x0000_t75" alt="" style="width:14pt;height:14pt;mso-width-percent:0;mso-height-percent:0;mso-width-percent:0;mso-height-percent:0" o:ole="">
            <v:imagedata r:id="rId21" o:title=""/>
          </v:shape>
          <o:OLEObject Type="Embed" ProgID="Equation.3" ShapeID="_x0000_i1048" DrawAspect="Content" ObjectID="_1588245640" r:id="rId22"/>
        </w:object>
      </w:r>
      <w:r w:rsidR="00B2286D" w:rsidRPr="00B2286D">
        <w:rPr>
          <w:rFonts w:ascii="Times New Roman" w:hAnsi="Times New Roman" w:cs="Times New Roman"/>
          <w:lang w:val="en-US"/>
        </w:rPr>
        <w:t>is the fraction of the extracellular tissue water</w:t>
      </w:r>
      <w:r w:rsidR="00B2286D" w:rsidRPr="00B2286D">
        <w:rPr>
          <w:rFonts w:ascii="Times New Roman" w:hAnsi="Times New Roman" w:cs="Times New Roman"/>
          <w:lang w:val="it-IT"/>
        </w:rPr>
        <w:t xml:space="preserve"> and </w:t>
      </w:r>
      <w:r w:rsidRPr="00A46615">
        <w:rPr>
          <w:rFonts w:ascii="Times New Roman" w:hAnsi="Times New Roman" w:cs="Times New Roman"/>
          <w:noProof/>
          <w:lang w:val="it-IT"/>
        </w:rPr>
        <w:object w:dxaOrig="220" w:dyaOrig="360" w14:anchorId="50C7EB88">
          <v:shape id="_x0000_i1047" type="#_x0000_t75" alt="" style="width:14pt;height:22pt;mso-width-percent:0;mso-height-percent:0;mso-width-percent:0;mso-height-percent:0" o:ole="">
            <v:imagedata r:id="rId11" o:title=""/>
          </v:shape>
          <o:OLEObject Type="Embed" ProgID="Equation.3" ShapeID="_x0000_i1047" DrawAspect="Content" ObjectID="_1588245641" r:id="rId23"/>
        </w:object>
      </w:r>
      <w:r w:rsidR="00B2286D" w:rsidRPr="00B2286D">
        <w:rPr>
          <w:rFonts w:ascii="Times New Roman" w:hAnsi="Times New Roman" w:cs="Times New Roman"/>
          <w:lang w:val="en-US"/>
        </w:rPr>
        <w:t xml:space="preserve"> is the mean intracellular water molecule lifetime [s].</w:t>
      </w:r>
    </w:p>
    <w:p w:rsidR="00B2286D" w:rsidRPr="00B2286D" w:rsidRDefault="00B2286D" w:rsidP="00B2286D">
      <w:pPr>
        <w:spacing w:line="480" w:lineRule="auto"/>
        <w:jc w:val="both"/>
        <w:rPr>
          <w:rFonts w:ascii="Times New Roman" w:hAnsi="Times New Roman" w:cs="Times New Roman"/>
          <w:lang w:val="en-US"/>
        </w:rPr>
      </w:pPr>
      <w:r w:rsidRPr="00B2286D">
        <w:rPr>
          <w:rFonts w:ascii="Times New Roman" w:hAnsi="Times New Roman" w:cs="Times New Roman"/>
          <w:lang w:val="en-US"/>
        </w:rPr>
        <w:t xml:space="preserve">     The time course of the contrast agent cannot be directly measured by the MRI experiment. Therefore, the Kety pharmacokinetic rate law is usually incorporated into the model in order to obtain the rate constants.</w:t>
      </w:r>
    </w:p>
    <w:p w:rsidR="00B2286D" w:rsidRPr="00B2286D" w:rsidRDefault="00A46615" w:rsidP="00B2286D">
      <w:pPr>
        <w:spacing w:line="480" w:lineRule="auto"/>
        <w:jc w:val="center"/>
        <w:rPr>
          <w:rFonts w:ascii="Times New Roman" w:hAnsi="Times New Roman" w:cs="Times New Roman"/>
          <w:lang w:val="en-US"/>
        </w:rPr>
      </w:pPr>
      <w:r w:rsidRPr="00A46615">
        <w:rPr>
          <w:rFonts w:ascii="Times New Roman" w:hAnsi="Times New Roman" w:cs="Times New Roman"/>
          <w:noProof/>
          <w:lang w:val="en-US"/>
        </w:rPr>
        <w:object w:dxaOrig="3879" w:dyaOrig="760" w14:anchorId="403E8A9A">
          <v:shape id="_x0000_i1046" type="#_x0000_t75" alt="" style="width:187pt;height:36pt;mso-width-percent:0;mso-height-percent:0;mso-width-percent:0;mso-height-percent:0" o:ole="">
            <v:imagedata r:id="rId24" o:title=""/>
          </v:shape>
          <o:OLEObject Type="Embed" ProgID="Equation.3" ShapeID="_x0000_i1046" DrawAspect="Content" ObjectID="_1588245642" r:id="rId25"/>
        </w:object>
      </w:r>
    </w:p>
    <w:p w:rsidR="00B2286D" w:rsidRPr="00B2286D" w:rsidRDefault="00A46615" w:rsidP="00B2286D">
      <w:pPr>
        <w:spacing w:line="480" w:lineRule="auto"/>
        <w:jc w:val="both"/>
        <w:rPr>
          <w:rFonts w:ascii="Times New Roman" w:hAnsi="Times New Roman" w:cs="Times New Roman"/>
          <w:lang w:val="en-US"/>
        </w:rPr>
      </w:pPr>
      <w:r w:rsidRPr="00A46615">
        <w:rPr>
          <w:rFonts w:ascii="Times New Roman" w:hAnsi="Times New Roman" w:cs="Times New Roman"/>
          <w:noProof/>
          <w:lang w:val="it-IT"/>
        </w:rPr>
        <w:object w:dxaOrig="580" w:dyaOrig="300" w14:anchorId="5DC19671">
          <v:shape id="_x0000_i1045" type="#_x0000_t75" alt="" style="width:29pt;height:14pt;mso-width-percent:0;mso-height-percent:0;mso-width-percent:0;mso-height-percent:0" o:ole="">
            <v:imagedata r:id="rId26" o:title=""/>
          </v:shape>
          <o:OLEObject Type="Embed" ProgID="Equation.3" ShapeID="_x0000_i1045" DrawAspect="Content" ObjectID="_1588245643" r:id="rId27"/>
        </w:object>
      </w:r>
      <w:r w:rsidR="00B2286D" w:rsidRPr="00B2286D">
        <w:rPr>
          <w:rFonts w:ascii="Times New Roman" w:hAnsi="Times New Roman" w:cs="Times New Roman"/>
          <w:lang w:val="en-US"/>
        </w:rPr>
        <w:t xml:space="preserve">is the first order rate constant for plasma to interstitium CR transport ([1/min]) and </w:t>
      </w:r>
      <w:r w:rsidRPr="00A46615">
        <w:rPr>
          <w:rFonts w:ascii="Times New Roman" w:hAnsi="Times New Roman" w:cs="Times New Roman"/>
          <w:noProof/>
          <w:lang w:val="it-IT"/>
        </w:rPr>
        <w:object w:dxaOrig="240" w:dyaOrig="360" w14:anchorId="56AC2520">
          <v:shape id="_x0000_i1044" type="#_x0000_t75" alt="" style="width:14pt;height:22pt;mso-width-percent:0;mso-height-percent:0;mso-width-percent:0;mso-height-percent:0" o:ole="">
            <v:imagedata r:id="rId28" o:title=""/>
          </v:shape>
          <o:OLEObject Type="Embed" ProgID="Equation.3" ShapeID="_x0000_i1044" DrawAspect="Content" ObjectID="_1588245644" r:id="rId29"/>
        </w:object>
      </w:r>
      <w:r w:rsidR="00B2286D" w:rsidRPr="00B2286D">
        <w:rPr>
          <w:rFonts w:ascii="Times New Roman" w:hAnsi="Times New Roman" w:cs="Times New Roman"/>
          <w:lang w:val="en-US"/>
        </w:rPr>
        <w:t xml:space="preserve">is a measure of the EES volume fraction. The ratio between </w:t>
      </w:r>
      <w:r w:rsidRPr="00A46615">
        <w:rPr>
          <w:rFonts w:ascii="Times New Roman" w:hAnsi="Times New Roman" w:cs="Times New Roman"/>
          <w:noProof/>
          <w:lang w:val="it-IT"/>
        </w:rPr>
        <w:object w:dxaOrig="580" w:dyaOrig="300" w14:anchorId="4E2C48A7">
          <v:shape id="_x0000_i1043" type="#_x0000_t75" alt="" style="width:29pt;height:14pt;mso-width-percent:0;mso-height-percent:0;mso-width-percent:0;mso-height-percent:0" o:ole="">
            <v:imagedata r:id="rId26" o:title=""/>
          </v:shape>
          <o:OLEObject Type="Embed" ProgID="Equation.3" ShapeID="_x0000_i1043" DrawAspect="Content" ObjectID="_1588245645" r:id="rId30"/>
        </w:object>
      </w:r>
      <w:r w:rsidR="00B2286D" w:rsidRPr="00B2286D">
        <w:rPr>
          <w:rFonts w:ascii="Times New Roman" w:hAnsi="Times New Roman" w:cs="Times New Roman"/>
          <w:lang w:val="it-IT"/>
        </w:rPr>
        <w:t xml:space="preserve"> and </w:t>
      </w:r>
      <w:r w:rsidRPr="00A46615">
        <w:rPr>
          <w:rFonts w:ascii="Times New Roman" w:hAnsi="Times New Roman" w:cs="Times New Roman"/>
          <w:noProof/>
          <w:lang w:val="it-IT"/>
        </w:rPr>
        <w:object w:dxaOrig="240" w:dyaOrig="360" w14:anchorId="61A78E0B">
          <v:shape id="_x0000_i1042" type="#_x0000_t75" alt="" style="width:14pt;height:22pt;mso-width-percent:0;mso-height-percent:0;mso-width-percent:0;mso-height-percent:0" o:ole="">
            <v:imagedata r:id="rId28" o:title=""/>
          </v:shape>
          <o:OLEObject Type="Embed" ProgID="Equation.3" ShapeID="_x0000_i1042" DrawAspect="Content" ObjectID="_1588245646" r:id="rId31"/>
        </w:object>
      </w:r>
      <w:r w:rsidR="00B2286D" w:rsidRPr="00B2286D">
        <w:rPr>
          <w:rFonts w:ascii="Times New Roman" w:hAnsi="Times New Roman" w:cs="Times New Roman"/>
          <w:lang w:val="it-IT"/>
        </w:rPr>
        <w:t xml:space="preserve"> results in the third pharmacokinetic parameter</w:t>
      </w:r>
      <w:r w:rsidRPr="00A46615">
        <w:rPr>
          <w:rFonts w:ascii="Times New Roman" w:hAnsi="Times New Roman" w:cs="Times New Roman"/>
          <w:noProof/>
          <w:lang w:val="it-IT"/>
        </w:rPr>
        <w:object w:dxaOrig="400" w:dyaOrig="380" w14:anchorId="6A6190E2">
          <v:shape id="_x0000_i1041" type="#_x0000_t75" alt="" style="width:22pt;height:22pt;mso-width-percent:0;mso-height-percent:0;mso-width-percent:0;mso-height-percent:0" o:ole="">
            <v:imagedata r:id="rId32" o:title=""/>
          </v:shape>
          <o:OLEObject Type="Embed" ProgID="Equation.3" ShapeID="_x0000_i1041" DrawAspect="Content" ObjectID="_1588245647" r:id="rId33"/>
        </w:object>
      </w:r>
      <w:r w:rsidR="00B2286D" w:rsidRPr="00B2286D">
        <w:rPr>
          <w:rFonts w:ascii="Times New Roman" w:hAnsi="Times New Roman" w:cs="Times New Roman"/>
          <w:lang w:val="it-IT"/>
        </w:rPr>
        <w:t>, that is the back flux rate constant [1/min].</w:t>
      </w:r>
      <w:r w:rsidR="00B2286D" w:rsidRPr="00B2286D">
        <w:rPr>
          <w:rFonts w:ascii="Times New Roman" w:hAnsi="Times New Roman" w:cs="Times New Roman"/>
          <w:lang w:val="en-US"/>
        </w:rPr>
        <w:t xml:space="preserve"> </w:t>
      </w:r>
      <w:r w:rsidRPr="00A46615">
        <w:rPr>
          <w:rFonts w:ascii="Times New Roman" w:hAnsi="Times New Roman" w:cs="Times New Roman"/>
          <w:noProof/>
          <w:lang w:val="it-IT"/>
        </w:rPr>
        <w:object w:dxaOrig="600" w:dyaOrig="360" w14:anchorId="6CAA0744">
          <v:shape id="_x0000_i1040" type="#_x0000_t75" alt="" style="width:22pt;height:14pt;mso-width-percent:0;mso-height-percent:0;mso-width-percent:0;mso-height-percent:0" o:ole="">
            <v:imagedata r:id="rId34" o:title=""/>
          </v:shape>
          <o:OLEObject Type="Embed" ProgID="Equation.3" ShapeID="_x0000_i1040" DrawAspect="Content" ObjectID="_1588245648" r:id="rId35"/>
        </w:object>
      </w:r>
      <w:r w:rsidR="00B2286D" w:rsidRPr="00B2286D">
        <w:rPr>
          <w:rFonts w:ascii="Times New Roman" w:hAnsi="Times New Roman" w:cs="Times New Roman"/>
          <w:lang w:val="it-IT"/>
        </w:rPr>
        <w:t xml:space="preserve"> </w:t>
      </w:r>
      <w:r w:rsidR="00B2286D" w:rsidRPr="00B2286D">
        <w:rPr>
          <w:rFonts w:ascii="Times New Roman" w:hAnsi="Times New Roman" w:cs="Times New Roman"/>
          <w:lang w:val="en-US"/>
        </w:rPr>
        <w:t xml:space="preserve">and </w:t>
      </w:r>
      <w:r w:rsidRPr="00A46615">
        <w:rPr>
          <w:rFonts w:ascii="Times New Roman" w:hAnsi="Times New Roman" w:cs="Times New Roman"/>
          <w:noProof/>
          <w:lang w:val="it-IT"/>
        </w:rPr>
        <w:object w:dxaOrig="620" w:dyaOrig="380" w14:anchorId="73781B45">
          <v:shape id="_x0000_i1039" type="#_x0000_t75" alt="" style="width:29pt;height:14pt;mso-width-percent:0;mso-height-percent:0;mso-width-percent:0;mso-height-percent:0" o:ole="">
            <v:imagedata r:id="rId36" o:title=""/>
          </v:shape>
          <o:OLEObject Type="Embed" ProgID="Equation.3" ShapeID="_x0000_i1039" DrawAspect="Content" ObjectID="_1588245649" r:id="rId37"/>
        </w:object>
      </w:r>
      <w:r w:rsidR="00B2286D" w:rsidRPr="00B2286D">
        <w:rPr>
          <w:rFonts w:ascii="Times New Roman" w:hAnsi="Times New Roman" w:cs="Times New Roman"/>
          <w:lang w:val="en-US"/>
        </w:rPr>
        <w:t xml:space="preserve"> are related to the concentration of CR in the 'outside' space </w:t>
      </w:r>
      <w:r w:rsidRPr="00A46615">
        <w:rPr>
          <w:rFonts w:ascii="Times New Roman" w:hAnsi="Times New Roman" w:cs="Times New Roman"/>
          <w:noProof/>
          <w:lang w:val="it-IT"/>
        </w:rPr>
        <w:object w:dxaOrig="600" w:dyaOrig="360" w14:anchorId="61AFAE4B">
          <v:shape id="_x0000_i1038" type="#_x0000_t75" alt="" style="width:22pt;height:14pt;mso-width-percent:0;mso-height-percent:0;mso-width-percent:0;mso-height-percent:0" o:ole="">
            <v:imagedata r:id="rId34" o:title=""/>
          </v:shape>
          <o:OLEObject Type="Embed" ProgID="Equation.3" ShapeID="_x0000_i1038" DrawAspect="Content" ObjectID="_1588245650" r:id="rId38"/>
        </w:object>
      </w:r>
      <w:r w:rsidR="00B2286D" w:rsidRPr="00B2286D">
        <w:rPr>
          <w:rFonts w:ascii="Times New Roman" w:hAnsi="Times New Roman" w:cs="Times New Roman"/>
          <w:noProof/>
          <w:lang w:val="it-IT"/>
        </w:rPr>
        <w:t xml:space="preserve"> </w:t>
      </w:r>
      <w:r w:rsidR="00B2286D" w:rsidRPr="00B2286D">
        <w:rPr>
          <w:rFonts w:ascii="Times New Roman" w:hAnsi="Times New Roman" w:cs="Times New Roman"/>
          <w:lang w:val="en-US"/>
        </w:rPr>
        <w:t xml:space="preserve">and in the plasma </w:t>
      </w:r>
      <w:r w:rsidRPr="00A46615">
        <w:rPr>
          <w:rFonts w:ascii="Times New Roman" w:hAnsi="Times New Roman" w:cs="Times New Roman"/>
          <w:noProof/>
          <w:lang w:val="it-IT"/>
        </w:rPr>
        <w:object w:dxaOrig="620" w:dyaOrig="380" w14:anchorId="43320207">
          <v:shape id="_x0000_i1037" type="#_x0000_t75" alt="" style="width:29pt;height:14pt;mso-width-percent:0;mso-height-percent:0;mso-width-percent:0;mso-height-percent:0" o:ole="">
            <v:imagedata r:id="rId36" o:title=""/>
          </v:shape>
          <o:OLEObject Type="Embed" ProgID="Equation.3" ShapeID="_x0000_i1037" DrawAspect="Content" ObjectID="_1588245651" r:id="rId39"/>
        </w:object>
      </w:r>
      <w:r w:rsidR="00B2286D" w:rsidRPr="00B2286D">
        <w:rPr>
          <w:rFonts w:ascii="Times New Roman" w:hAnsi="Times New Roman" w:cs="Times New Roman"/>
          <w:lang w:val="en-US"/>
        </w:rPr>
        <w:t>, also called the arterial input function (AIF).</w:t>
      </w:r>
    </w:p>
    <w:p w:rsidR="00B2286D" w:rsidRPr="00B2286D" w:rsidRDefault="00B2286D" w:rsidP="00B2286D">
      <w:pPr>
        <w:spacing w:line="480" w:lineRule="auto"/>
        <w:jc w:val="both"/>
        <w:rPr>
          <w:rFonts w:ascii="Times New Roman" w:hAnsi="Times New Roman" w:cs="Times New Roman"/>
          <w:lang w:val="en-US"/>
        </w:rPr>
      </w:pPr>
      <w:r w:rsidRPr="00B2286D">
        <w:rPr>
          <w:rFonts w:ascii="Times New Roman" w:hAnsi="Times New Roman" w:cs="Times New Roman"/>
        </w:rPr>
        <w:t xml:space="preserve">     VOIs were drawn by a single investigator (SD) on the dynamic scan of the lung patients DCE MRI data using the Analyze software (</w:t>
      </w:r>
      <w:r w:rsidRPr="00B2286D">
        <w:rPr>
          <w:rFonts w:ascii="Times New Roman" w:hAnsi="Times New Roman" w:cs="Times New Roman"/>
          <w:iCs/>
        </w:rPr>
        <w:t>Biomedical Imaging Resource, Mayo Foundation, Rochester, MN</w:t>
      </w:r>
      <w:r w:rsidRPr="00B2286D">
        <w:rPr>
          <w:rFonts w:ascii="Times New Roman" w:hAnsi="Times New Roman" w:cs="Times New Roman"/>
        </w:rPr>
        <w:t xml:space="preserve">). </w:t>
      </w:r>
      <w:r w:rsidRPr="00B2286D">
        <w:rPr>
          <w:rFonts w:ascii="Times New Roman" w:hAnsi="Times New Roman" w:cs="Times New Roman"/>
          <w:lang w:val="en-US"/>
        </w:rPr>
        <w:t>All 3D parametric maps were generated in Matlab R20</w:t>
      </w:r>
      <w:r w:rsidRPr="00B2286D">
        <w:rPr>
          <w:rFonts w:ascii="Times New Roman" w:hAnsi="Times New Roman" w:cs="Times New Roman"/>
        </w:rPr>
        <w:t>15a (The MathWorks</w:t>
      </w:r>
      <w:r w:rsidRPr="00B2286D">
        <w:rPr>
          <w:rFonts w:ascii="Times New Roman" w:hAnsi="Times New Roman" w:cs="Times New Roman"/>
          <w:vertAlign w:val="superscript"/>
        </w:rPr>
        <w:t>(R)</w:t>
      </w:r>
      <w:r w:rsidRPr="00B2286D">
        <w:rPr>
          <w:rFonts w:ascii="Times New Roman" w:hAnsi="Times New Roman" w:cs="Times New Roman"/>
        </w:rPr>
        <w:t xml:space="preserve">) using a standard non-linear least square curve fitting algorithm. Mean, standard deviation, kurtosis and skewness values were evaluated for each parameter. Voxels with biologically implausible results were excluded from the analysis (e.g. </w:t>
      </w:r>
      <w:r w:rsidR="00A46615" w:rsidRPr="00A46615">
        <w:rPr>
          <w:rFonts w:ascii="Times New Roman" w:hAnsi="Times New Roman" w:cs="Times New Roman"/>
          <w:noProof/>
          <w:lang w:val="it-IT"/>
        </w:rPr>
        <w:object w:dxaOrig="580" w:dyaOrig="300" w14:anchorId="2C936F8F">
          <v:shape id="_x0000_i1036" type="#_x0000_t75" alt="" style="width:29pt;height:14pt;mso-width-percent:0;mso-height-percent:0;mso-width-percent:0;mso-height-percent:0" o:ole="">
            <v:imagedata r:id="rId26" o:title=""/>
          </v:shape>
          <o:OLEObject Type="Embed" ProgID="Equation.3" ShapeID="_x0000_i1036" DrawAspect="Content" ObjectID="_1588245652" r:id="rId40"/>
        </w:object>
      </w:r>
      <w:r w:rsidRPr="00B2286D">
        <w:rPr>
          <w:rFonts w:ascii="Times New Roman" w:hAnsi="Times New Roman" w:cs="Times New Roman"/>
          <w:lang w:val="en-US"/>
        </w:rPr>
        <w:t xml:space="preserve"> &gt; 5 1/min, </w:t>
      </w:r>
      <w:r w:rsidR="00A46615" w:rsidRPr="00A46615">
        <w:rPr>
          <w:rFonts w:ascii="Times New Roman" w:hAnsi="Times New Roman" w:cs="Times New Roman"/>
          <w:noProof/>
          <w:lang w:val="it-IT"/>
        </w:rPr>
        <w:object w:dxaOrig="240" w:dyaOrig="360" w14:anchorId="32B0B92A">
          <v:shape id="_x0000_i1035" type="#_x0000_t75" alt="" style="width:14pt;height:22pt;mso-width-percent:0;mso-height-percent:0;mso-width-percent:0;mso-height-percent:0" o:ole="">
            <v:imagedata r:id="rId28" o:title=""/>
          </v:shape>
          <o:OLEObject Type="Embed" ProgID="Equation.3" ShapeID="_x0000_i1035" DrawAspect="Content" ObjectID="_1588245653" r:id="rId41"/>
        </w:object>
      </w:r>
      <w:r w:rsidRPr="00B2286D">
        <w:rPr>
          <w:rFonts w:ascii="Times New Roman" w:hAnsi="Times New Roman" w:cs="Times New Roman"/>
          <w:lang w:val="en-US"/>
        </w:rPr>
        <w:t xml:space="preserve"> &gt; 1, </w:t>
      </w:r>
      <w:r w:rsidR="00A46615" w:rsidRPr="00A46615">
        <w:rPr>
          <w:rFonts w:ascii="Times New Roman" w:hAnsi="Times New Roman" w:cs="Times New Roman"/>
          <w:noProof/>
          <w:lang w:val="it-IT"/>
        </w:rPr>
        <w:object w:dxaOrig="220" w:dyaOrig="360" w14:anchorId="148E861F">
          <v:shape id="_x0000_i1034" type="#_x0000_t75" alt="" style="width:14pt;height:22pt;mso-width-percent:0;mso-height-percent:0;mso-width-percent:0;mso-height-percent:0" o:ole="">
            <v:imagedata r:id="rId11" o:title=""/>
          </v:shape>
          <o:OLEObject Type="Embed" ProgID="Equation.3" ShapeID="_x0000_i1034" DrawAspect="Content" ObjectID="_1588245654" r:id="rId42"/>
        </w:object>
      </w:r>
      <w:r w:rsidRPr="00B2286D">
        <w:rPr>
          <w:rFonts w:ascii="Times New Roman" w:hAnsi="Times New Roman" w:cs="Times New Roman"/>
          <w:lang w:val="en-US"/>
        </w:rPr>
        <w:t xml:space="preserve"> &gt; 3 s as any negative value</w:t>
      </w:r>
      <w:r w:rsidRPr="00B2286D">
        <w:rPr>
          <w:rFonts w:ascii="Times New Roman" w:hAnsi="Times New Roman" w:cs="Times New Roman"/>
        </w:rPr>
        <w:t xml:space="preserve">). Implicit in the analysis is the requirement of the AIF which, in this study, has been </w:t>
      </w:r>
      <w:r w:rsidRPr="00B2286D">
        <w:rPr>
          <w:rFonts w:ascii="Times New Roman" w:hAnsi="Times New Roman" w:cs="Times New Roman"/>
          <w:lang w:val="en-US"/>
        </w:rPr>
        <w:t>evaluated, for each subject, drawing a region of interest in the aorta.</w:t>
      </w:r>
    </w:p>
    <w:p w:rsidR="00B2286D" w:rsidRPr="00B2286D" w:rsidRDefault="00B2286D" w:rsidP="00B2286D">
      <w:pPr>
        <w:spacing w:line="480" w:lineRule="auto"/>
        <w:jc w:val="both"/>
        <w:rPr>
          <w:rFonts w:ascii="Times New Roman" w:hAnsi="Times New Roman" w:cs="Times New Roman"/>
        </w:rPr>
      </w:pP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jc w:val="center"/>
        <w:rPr>
          <w:rFonts w:ascii="Times New Roman" w:hAnsi="Times New Roman" w:cs="Times New Roman"/>
          <w:b/>
        </w:rPr>
      </w:pPr>
      <w:r w:rsidRPr="00B2286D">
        <w:rPr>
          <w:rFonts w:ascii="Times New Roman" w:hAnsi="Times New Roman" w:cs="Times New Roman"/>
          <w:b/>
        </w:rPr>
        <w:lastRenderedPageBreak/>
        <w:t>Table S1</w:t>
      </w:r>
    </w:p>
    <w:p w:rsidR="00B2286D" w:rsidRPr="00B2286D" w:rsidRDefault="00B2286D" w:rsidP="00B2286D">
      <w:pPr>
        <w:jc w:val="center"/>
        <w:rPr>
          <w:rFonts w:ascii="Times New Roman" w:hAnsi="Times New Roman" w:cs="Times New Roman"/>
          <w:b/>
        </w:rPr>
      </w:pPr>
    </w:p>
    <w:p w:rsidR="00B2286D" w:rsidRPr="00B2286D" w:rsidRDefault="00B2286D" w:rsidP="00B2286D">
      <w:pPr>
        <w:jc w:val="center"/>
        <w:rPr>
          <w:rFonts w:ascii="Times New Roman" w:hAnsi="Times New Roman" w:cs="Times New Roman"/>
          <w:b/>
        </w:rPr>
      </w:pPr>
      <w:r w:rsidRPr="00B2286D">
        <w:rPr>
          <w:rFonts w:ascii="Times New Roman" w:hAnsi="Times New Roman" w:cs="Times New Roman"/>
          <w:b/>
        </w:rPr>
        <w:t xml:space="preserve">Lung MRI imaging protocol </w:t>
      </w:r>
    </w:p>
    <w:p w:rsidR="00B2286D" w:rsidRPr="00B2286D" w:rsidRDefault="00B2286D" w:rsidP="00B2286D">
      <w:pPr>
        <w:rPr>
          <w:rFonts w:ascii="Myriad Pro" w:hAnsi="Myriad Pro"/>
          <w:b/>
          <w:sz w:val="18"/>
          <w:szCs w:val="18"/>
        </w:rPr>
      </w:pPr>
    </w:p>
    <w:p w:rsidR="00B2286D" w:rsidRPr="00B2286D" w:rsidRDefault="00B2286D" w:rsidP="00B2286D">
      <w:pPr>
        <w:jc w:val="center"/>
        <w:rPr>
          <w:rFonts w:ascii="Myriad Pro" w:hAnsi="Myriad Pro"/>
          <w:b/>
          <w:sz w:val="18"/>
          <w:szCs w:val="18"/>
        </w:rPr>
      </w:pPr>
    </w:p>
    <w:tbl>
      <w:tblPr>
        <w:tblStyle w:val="PlainTable2"/>
        <w:tblW w:w="7942" w:type="dxa"/>
        <w:tblInd w:w="717" w:type="dxa"/>
        <w:tblLook w:val="04A0" w:firstRow="1" w:lastRow="0" w:firstColumn="1" w:lastColumn="0" w:noHBand="0" w:noVBand="1"/>
      </w:tblPr>
      <w:tblGrid>
        <w:gridCol w:w="2421"/>
        <w:gridCol w:w="1641"/>
        <w:gridCol w:w="1940"/>
        <w:gridCol w:w="1940"/>
      </w:tblGrid>
      <w:tr w:rsidR="00B2286D" w:rsidRPr="00B2286D" w:rsidTr="005E2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p>
        </w:tc>
        <w:tc>
          <w:tcPr>
            <w:tcW w:w="1641" w:type="dxa"/>
          </w:tcPr>
          <w:p w:rsidR="00B2286D" w:rsidRPr="00B2286D" w:rsidRDefault="00B2286D" w:rsidP="00B2286D">
            <w:pPr>
              <w:spacing w:before="100" w:beforeAutospacing="1" w:after="100" w:afterAutospacing="1"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i/>
                <w:sz w:val="18"/>
                <w:szCs w:val="18"/>
              </w:rPr>
              <w:t>T</w:t>
            </w:r>
            <w:r w:rsidRPr="00B2286D">
              <w:rPr>
                <w:rFonts w:ascii="Myriad Pro" w:hAnsi="Myriad Pro" w:cs="Times New Roman"/>
                <w:sz w:val="18"/>
                <w:szCs w:val="18"/>
                <w:vertAlign w:val="subscript"/>
              </w:rPr>
              <w:t>2</w:t>
            </w:r>
            <w:r w:rsidRPr="00B2286D">
              <w:rPr>
                <w:rFonts w:ascii="Myriad Pro" w:hAnsi="Myriad Pro" w:cs="Times New Roman"/>
                <w:sz w:val="18"/>
                <w:szCs w:val="18"/>
              </w:rPr>
              <w:t>-w MRI</w:t>
            </w:r>
          </w:p>
        </w:tc>
        <w:tc>
          <w:tcPr>
            <w:tcW w:w="1940" w:type="dxa"/>
          </w:tcPr>
          <w:p w:rsidR="00B2286D" w:rsidRPr="00B2286D" w:rsidRDefault="00B2286D" w:rsidP="00B2286D">
            <w:pPr>
              <w:spacing w:before="100" w:beforeAutospacing="1" w:after="100" w:afterAutospacing="1"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DW-MRI</w:t>
            </w:r>
          </w:p>
        </w:tc>
        <w:tc>
          <w:tcPr>
            <w:tcW w:w="1940" w:type="dxa"/>
          </w:tcPr>
          <w:p w:rsidR="00B2286D" w:rsidRPr="00B2286D" w:rsidRDefault="00B2286D" w:rsidP="00B2286D">
            <w:pPr>
              <w:spacing w:before="100" w:beforeAutospacing="1" w:after="100" w:afterAutospacing="1"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DCE-MRI</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Sequence type</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HASTE</w:t>
            </w:r>
            <w:r w:rsidRPr="00B2286D">
              <w:rPr>
                <w:rFonts w:ascii="Myriad Pro" w:hAnsi="Myriad Pro" w:cs="Times New Roman"/>
                <w:sz w:val="18"/>
                <w:szCs w:val="18"/>
                <w:vertAlign w:val="superscript"/>
              </w:rPr>
              <w:t xml:space="preserve"> c </w:t>
            </w:r>
            <w:r w:rsidRPr="00B2286D">
              <w:rPr>
                <w:rFonts w:ascii="Myriad Pro" w:hAnsi="Myriad Pro" w:cs="Times New Roman"/>
                <w:sz w:val="18"/>
                <w:szCs w:val="18"/>
              </w:rPr>
              <w:t>(axial)</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 xml:space="preserve">SS SE EPI </w:t>
            </w:r>
            <w:r w:rsidRPr="00B2286D">
              <w:rPr>
                <w:rFonts w:ascii="Myriad Pro" w:hAnsi="Myriad Pro" w:cs="Times New Roman"/>
                <w:sz w:val="18"/>
                <w:szCs w:val="18"/>
                <w:vertAlign w:val="superscript"/>
              </w:rPr>
              <w:t xml:space="preserve">a </w:t>
            </w:r>
            <w:r w:rsidRPr="00B2286D">
              <w:rPr>
                <w:rFonts w:ascii="Myriad Pro" w:hAnsi="Myriad Pro" w:cs="Times New Roman"/>
                <w:sz w:val="18"/>
                <w:szCs w:val="18"/>
              </w:rPr>
              <w:t>(axial)</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VIBE (sagittal)</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FOV (mm)</w:t>
            </w:r>
          </w:p>
        </w:tc>
        <w:tc>
          <w:tcPr>
            <w:tcW w:w="1641"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380×267</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380×285</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350×306</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Matrix size</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256×180</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128×128</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128×128</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No of slices/ thickness/spacing (mm/%)</w:t>
            </w:r>
          </w:p>
        </w:tc>
        <w:tc>
          <w:tcPr>
            <w:tcW w:w="1641" w:type="dxa"/>
          </w:tcPr>
          <w:p w:rsidR="00B2286D" w:rsidRPr="00B2286D" w:rsidRDefault="00B2286D" w:rsidP="00B2286D">
            <w:pPr>
              <w:spacing w:before="100" w:beforeAutospacing="1" w:after="100" w:afterAutospacing="1"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30/5/20%</w:t>
            </w:r>
          </w:p>
        </w:tc>
        <w:tc>
          <w:tcPr>
            <w:tcW w:w="1940" w:type="dxa"/>
          </w:tcPr>
          <w:p w:rsidR="00B2286D" w:rsidRPr="00B2286D" w:rsidRDefault="00B2286D" w:rsidP="00B2286D">
            <w:pPr>
              <w:spacing w:before="100" w:beforeAutospacing="1" w:after="100" w:afterAutospacing="1"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10/5/0%</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32/5/20%</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i/>
                <w:sz w:val="18"/>
                <w:szCs w:val="18"/>
              </w:rPr>
              <w:t>TR</w:t>
            </w:r>
            <w:r w:rsidRPr="00B2286D">
              <w:rPr>
                <w:rFonts w:ascii="Myriad Pro" w:hAnsi="Myriad Pro" w:cs="Times New Roman"/>
                <w:sz w:val="18"/>
                <w:szCs w:val="18"/>
              </w:rPr>
              <w:t xml:space="preserve"> (ms)</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1400</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1100</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3.6</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i/>
                <w:sz w:val="18"/>
                <w:szCs w:val="18"/>
              </w:rPr>
              <w:t>TE</w:t>
            </w:r>
            <w:r w:rsidRPr="00B2286D">
              <w:rPr>
                <w:rFonts w:ascii="Myriad Pro" w:hAnsi="Myriad Pro" w:cs="Times New Roman"/>
                <w:sz w:val="18"/>
                <w:szCs w:val="18"/>
              </w:rPr>
              <w:t xml:space="preserve"> (ms)</w:t>
            </w:r>
          </w:p>
        </w:tc>
        <w:tc>
          <w:tcPr>
            <w:tcW w:w="1641"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55</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96</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Bandwidth (Hz/pixel)</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781</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1502</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800</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Flip Angle (°)</w:t>
            </w:r>
          </w:p>
        </w:tc>
        <w:tc>
          <w:tcPr>
            <w:tcW w:w="1641"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160</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90</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14</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i/>
                <w:sz w:val="18"/>
                <w:szCs w:val="18"/>
              </w:rPr>
              <w:t>N</w:t>
            </w:r>
            <w:r w:rsidRPr="00B2286D">
              <w:rPr>
                <w:rFonts w:ascii="Myriad Pro" w:hAnsi="Myriad Pro" w:cs="Times New Roman"/>
                <w:sz w:val="18"/>
                <w:szCs w:val="18"/>
                <w:vertAlign w:val="subscript"/>
              </w:rPr>
              <w:t>A</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Fat suppression</w:t>
            </w:r>
          </w:p>
        </w:tc>
        <w:tc>
          <w:tcPr>
            <w:tcW w:w="1641"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None</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SPAIR</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Q-fat. Sat.</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i/>
                <w:sz w:val="18"/>
                <w:szCs w:val="18"/>
              </w:rPr>
              <w:t>b</w:t>
            </w:r>
            <w:r w:rsidRPr="00B2286D">
              <w:rPr>
                <w:rFonts w:ascii="Myriad Pro" w:hAnsi="Myriad Pro" w:cs="Times New Roman"/>
                <w:sz w:val="18"/>
                <w:szCs w:val="18"/>
              </w:rPr>
              <w:t>-values (s/mm</w:t>
            </w:r>
            <w:r w:rsidRPr="00B2286D">
              <w:rPr>
                <w:rFonts w:ascii="Myriad Pro" w:hAnsi="Myriad Pro" w:cs="Times New Roman"/>
                <w:sz w:val="18"/>
                <w:szCs w:val="18"/>
                <w:vertAlign w:val="superscript"/>
              </w:rPr>
              <w:t>2</w:t>
            </w:r>
            <w:r w:rsidRPr="00B2286D">
              <w:rPr>
                <w:rFonts w:ascii="Myriad Pro" w:hAnsi="Myriad Pro" w:cs="Times New Roman"/>
                <w:sz w:val="18"/>
                <w:szCs w:val="18"/>
              </w:rPr>
              <w:t>)</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N/A</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0,10,20,30,50,80,</w:t>
            </w:r>
          </w:p>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100,150,400,800</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N/A</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Parallel Acquisition</w:t>
            </w:r>
          </w:p>
        </w:tc>
        <w:tc>
          <w:tcPr>
            <w:tcW w:w="1641"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GRAPPA 2</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GRAPPA 2</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GRAPPA 2</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Half Fourier</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5/8</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6/8</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sz w:val="18"/>
                <w:szCs w:val="18"/>
              </w:rPr>
              <w:t xml:space="preserve"> # measurements</w:t>
            </w:r>
          </w:p>
        </w:tc>
        <w:tc>
          <w:tcPr>
            <w:tcW w:w="1641"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N/A</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N/A</w:t>
            </w:r>
          </w:p>
        </w:tc>
        <w:tc>
          <w:tcPr>
            <w:tcW w:w="1940" w:type="dxa"/>
          </w:tcPr>
          <w:p w:rsidR="00B2286D" w:rsidRPr="00B2286D" w:rsidRDefault="00B2286D" w:rsidP="00B2286D">
            <w:pPr>
              <w:spacing w:before="100" w:beforeAutospacing="1" w:after="100" w:afterAutospacing="1"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100</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1" w:type="dxa"/>
          </w:tcPr>
          <w:p w:rsidR="00B2286D" w:rsidRPr="00B2286D" w:rsidRDefault="00B2286D" w:rsidP="00B2286D">
            <w:pPr>
              <w:spacing w:before="100" w:beforeAutospacing="1" w:after="100" w:afterAutospacing="1" w:line="480" w:lineRule="auto"/>
              <w:contextualSpacing/>
              <w:jc w:val="center"/>
              <w:rPr>
                <w:rFonts w:ascii="Myriad Pro" w:hAnsi="Myriad Pro" w:cs="Times New Roman"/>
                <w:sz w:val="18"/>
                <w:szCs w:val="18"/>
              </w:rPr>
            </w:pPr>
            <w:r w:rsidRPr="00B2286D">
              <w:rPr>
                <w:rFonts w:ascii="Myriad Pro" w:hAnsi="Myriad Pro" w:cs="Times New Roman"/>
                <w:i/>
                <w:sz w:val="18"/>
                <w:szCs w:val="18"/>
              </w:rPr>
              <w:t>T</w:t>
            </w:r>
            <w:r w:rsidRPr="00B2286D">
              <w:rPr>
                <w:rFonts w:ascii="Myriad Pro" w:hAnsi="Myriad Pro" w:cs="Times New Roman"/>
                <w:sz w:val="18"/>
                <w:szCs w:val="18"/>
                <w:vertAlign w:val="subscript"/>
              </w:rPr>
              <w:t xml:space="preserve">A </w:t>
            </w:r>
            <w:r w:rsidRPr="00B2286D">
              <w:rPr>
                <w:rFonts w:ascii="Myriad Pro" w:hAnsi="Myriad Pro" w:cs="Times New Roman"/>
                <w:sz w:val="18"/>
                <w:szCs w:val="18"/>
              </w:rPr>
              <w:t>(min)</w:t>
            </w:r>
          </w:p>
        </w:tc>
        <w:tc>
          <w:tcPr>
            <w:tcW w:w="1641"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0:42</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0:29</w:t>
            </w:r>
          </w:p>
        </w:tc>
        <w:tc>
          <w:tcPr>
            <w:tcW w:w="1940" w:type="dxa"/>
          </w:tcPr>
          <w:p w:rsidR="00B2286D" w:rsidRPr="00B2286D" w:rsidRDefault="00B2286D" w:rsidP="00B2286D">
            <w:pPr>
              <w:spacing w:before="100" w:beforeAutospacing="1" w:after="100" w:afterAutospacing="1"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6:41</w:t>
            </w:r>
          </w:p>
        </w:tc>
      </w:tr>
    </w:tbl>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spacing w:line="360" w:lineRule="auto"/>
        <w:jc w:val="both"/>
        <w:rPr>
          <w:rFonts w:ascii="Myriad Pro" w:hAnsi="Myriad Pro" w:cs="Times New Roman"/>
          <w:sz w:val="18"/>
          <w:szCs w:val="18"/>
        </w:rPr>
      </w:pPr>
      <w:r w:rsidRPr="00B2286D">
        <w:rPr>
          <w:rFonts w:ascii="Myriad Pro" w:hAnsi="Myriad Pro" w:cs="Times New Roman"/>
          <w:sz w:val="18"/>
          <w:szCs w:val="18"/>
          <w:vertAlign w:val="superscript"/>
        </w:rPr>
        <w:t>a</w:t>
      </w:r>
      <w:r w:rsidRPr="00B2286D">
        <w:rPr>
          <w:rFonts w:ascii="Myriad Pro" w:hAnsi="Myriad Pro" w:cs="Times New Roman"/>
          <w:sz w:val="18"/>
          <w:szCs w:val="18"/>
        </w:rPr>
        <w:t xml:space="preserve"> SS SE EPI=single-shot spin echo planar imaging, </w:t>
      </w:r>
      <w:r w:rsidRPr="00B2286D">
        <w:rPr>
          <w:rFonts w:ascii="Myriad Pro" w:hAnsi="Myriad Pro" w:cs="Times New Roman"/>
          <w:sz w:val="18"/>
          <w:szCs w:val="18"/>
          <w:vertAlign w:val="superscript"/>
        </w:rPr>
        <w:t xml:space="preserve">b </w:t>
      </w:r>
      <w:r w:rsidRPr="00B2286D">
        <w:rPr>
          <w:rFonts w:ascii="Myriad Pro" w:hAnsi="Myriad Pro" w:cs="Times New Roman"/>
          <w:sz w:val="18"/>
          <w:szCs w:val="18"/>
        </w:rPr>
        <w:t xml:space="preserve">VIBE=3D volumetric interpolated breath-hold examination, </w:t>
      </w:r>
    </w:p>
    <w:p w:rsidR="00B2286D" w:rsidRPr="00B2286D" w:rsidRDefault="00B2286D" w:rsidP="00B2286D">
      <w:pPr>
        <w:spacing w:line="360" w:lineRule="auto"/>
        <w:jc w:val="both"/>
        <w:rPr>
          <w:rFonts w:ascii="Myriad Pro" w:hAnsi="Myriad Pro" w:cs="Times New Roman"/>
          <w:sz w:val="18"/>
          <w:szCs w:val="18"/>
        </w:rPr>
      </w:pPr>
      <w:r w:rsidRPr="00B2286D">
        <w:rPr>
          <w:rFonts w:ascii="Myriad Pro" w:hAnsi="Myriad Pro" w:cs="Times New Roman"/>
          <w:sz w:val="18"/>
          <w:szCs w:val="18"/>
          <w:vertAlign w:val="superscript"/>
        </w:rPr>
        <w:t xml:space="preserve">c </w:t>
      </w:r>
      <w:r w:rsidRPr="00B2286D">
        <w:rPr>
          <w:rFonts w:ascii="Myriad Pro" w:hAnsi="Myriad Pro" w:cs="Times New Roman"/>
          <w:sz w:val="18"/>
          <w:szCs w:val="18"/>
        </w:rPr>
        <w:t xml:space="preserve">HASTE=half-Fourier acquisition single-shot turbo spin-echo, </w:t>
      </w:r>
      <w:r w:rsidRPr="00B2286D">
        <w:rPr>
          <w:rFonts w:ascii="Myriad Pro" w:hAnsi="Myriad Pro" w:cs="Times New Roman"/>
          <w:sz w:val="18"/>
          <w:szCs w:val="18"/>
          <w:vertAlign w:val="superscript"/>
        </w:rPr>
        <w:t>d</w:t>
      </w:r>
      <w:r w:rsidRPr="00B2286D">
        <w:rPr>
          <w:rFonts w:ascii="Myriad Pro" w:hAnsi="Myriad Pro" w:cs="Times New Roman"/>
          <w:sz w:val="18"/>
          <w:szCs w:val="18"/>
        </w:rPr>
        <w:t xml:space="preserve"> STIR=short inversion time inversion recovery, </w:t>
      </w:r>
    </w:p>
    <w:p w:rsidR="00B2286D" w:rsidRPr="00B2286D" w:rsidRDefault="00B2286D" w:rsidP="00B2286D">
      <w:pPr>
        <w:spacing w:line="360" w:lineRule="auto"/>
        <w:jc w:val="both"/>
        <w:rPr>
          <w:rFonts w:ascii="Myriad Pro" w:hAnsi="Myriad Pro" w:cs="Times New Roman"/>
          <w:sz w:val="18"/>
          <w:szCs w:val="18"/>
        </w:rPr>
      </w:pPr>
      <w:r w:rsidRPr="00B2286D">
        <w:rPr>
          <w:rFonts w:ascii="Myriad Pro" w:hAnsi="Myriad Pro" w:cs="Times New Roman"/>
          <w:sz w:val="18"/>
          <w:szCs w:val="18"/>
          <w:vertAlign w:val="superscript"/>
        </w:rPr>
        <w:t>e</w:t>
      </w:r>
      <w:r w:rsidRPr="00B2286D">
        <w:rPr>
          <w:rFonts w:ascii="Myriad Pro" w:hAnsi="Myriad Pro" w:cs="Times New Roman"/>
          <w:sz w:val="18"/>
          <w:szCs w:val="18"/>
        </w:rPr>
        <w:t xml:space="preserve"> GRAPPA=generalised autocalibrating partially parallel acquisition.</w:t>
      </w: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both"/>
        <w:rPr>
          <w:rFonts w:ascii="Times New Roman" w:hAnsi="Times New Roman" w:cs="Times New Roman"/>
          <w:b/>
        </w:rPr>
      </w:pPr>
      <w:r w:rsidRPr="00B2286D">
        <w:rPr>
          <w:rFonts w:ascii="Times New Roman" w:hAnsi="Times New Roman" w:cs="Times New Roman"/>
          <w:b/>
        </w:rPr>
        <w:lastRenderedPageBreak/>
        <w:t>Supplementary material and methods 2</w:t>
      </w:r>
    </w:p>
    <w:p w:rsidR="00B2286D" w:rsidRPr="00B2286D" w:rsidRDefault="00B2286D" w:rsidP="00B2286D">
      <w:pPr>
        <w:keepNext/>
        <w:keepLines/>
        <w:spacing w:before="240" w:line="480" w:lineRule="auto"/>
        <w:jc w:val="both"/>
        <w:outlineLvl w:val="0"/>
        <w:rPr>
          <w:rFonts w:ascii="Times New Roman" w:eastAsiaTheme="majorEastAsia" w:hAnsi="Times New Roman" w:cs="Times New Roman"/>
          <w:b/>
          <w:color w:val="000000" w:themeColor="text1"/>
        </w:rPr>
      </w:pPr>
      <w:r w:rsidRPr="00B2286D">
        <w:rPr>
          <w:rFonts w:ascii="Times New Roman" w:eastAsiaTheme="majorEastAsia" w:hAnsi="Times New Roman" w:cs="Times New Roman"/>
          <w:b/>
          <w:color w:val="000000" w:themeColor="text1"/>
        </w:rPr>
        <w:t>Cytokeratin-18 measurements</w:t>
      </w:r>
    </w:p>
    <w:p w:rsidR="00B2286D" w:rsidRPr="00B2286D" w:rsidRDefault="00B2286D" w:rsidP="00B2286D">
      <w:pPr>
        <w:spacing w:line="480" w:lineRule="auto"/>
        <w:jc w:val="both"/>
        <w:rPr>
          <w:rFonts w:ascii="Times New Roman" w:hAnsi="Times New Roman" w:cs="Times New Roman"/>
        </w:rPr>
      </w:pPr>
    </w:p>
    <w:p w:rsidR="00B2286D" w:rsidRPr="00B2286D" w:rsidRDefault="00B2286D" w:rsidP="00B2286D">
      <w:pPr>
        <w:spacing w:line="480" w:lineRule="auto"/>
        <w:jc w:val="both"/>
        <w:rPr>
          <w:rFonts w:ascii="Times New Roman" w:hAnsi="Times New Roman" w:cs="Times New Roman"/>
        </w:rPr>
      </w:pPr>
      <w:r w:rsidRPr="00B2286D">
        <w:rPr>
          <w:rFonts w:ascii="Times New Roman" w:hAnsi="Times New Roman" w:cs="Times New Roman"/>
        </w:rPr>
        <w:t xml:space="preserve">The M65 and M30 assays were performed under dedicated Good Clinical Laboratory Practice conditions </w:t>
      </w:r>
      <w:r w:rsidRPr="00B2286D">
        <w:rPr>
          <w:rFonts w:ascii="Times New Roman" w:hAnsi="Times New Roman" w:cs="Times New Roman"/>
        </w:rPr>
        <w:fldChar w:fldCharType="begin">
          <w:fldData xml:space="preserve">PEVuZE5vdGU+PENpdGU+PEF1dGhvcj5HcmV5c3Rva2U8L0F1dGhvcj48WWVhcj4yMDA4PC9ZZWFy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</w:fldData>
        </w:fldChar>
      </w:r>
      <w:r w:rsidRPr="00B2286D">
        <w:rPr>
          <w:rFonts w:ascii="Times New Roman" w:hAnsi="Times New Roman" w:cs="Times New Roman"/>
        </w:rPr>
        <w:instrText xml:space="preserve"> ADDIN EN.CITE </w:instrText>
      </w:r>
      <w:r w:rsidRPr="00B2286D">
        <w:rPr>
          <w:rFonts w:ascii="Times New Roman" w:hAnsi="Times New Roman" w:cs="Times New Roman"/>
        </w:rPr>
        <w:fldChar w:fldCharType="begin">
          <w:fldData xml:space="preserve">PEVuZE5vdGU+PENpdGU+PEF1dGhvcj5HcmV5c3Rva2U8L0F1dGhvcj48WWVhcj4yMDA4PC9ZZWFy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</w:fldData>
        </w:fldChar>
      </w:r>
      <w:r w:rsidRPr="00B2286D">
        <w:rPr>
          <w:rFonts w:ascii="Times New Roman" w:hAnsi="Times New Roman" w:cs="Times New Roman"/>
        </w:rPr>
        <w:instrText xml:space="preserve"> ADDIN EN.CITE.DATA </w:instrText>
      </w:r>
      <w:r w:rsidRPr="00B2286D">
        <w:rPr>
          <w:rFonts w:ascii="Times New Roman" w:hAnsi="Times New Roman" w:cs="Times New Roman"/>
        </w:rPr>
      </w:r>
      <w:r w:rsidRPr="00B2286D">
        <w:rPr>
          <w:rFonts w:ascii="Times New Roman" w:hAnsi="Times New Roman" w:cs="Times New Roman"/>
        </w:rPr>
        <w:fldChar w:fldCharType="end"/>
      </w:r>
      <w:r w:rsidRPr="00B2286D">
        <w:rPr>
          <w:rFonts w:ascii="Times New Roman" w:hAnsi="Times New Roman" w:cs="Times New Roman"/>
        </w:rPr>
      </w:r>
      <w:r w:rsidRPr="00B2286D">
        <w:rPr>
          <w:rFonts w:ascii="Times New Roman" w:hAnsi="Times New Roman" w:cs="Times New Roman"/>
        </w:rPr>
        <w:fldChar w:fldCharType="separate"/>
      </w:r>
      <w:r w:rsidRPr="00B2286D">
        <w:rPr>
          <w:rFonts w:ascii="Times New Roman" w:hAnsi="Times New Roman" w:cs="Times New Roman"/>
          <w:noProof/>
        </w:rPr>
        <w:t>[49]</w:t>
      </w:r>
      <w:r w:rsidRPr="00B2286D">
        <w:rPr>
          <w:rFonts w:ascii="Times New Roman" w:hAnsi="Times New Roman" w:cs="Times New Roman"/>
        </w:rPr>
        <w:fldChar w:fldCharType="end"/>
      </w:r>
      <w:r w:rsidRPr="00B2286D">
        <w:rPr>
          <w:rFonts w:ascii="Times New Roman" w:hAnsi="Times New Roman" w:cs="Times New Roman"/>
        </w:rPr>
        <w:t xml:space="preserve">. Two samples were taken from each patient to cross-check for inherent variability. To ensure reproducibility inter-assay and intra-assay sampling was performed. Background variation cut-off for M65 and M30 antigens is taken as </w:t>
      </w:r>
      <w:r w:rsidRPr="00B2286D">
        <w:rPr>
          <w:rFonts w:ascii="Times New Roman" w:hAnsi="Times New Roman" w:cs="Times New Roman"/>
        </w:rPr>
        <w:sym w:font="Symbol" w:char="F0B1"/>
      </w:r>
      <w:r w:rsidRPr="00B2286D">
        <w:rPr>
          <w:rFonts w:ascii="Times New Roman" w:hAnsi="Times New Roman" w:cs="Times New Roman"/>
        </w:rPr>
        <w:t xml:space="preserve">10% as per manufacture guidelines </w:t>
      </w:r>
      <w:r w:rsidRPr="00B2286D">
        <w:rPr>
          <w:rFonts w:ascii="Times New Roman" w:hAnsi="Times New Roman" w:cs="Times New Roman"/>
        </w:rPr>
        <w:fldChar w:fldCharType="begin">
          <w:fldData xml:space="preserve">PEVuZE5vdGU+PENpdGU+PEF1dGhvcj5kZSBIYWFzPC9BdXRob3I+PFllYXI+MjAwODwvWWVhcj48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</w:fldData>
        </w:fldChar>
      </w:r>
      <w:r w:rsidRPr="00B2286D">
        <w:rPr>
          <w:rFonts w:ascii="Times New Roman" w:hAnsi="Times New Roman" w:cs="Times New Roman"/>
        </w:rPr>
        <w:instrText xml:space="preserve"> ADDIN EN.CITE </w:instrText>
      </w:r>
      <w:r w:rsidRPr="00B2286D">
        <w:rPr>
          <w:rFonts w:ascii="Times New Roman" w:hAnsi="Times New Roman" w:cs="Times New Roman"/>
        </w:rPr>
        <w:fldChar w:fldCharType="begin">
          <w:fldData xml:space="preserve">PEVuZE5vdGU+PENpdGU+PEF1dGhvcj5kZSBIYWFzPC9BdXRob3I+PFllYXI+MjAwODwvWWVhcj48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</w:fldData>
        </w:fldChar>
      </w:r>
      <w:r w:rsidRPr="00B2286D">
        <w:rPr>
          <w:rFonts w:ascii="Times New Roman" w:hAnsi="Times New Roman" w:cs="Times New Roman"/>
        </w:rPr>
        <w:instrText xml:space="preserve"> ADDIN EN.CITE.DATA </w:instrText>
      </w:r>
      <w:r w:rsidRPr="00B2286D">
        <w:rPr>
          <w:rFonts w:ascii="Times New Roman" w:hAnsi="Times New Roman" w:cs="Times New Roman"/>
        </w:rPr>
      </w:r>
      <w:r w:rsidRPr="00B2286D">
        <w:rPr>
          <w:rFonts w:ascii="Times New Roman" w:hAnsi="Times New Roman" w:cs="Times New Roman"/>
        </w:rPr>
        <w:fldChar w:fldCharType="end"/>
      </w:r>
      <w:r w:rsidRPr="00B2286D">
        <w:rPr>
          <w:rFonts w:ascii="Times New Roman" w:hAnsi="Times New Roman" w:cs="Times New Roman"/>
        </w:rPr>
      </w:r>
      <w:r w:rsidRPr="00B2286D">
        <w:rPr>
          <w:rFonts w:ascii="Times New Roman" w:hAnsi="Times New Roman" w:cs="Times New Roman"/>
        </w:rPr>
        <w:fldChar w:fldCharType="separate"/>
      </w:r>
      <w:r w:rsidRPr="00B2286D">
        <w:rPr>
          <w:rFonts w:ascii="Times New Roman" w:hAnsi="Times New Roman" w:cs="Times New Roman"/>
          <w:noProof/>
        </w:rPr>
        <w:t>[40]</w:t>
      </w:r>
      <w:r w:rsidRPr="00B2286D">
        <w:rPr>
          <w:rFonts w:ascii="Times New Roman" w:hAnsi="Times New Roman" w:cs="Times New Roman"/>
        </w:rPr>
        <w:fldChar w:fldCharType="end"/>
      </w:r>
      <w:r w:rsidRPr="00B2286D">
        <w:rPr>
          <w:rFonts w:ascii="Times New Roman" w:hAnsi="Times New Roman" w:cs="Times New Roman"/>
        </w:rPr>
        <w:t>.</w:t>
      </w:r>
    </w:p>
    <w:p w:rsidR="00B2286D" w:rsidRPr="00B2286D" w:rsidRDefault="00B2286D" w:rsidP="00B2286D">
      <w:pPr>
        <w:spacing w:line="480" w:lineRule="auto"/>
        <w:jc w:val="both"/>
        <w:rPr>
          <w:rFonts w:ascii="Times New Roman" w:hAnsi="Times New Roman" w:cs="Times New Roman"/>
          <w:b/>
        </w:rPr>
      </w:pPr>
    </w:p>
    <w:p w:rsidR="00B2286D" w:rsidRPr="00B2286D" w:rsidRDefault="00B2286D" w:rsidP="00B2286D">
      <w:pPr>
        <w:spacing w:line="480" w:lineRule="auto"/>
        <w:jc w:val="both"/>
        <w:rPr>
          <w:rFonts w:ascii="Times New Roman" w:hAnsi="Times New Roman" w:cs="Times New Roman"/>
          <w:b/>
        </w:rPr>
      </w:pPr>
    </w:p>
    <w:p w:rsidR="00B2286D" w:rsidRPr="00B2286D" w:rsidRDefault="00B2286D" w:rsidP="00B2286D">
      <w:pPr>
        <w:spacing w:line="480" w:lineRule="auto"/>
        <w:jc w:val="both"/>
        <w:rPr>
          <w:rFonts w:ascii="Times New Roman" w:hAnsi="Times New Roman" w:cs="Times New Roman"/>
          <w:b/>
        </w:rPr>
      </w:pPr>
      <w:r w:rsidRPr="00B2286D">
        <w:rPr>
          <w:rFonts w:ascii="Times New Roman" w:hAnsi="Times New Roman" w:cs="Times New Roman"/>
          <w:b/>
        </w:rPr>
        <w:t>Supplementary material and methods 3</w:t>
      </w:r>
    </w:p>
    <w:p w:rsidR="00B2286D" w:rsidRPr="00B2286D" w:rsidRDefault="00B2286D" w:rsidP="00B2286D">
      <w:pPr>
        <w:keepNext/>
        <w:keepLines/>
        <w:spacing w:before="240" w:line="480" w:lineRule="auto"/>
        <w:jc w:val="both"/>
        <w:outlineLvl w:val="0"/>
        <w:rPr>
          <w:rFonts w:ascii="Times New Roman" w:eastAsiaTheme="majorEastAsia" w:hAnsi="Times New Roman" w:cs="Times New Roman"/>
          <w:b/>
          <w:color w:val="000000" w:themeColor="text1"/>
        </w:rPr>
      </w:pPr>
      <w:r w:rsidRPr="00B2286D">
        <w:rPr>
          <w:rFonts w:ascii="Times New Roman" w:eastAsiaTheme="majorEastAsia" w:hAnsi="Times New Roman" w:cs="Times New Roman"/>
          <w:b/>
          <w:color w:val="000000" w:themeColor="text1"/>
        </w:rPr>
        <w:t xml:space="preserve">Cleaved (active) Caspase-3 immunohistochemistry </w:t>
      </w:r>
    </w:p>
    <w:p w:rsidR="00B2286D" w:rsidRPr="00B2286D" w:rsidRDefault="00B2286D" w:rsidP="00B2286D">
      <w:pPr>
        <w:spacing w:line="480" w:lineRule="auto"/>
        <w:jc w:val="both"/>
        <w:rPr>
          <w:rFonts w:ascii="Times New Roman" w:hAnsi="Times New Roman" w:cs="Times New Roman"/>
        </w:rPr>
      </w:pPr>
      <w:r w:rsidRPr="00B2286D">
        <w:rPr>
          <w:rFonts w:ascii="Times New Roman" w:hAnsi="Times New Roman" w:cs="Times New Roman"/>
        </w:rPr>
        <w:t>Briefly, tissue was fixed in formalin and embedded in paraffin, sectioned (5</w:t>
      </w:r>
      <w:r w:rsidRPr="00B2286D">
        <w:rPr>
          <w:rFonts w:ascii="Times New Roman" w:hAnsi="Times New Roman" w:cs="Times New Roman"/>
        </w:rPr>
        <w:sym w:font="Symbol" w:char="F06D"/>
      </w:r>
      <w:r w:rsidRPr="00B2286D">
        <w:rPr>
          <w:rFonts w:ascii="Times New Roman" w:hAnsi="Times New Roman" w:cs="Times New Roman"/>
        </w:rPr>
        <w:t xml:space="preserve">m slices) and stained </w:t>
      </w:r>
      <w:r w:rsidRPr="00B2286D">
        <w:rPr>
          <w:rFonts w:ascii="Times New Roman" w:hAnsi="Times New Roman" w:cs="Times New Roman"/>
          <w:lang w:val="en-US"/>
        </w:rPr>
        <w:t xml:space="preserve">as per manufacturer instructions, </w:t>
      </w:r>
      <w:r w:rsidRPr="00B2286D">
        <w:rPr>
          <w:rFonts w:ascii="Times New Roman" w:hAnsi="Times New Roman" w:cs="Times New Roman"/>
        </w:rPr>
        <w:t xml:space="preserve">for cleaved (active) caspase-3 using </w:t>
      </w:r>
      <w:r w:rsidRPr="00B2286D">
        <w:rPr>
          <w:rFonts w:ascii="Times New Roman" w:hAnsi="Times New Roman" w:cs="Times New Roman"/>
          <w:lang w:val="en-US"/>
        </w:rPr>
        <w:t>Cleaved Caspase-3 (Asp 175) monoclonal antibody (Cell Signaling Technology, 1: 200 dilution).</w:t>
      </w:r>
    </w:p>
    <w:p w:rsidR="00B2286D" w:rsidRPr="00B2286D" w:rsidRDefault="00B2286D" w:rsidP="00B2286D">
      <w:pPr>
        <w:spacing w:line="480" w:lineRule="auto"/>
        <w:jc w:val="both"/>
        <w:rPr>
          <w:rFonts w:ascii="Times New Roman" w:hAnsi="Times New Roman" w:cs="Times New Roman"/>
        </w:rPr>
      </w:pPr>
      <w:r w:rsidRPr="00B2286D">
        <w:rPr>
          <w:rFonts w:ascii="Times New Roman" w:hAnsi="Times New Roman" w:cs="Times New Roman"/>
          <w:lang w:val="en-US"/>
        </w:rPr>
        <w:t xml:space="preserve">     </w:t>
      </w:r>
      <w:r w:rsidRPr="00B2286D">
        <w:rPr>
          <w:rFonts w:ascii="Times New Roman" w:hAnsi="Times New Roman" w:cs="Times New Roman"/>
        </w:rPr>
        <w:t xml:space="preserve">Whole mounts were scanned using the Axio Scan.Z1 (Zeiss) and images were viewed using Axio Scan.Z1’s ZEN imaging software. Tissue samples were initially scored manually by an independent histopathologist who was blinded to all clinical data, using the immunohistochemical score (IHS), as described previously </w:t>
      </w:r>
      <w:r w:rsidRPr="00B2286D">
        <w:rPr>
          <w:rFonts w:ascii="Times New Roman" w:hAnsi="Times New Roman" w:cs="Times New Roman"/>
        </w:rPr>
        <w:fldChar w:fldCharType="begin">
          <w:fldData xml:space="preserve">PEVuZE5vdGU+PENpdGU+PEF1dGhvcj5EaGlsbG9uPC9BdXRob3I+PFllYXI+MjAxMDwvWWVhcj48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</w:fldData>
        </w:fldChar>
      </w:r>
      <w:r w:rsidRPr="00B2286D">
        <w:rPr>
          <w:rFonts w:ascii="Times New Roman" w:hAnsi="Times New Roman" w:cs="Times New Roman"/>
        </w:rPr>
        <w:instrText xml:space="preserve"> ADDIN EN.CITE </w:instrText>
      </w:r>
      <w:r w:rsidRPr="00B2286D">
        <w:rPr>
          <w:rFonts w:ascii="Times New Roman" w:hAnsi="Times New Roman" w:cs="Times New Roman"/>
        </w:rPr>
        <w:fldChar w:fldCharType="begin">
          <w:fldData xml:space="preserve">PEVuZE5vdGU+PENpdGU+PEF1dGhvcj5EaGlsbG9uPC9BdXRob3I+PFllYXI+MjAxMDwvWWVhcj48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</w:fldData>
        </w:fldChar>
      </w:r>
      <w:r w:rsidRPr="00B2286D">
        <w:rPr>
          <w:rFonts w:ascii="Times New Roman" w:hAnsi="Times New Roman" w:cs="Times New Roman"/>
        </w:rPr>
        <w:instrText xml:space="preserve"> ADDIN EN.CITE.DATA </w:instrText>
      </w:r>
      <w:r w:rsidRPr="00B2286D">
        <w:rPr>
          <w:rFonts w:ascii="Times New Roman" w:hAnsi="Times New Roman" w:cs="Times New Roman"/>
        </w:rPr>
      </w:r>
      <w:r w:rsidRPr="00B2286D">
        <w:rPr>
          <w:rFonts w:ascii="Times New Roman" w:hAnsi="Times New Roman" w:cs="Times New Roman"/>
        </w:rPr>
        <w:fldChar w:fldCharType="end"/>
      </w:r>
      <w:r w:rsidRPr="00B2286D">
        <w:rPr>
          <w:rFonts w:ascii="Times New Roman" w:hAnsi="Times New Roman" w:cs="Times New Roman"/>
        </w:rPr>
      </w:r>
      <w:r w:rsidRPr="00B2286D">
        <w:rPr>
          <w:rFonts w:ascii="Times New Roman" w:hAnsi="Times New Roman" w:cs="Times New Roman"/>
        </w:rPr>
        <w:fldChar w:fldCharType="separate"/>
      </w:r>
      <w:r w:rsidRPr="00B2286D">
        <w:rPr>
          <w:rFonts w:ascii="Times New Roman" w:hAnsi="Times New Roman" w:cs="Times New Roman"/>
          <w:noProof/>
        </w:rPr>
        <w:t>[50]</w:t>
      </w:r>
      <w:r w:rsidRPr="00B2286D">
        <w:rPr>
          <w:rFonts w:ascii="Times New Roman" w:hAnsi="Times New Roman" w:cs="Times New Roman"/>
        </w:rPr>
        <w:fldChar w:fldCharType="end"/>
      </w:r>
      <w:r w:rsidRPr="00B2286D">
        <w:rPr>
          <w:rFonts w:ascii="Times New Roman" w:hAnsi="Times New Roman" w:cs="Times New Roman"/>
        </w:rPr>
        <w:t>. Scoring was also performed using Image J software and pre-defined algorithms for distinguishing apoptosis from necrosis.</w:t>
      </w: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both"/>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rPr>
      </w:pPr>
      <w:r w:rsidRPr="00B2286D">
        <w:rPr>
          <w:rFonts w:ascii="Times New Roman" w:hAnsi="Times New Roman" w:cs="Times New Roman"/>
          <w:noProof/>
          <w:lang w:eastAsia="en-GB"/>
        </w:rPr>
        <w:lastRenderedPageBreak/>
        <w:drawing>
          <wp:inline distT="0" distB="0" distL="0" distR="0" wp14:anchorId="591960D1" wp14:editId="3DA40C84">
            <wp:extent cx="5829300" cy="6868492"/>
            <wp:effectExtent l="0" t="0" r="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TACS_BREAST_EJNMMI_MAY2018.png"/>
                    <pic:cNvPicPr/>
                  </pic:nvPicPr>
                  <pic:blipFill>
                    <a:blip r:embed="rId43">
                      <a:extLst>
                        <a:ext uri="{28A0092B-C50C-407E-A947-70E740481C1C}">
                          <a14:useLocalDpi xmlns:a14="http://schemas.microsoft.com/office/drawing/2010/main" val="0"/>
                        </a:ext>
                      </a:extLst>
                    </a:blip>
                    <a:stretch>
                      <a:fillRect/>
                    </a:stretch>
                  </pic:blipFill>
                  <pic:spPr>
                    <a:xfrm>
                      <a:off x="0" y="0"/>
                      <a:ext cx="5844681" cy="6886615"/>
                    </a:xfrm>
                    <a:prstGeom prst="rect">
                      <a:avLst/>
                    </a:prstGeom>
                  </pic:spPr>
                </pic:pic>
              </a:graphicData>
            </a:graphic>
          </wp:inline>
        </w:drawing>
      </w:r>
    </w:p>
    <w:p w:rsidR="00B2286D" w:rsidRPr="00B2286D" w:rsidRDefault="00B2286D" w:rsidP="00B2286D">
      <w:pPr>
        <w:spacing w:line="480" w:lineRule="auto"/>
        <w:jc w:val="center"/>
        <w:rPr>
          <w:rFonts w:ascii="Times New Roman" w:hAnsi="Times New Roman" w:cs="Times New Roman"/>
        </w:rPr>
      </w:pPr>
    </w:p>
    <w:p w:rsidR="00B2286D" w:rsidRPr="00B2286D" w:rsidRDefault="00B2286D" w:rsidP="00B2286D">
      <w:pPr>
        <w:spacing w:line="360" w:lineRule="auto"/>
        <w:jc w:val="both"/>
        <w:rPr>
          <w:rFonts w:ascii="Myriad Pro" w:hAnsi="Myriad Pro" w:cs="Times New Roman"/>
          <w:b/>
          <w:sz w:val="18"/>
          <w:szCs w:val="18"/>
        </w:rPr>
      </w:pPr>
      <w:r w:rsidRPr="00B2286D">
        <w:rPr>
          <w:rFonts w:ascii="Myriad Pro" w:hAnsi="Myriad Pro" w:cs="Times New Roman"/>
          <w:b/>
          <w:sz w:val="18"/>
          <w:szCs w:val="18"/>
        </w:rPr>
        <w:t xml:space="preserve">Fig. S1. </w:t>
      </w:r>
      <w:r w:rsidRPr="00B2286D">
        <w:rPr>
          <w:rFonts w:ascii="Myriad Pro" w:hAnsi="Myriad Pro" w:cs="Times New Roman"/>
          <w:b/>
          <w:color w:val="000000" w:themeColor="text1"/>
          <w:sz w:val="18"/>
          <w:szCs w:val="18"/>
        </w:rPr>
        <w:t xml:space="preserve">Time-activity curves (mean decay-corrected) </w:t>
      </w:r>
      <w:r w:rsidRPr="00B2286D">
        <w:rPr>
          <w:rFonts w:ascii="Myriad Pro" w:hAnsi="Myriad Pro" w:cs="Times New Roman"/>
          <w:b/>
          <w:bCs/>
          <w:color w:val="000000" w:themeColor="text1"/>
          <w:sz w:val="18"/>
          <w:szCs w:val="18"/>
        </w:rPr>
        <w:t>of [</w:t>
      </w:r>
      <w:r w:rsidRPr="00B2286D">
        <w:rPr>
          <w:rFonts w:ascii="Myriad Pro" w:hAnsi="Myriad Pro" w:cs="Times New Roman"/>
          <w:b/>
          <w:bCs/>
          <w:color w:val="000000" w:themeColor="text1"/>
          <w:sz w:val="18"/>
          <w:szCs w:val="18"/>
          <w:vertAlign w:val="superscript"/>
        </w:rPr>
        <w:t>18</w:t>
      </w:r>
      <w:r w:rsidRPr="00B2286D">
        <w:rPr>
          <w:rFonts w:ascii="Myriad Pro" w:hAnsi="Myriad Pro" w:cs="Times New Roman"/>
          <w:b/>
          <w:bCs/>
          <w:color w:val="000000" w:themeColor="text1"/>
          <w:sz w:val="18"/>
          <w:szCs w:val="18"/>
        </w:rPr>
        <w:t xml:space="preserve">F]ICMT-11 </w:t>
      </w:r>
      <w:r w:rsidRPr="00B2286D">
        <w:rPr>
          <w:rFonts w:ascii="Myriad Pro" w:hAnsi="Myriad Pro" w:cs="Times New Roman"/>
          <w:b/>
          <w:color w:val="000000" w:themeColor="text1"/>
          <w:sz w:val="18"/>
          <w:szCs w:val="18"/>
        </w:rPr>
        <w:t>for primary breast tumour and normal organs.</w:t>
      </w:r>
    </w:p>
    <w:p w:rsidR="00B2286D" w:rsidRPr="00B2286D" w:rsidRDefault="00B2286D" w:rsidP="00B2286D">
      <w:pPr>
        <w:spacing w:line="360" w:lineRule="auto"/>
        <w:jc w:val="both"/>
        <w:rPr>
          <w:rFonts w:ascii="Myriad Pro" w:hAnsi="Myriad Pro" w:cs="Times New Roman"/>
          <w:sz w:val="18"/>
          <w:szCs w:val="18"/>
        </w:rPr>
      </w:pPr>
      <w:r w:rsidRPr="00B2286D">
        <w:rPr>
          <w:rFonts w:ascii="Myriad Pro" w:hAnsi="Myriad Pro" w:cs="Times New Roman"/>
          <w:sz w:val="18"/>
          <w:szCs w:val="18"/>
        </w:rPr>
        <w:t>Mean SUV</w:t>
      </w:r>
      <w:r w:rsidRPr="00B2286D">
        <w:rPr>
          <w:rFonts w:ascii="Myriad Pro" w:hAnsi="Myriad Pro" w:cs="Times New Roman"/>
          <w:sz w:val="18"/>
          <w:szCs w:val="18"/>
          <w:vertAlign w:val="subscript"/>
        </w:rPr>
        <w:t>60ave</w:t>
      </w:r>
      <w:r w:rsidRPr="00B2286D">
        <w:rPr>
          <w:rFonts w:ascii="Myriad Pro" w:hAnsi="Myriad Pro" w:cs="Times New Roman"/>
          <w:sz w:val="18"/>
          <w:szCs w:val="18"/>
        </w:rPr>
        <w:t xml:space="preserve"> and SUV</w:t>
      </w:r>
      <w:r w:rsidRPr="00B2286D">
        <w:rPr>
          <w:rFonts w:ascii="Myriad Pro" w:hAnsi="Myriad Pro" w:cs="Times New Roman"/>
          <w:sz w:val="18"/>
          <w:szCs w:val="18"/>
          <w:vertAlign w:val="subscript"/>
        </w:rPr>
        <w:t>60max</w:t>
      </w:r>
      <w:r w:rsidRPr="00B2286D">
        <w:rPr>
          <w:rFonts w:ascii="Myriad Pro" w:hAnsi="Myriad Pro" w:cs="Times New Roman"/>
          <w:sz w:val="18"/>
          <w:szCs w:val="18"/>
        </w:rPr>
        <w:t xml:space="preserve"> are shown over 65 min of dynamic imaging of breast tumours (</w:t>
      </w:r>
      <w:r w:rsidRPr="00B2286D">
        <w:rPr>
          <w:rFonts w:ascii="Myriad Pro" w:hAnsi="Myriad Pro" w:cs="Times New Roman"/>
          <w:b/>
          <w:sz w:val="18"/>
          <w:szCs w:val="18"/>
        </w:rPr>
        <w:t>A</w:t>
      </w:r>
      <w:r w:rsidRPr="00B2286D">
        <w:rPr>
          <w:rFonts w:ascii="Myriad Pro" w:hAnsi="Myriad Pro" w:cs="Times New Roman"/>
          <w:sz w:val="18"/>
          <w:szCs w:val="18"/>
        </w:rPr>
        <w:t>) pre- and (</w:t>
      </w:r>
      <w:r w:rsidRPr="00B2286D">
        <w:rPr>
          <w:rFonts w:ascii="Myriad Pro" w:hAnsi="Myriad Pro" w:cs="Times New Roman"/>
          <w:b/>
          <w:sz w:val="18"/>
          <w:szCs w:val="18"/>
        </w:rPr>
        <w:t>B</w:t>
      </w:r>
      <w:r w:rsidRPr="00B2286D">
        <w:rPr>
          <w:rFonts w:ascii="Myriad Pro" w:hAnsi="Myriad Pro" w:cs="Times New Roman"/>
          <w:sz w:val="18"/>
          <w:szCs w:val="18"/>
        </w:rPr>
        <w:t>) post chemotherapy.  (</w:t>
      </w:r>
      <w:r w:rsidRPr="00B2286D">
        <w:rPr>
          <w:rFonts w:ascii="Myriad Pro" w:hAnsi="Myriad Pro" w:cs="Times New Roman"/>
          <w:b/>
          <w:sz w:val="18"/>
          <w:szCs w:val="18"/>
        </w:rPr>
        <w:t>C</w:t>
      </w:r>
      <w:r w:rsidRPr="00B2286D">
        <w:rPr>
          <w:rFonts w:ascii="Myriad Pro" w:hAnsi="Myriad Pro" w:cs="Times New Roman"/>
          <w:sz w:val="18"/>
          <w:szCs w:val="18"/>
        </w:rPr>
        <w:t>) Normal organs are shown pre- and post-chemotherapy.</w:t>
      </w: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Myriad Pro" w:hAnsi="Myriad Pro"/>
          <w:sz w:val="18"/>
          <w:szCs w:val="18"/>
        </w:rPr>
      </w:pPr>
      <w:r w:rsidRPr="00B2286D">
        <w:rPr>
          <w:rFonts w:ascii="Myriad Pro" w:hAnsi="Myriad Pro"/>
          <w:noProof/>
          <w:sz w:val="18"/>
          <w:szCs w:val="18"/>
          <w:lang w:eastAsia="en-GB"/>
        </w:rPr>
        <w:drawing>
          <wp:inline distT="0" distB="0" distL="0" distR="0" wp14:anchorId="5980EE95" wp14:editId="424DA0AC">
            <wp:extent cx="5193539"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S1_graph_M65M30assay.pdf"/>
                    <pic:cNvPicPr/>
                  </pic:nvPicPr>
                  <pic:blipFill>
                    <a:blip r:embed="rId44">
                      <a:extLst>
                        <a:ext uri="{28A0092B-C50C-407E-A947-70E740481C1C}">
                          <a14:useLocalDpi xmlns:a14="http://schemas.microsoft.com/office/drawing/2010/main" val="0"/>
                        </a:ext>
                      </a:extLst>
                    </a:blip>
                    <a:stretch>
                      <a:fillRect/>
                    </a:stretch>
                  </pic:blipFill>
                  <pic:spPr>
                    <a:xfrm>
                      <a:off x="0" y="0"/>
                      <a:ext cx="5208874" cy="2904150"/>
                    </a:xfrm>
                    <a:prstGeom prst="rect">
                      <a:avLst/>
                    </a:prstGeom>
                  </pic:spPr>
                </pic:pic>
              </a:graphicData>
            </a:graphic>
          </wp:inline>
        </w:drawing>
      </w: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spacing w:line="360" w:lineRule="auto"/>
        <w:jc w:val="both"/>
        <w:rPr>
          <w:rFonts w:ascii="Myriad Pro" w:hAnsi="Myriad Pro" w:cs="Times New Roman"/>
          <w:sz w:val="18"/>
          <w:szCs w:val="18"/>
          <w:lang w:val="en-US"/>
        </w:rPr>
      </w:pPr>
      <w:r w:rsidRPr="00B2286D">
        <w:rPr>
          <w:rFonts w:ascii="Myriad Pro" w:hAnsi="Myriad Pro" w:cs="Times New Roman"/>
          <w:b/>
          <w:sz w:val="18"/>
          <w:szCs w:val="18"/>
        </w:rPr>
        <w:t xml:space="preserve">Fig. S2. Box-plot graphs showing CK-18 fragment analysis (M65 and M30) pre- and post-chemotherapy values. </w:t>
      </w:r>
      <w:r w:rsidRPr="00B2286D">
        <w:rPr>
          <w:rFonts w:ascii="Myriad Pro" w:hAnsi="Myriad Pro" w:cs="Times New Roman"/>
          <w:sz w:val="18"/>
          <w:szCs w:val="18"/>
          <w:lang w:val="en-US"/>
        </w:rPr>
        <w:t>Box-plots demonstrate the minimum, maximum range, and median values for all breast patients. The lower limit of quantification for M65 and M30 interassay is 11 U/L and 40 U/L respectively.</w:t>
      </w: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Times New Roman" w:hAnsi="Times New Roman" w:cs="Times New Roman"/>
          <w:b/>
        </w:rPr>
      </w:pPr>
      <w:r w:rsidRPr="00B2286D">
        <w:rPr>
          <w:rFonts w:ascii="Times New Roman" w:hAnsi="Times New Roman" w:cs="Times New Roman"/>
          <w:b/>
        </w:rPr>
        <w:lastRenderedPageBreak/>
        <w:t xml:space="preserve">Table S2. </w:t>
      </w:r>
    </w:p>
    <w:p w:rsidR="00B2286D" w:rsidRPr="00B2286D" w:rsidRDefault="00B2286D" w:rsidP="00B2286D">
      <w:pPr>
        <w:jc w:val="center"/>
        <w:rPr>
          <w:rFonts w:ascii="Times New Roman" w:hAnsi="Times New Roman" w:cs="Times New Roman"/>
          <w:b/>
        </w:rPr>
      </w:pPr>
    </w:p>
    <w:p w:rsidR="00B2286D" w:rsidRPr="00B2286D" w:rsidRDefault="00B2286D" w:rsidP="00B2286D">
      <w:pPr>
        <w:jc w:val="center"/>
        <w:rPr>
          <w:rFonts w:ascii="Times New Roman" w:hAnsi="Times New Roman" w:cs="Times New Roman"/>
          <w:b/>
        </w:rPr>
      </w:pPr>
      <w:r w:rsidRPr="00B2286D">
        <w:rPr>
          <w:rFonts w:ascii="Times New Roman" w:hAnsi="Times New Roman" w:cs="Times New Roman"/>
          <w:b/>
        </w:rPr>
        <w:t>Patient CK-18 analysis with M65, M30 and M30/M65 ratio pre- and post-chemotherapy</w:t>
      </w:r>
    </w:p>
    <w:p w:rsidR="00B2286D" w:rsidRPr="00B2286D" w:rsidRDefault="00B2286D" w:rsidP="00B2286D">
      <w:pPr>
        <w:jc w:val="center"/>
        <w:rPr>
          <w:rFonts w:ascii="Myriad Pro" w:hAnsi="Myriad Pro"/>
          <w:b/>
          <w:sz w:val="18"/>
          <w:szCs w:val="18"/>
        </w:rPr>
      </w:pPr>
    </w:p>
    <w:tbl>
      <w:tblPr>
        <w:tblStyle w:val="PlainTable21"/>
        <w:tblW w:w="4836" w:type="pct"/>
        <w:jc w:val="center"/>
        <w:tblLook w:val="04A0" w:firstRow="1" w:lastRow="0" w:firstColumn="1" w:lastColumn="0" w:noHBand="0" w:noVBand="1"/>
      </w:tblPr>
      <w:tblGrid>
        <w:gridCol w:w="1245"/>
        <w:gridCol w:w="935"/>
        <w:gridCol w:w="311"/>
        <w:gridCol w:w="1246"/>
        <w:gridCol w:w="625"/>
        <w:gridCol w:w="621"/>
        <w:gridCol w:w="1246"/>
        <w:gridCol w:w="314"/>
        <w:gridCol w:w="932"/>
        <w:gridCol w:w="1249"/>
      </w:tblGrid>
      <w:tr w:rsidR="00B2286D" w:rsidRPr="00B2286D" w:rsidTr="005E2668">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1250" w:type="pct"/>
            <w:gridSpan w:val="2"/>
          </w:tcPr>
          <w:p w:rsidR="00B2286D" w:rsidRPr="00B2286D" w:rsidRDefault="00B2286D" w:rsidP="00B2286D">
            <w:pPr>
              <w:jc w:val="center"/>
              <w:rPr>
                <w:rFonts w:ascii="Myriad Pro" w:hAnsi="Myriad Pro"/>
                <w:sz w:val="18"/>
                <w:szCs w:val="18"/>
              </w:rPr>
            </w:pPr>
          </w:p>
        </w:tc>
        <w:tc>
          <w:tcPr>
            <w:tcW w:w="1250" w:type="pct"/>
            <w:gridSpan w:val="3"/>
          </w:tcPr>
          <w:p w:rsidR="00B2286D" w:rsidRPr="00B2286D" w:rsidRDefault="00B2286D" w:rsidP="00B2286D">
            <w:pPr>
              <w:cnfStyle w:val="100000000000" w:firstRow="1"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M65</w:t>
            </w:r>
          </w:p>
        </w:tc>
        <w:tc>
          <w:tcPr>
            <w:tcW w:w="1250" w:type="pct"/>
            <w:gridSpan w:val="3"/>
          </w:tcPr>
          <w:p w:rsidR="00B2286D" w:rsidRPr="00B2286D" w:rsidRDefault="00B2286D" w:rsidP="00B2286D">
            <w:pPr>
              <w:cnfStyle w:val="100000000000" w:firstRow="1"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 xml:space="preserve">         M30 </w:t>
            </w:r>
          </w:p>
        </w:tc>
        <w:tc>
          <w:tcPr>
            <w:tcW w:w="1250" w:type="pct"/>
            <w:gridSpan w:val="2"/>
          </w:tcPr>
          <w:p w:rsidR="00B2286D" w:rsidRPr="00B2286D" w:rsidRDefault="00B2286D" w:rsidP="00B2286D">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M30 /M65 Ratio</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714" w:type="pct"/>
          </w:tcPr>
          <w:p w:rsidR="00B2286D" w:rsidRPr="00B2286D" w:rsidRDefault="00B2286D" w:rsidP="00B2286D">
            <w:pPr>
              <w:jc w:val="center"/>
              <w:rPr>
                <w:rFonts w:ascii="Myriad Pro" w:hAnsi="Myriad Pro"/>
                <w:sz w:val="18"/>
                <w:szCs w:val="18"/>
              </w:rPr>
            </w:pPr>
            <w:r w:rsidRPr="00B2286D">
              <w:rPr>
                <w:rFonts w:ascii="Myriad Pro" w:hAnsi="Myriad Pro"/>
                <w:sz w:val="18"/>
                <w:szCs w:val="18"/>
              </w:rPr>
              <w:t xml:space="preserve">Patient </w:t>
            </w:r>
          </w:p>
        </w:tc>
        <w:tc>
          <w:tcPr>
            <w:tcW w:w="714" w:type="pct"/>
            <w:gridSpan w:val="2"/>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hAnsi="Myriad Pro"/>
                <w:b/>
                <w:sz w:val="18"/>
                <w:szCs w:val="18"/>
              </w:rPr>
              <w:t>Pre</w:t>
            </w:r>
          </w:p>
        </w:tc>
        <w:tc>
          <w:tcPr>
            <w:tcW w:w="714" w:type="pct"/>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hAnsi="Myriad Pro"/>
                <w:b/>
                <w:sz w:val="18"/>
                <w:szCs w:val="18"/>
              </w:rPr>
              <w:t xml:space="preserve">Post </w:t>
            </w:r>
          </w:p>
        </w:tc>
        <w:tc>
          <w:tcPr>
            <w:tcW w:w="714" w:type="pct"/>
            <w:gridSpan w:val="2"/>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hAnsi="Myriad Pro"/>
                <w:b/>
                <w:sz w:val="18"/>
                <w:szCs w:val="18"/>
              </w:rPr>
              <w:t>Pre</w:t>
            </w:r>
          </w:p>
        </w:tc>
        <w:tc>
          <w:tcPr>
            <w:tcW w:w="714" w:type="pct"/>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hAnsi="Myriad Pro"/>
                <w:b/>
                <w:sz w:val="18"/>
                <w:szCs w:val="18"/>
              </w:rPr>
              <w:t xml:space="preserve">Post </w:t>
            </w:r>
          </w:p>
        </w:tc>
        <w:tc>
          <w:tcPr>
            <w:tcW w:w="714" w:type="pct"/>
            <w:gridSpan w:val="2"/>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hAnsi="Myriad Pro"/>
                <w:b/>
                <w:sz w:val="18"/>
                <w:szCs w:val="18"/>
              </w:rPr>
              <w:t xml:space="preserve">Pre </w:t>
            </w:r>
          </w:p>
        </w:tc>
        <w:tc>
          <w:tcPr>
            <w:tcW w:w="715" w:type="pct"/>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hAnsi="Myriad Pro"/>
                <w:b/>
                <w:sz w:val="18"/>
                <w:szCs w:val="18"/>
              </w:rPr>
              <w:t xml:space="preserve">Post </w:t>
            </w:r>
          </w:p>
        </w:tc>
      </w:tr>
      <w:tr w:rsidR="00B2286D" w:rsidRPr="00B2286D" w:rsidTr="005E2668">
        <w:trPr>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D0CECE" w:themeFill="background2" w:themeFillShade="E6"/>
          </w:tcPr>
          <w:p w:rsidR="00B2286D" w:rsidRPr="00B2286D" w:rsidRDefault="00B2286D" w:rsidP="00B2286D">
            <w:pPr>
              <w:jc w:val="center"/>
              <w:rPr>
                <w:rFonts w:ascii="Myriad Pro" w:hAnsi="Myriad Pro"/>
                <w:sz w:val="18"/>
                <w:szCs w:val="18"/>
              </w:rPr>
            </w:pPr>
            <w:r w:rsidRPr="00B2286D">
              <w:rPr>
                <w:rFonts w:ascii="Myriad Pro" w:hAnsi="Myriad Pro"/>
                <w:sz w:val="18"/>
                <w:szCs w:val="18"/>
              </w:rPr>
              <w:t>1</w:t>
            </w:r>
          </w:p>
        </w:tc>
        <w:tc>
          <w:tcPr>
            <w:tcW w:w="714" w:type="pct"/>
            <w:gridSpan w:val="2"/>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247.79</w:t>
            </w:r>
          </w:p>
        </w:tc>
        <w:tc>
          <w:tcPr>
            <w:tcW w:w="714" w:type="pct"/>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215.24</w:t>
            </w:r>
          </w:p>
        </w:tc>
        <w:tc>
          <w:tcPr>
            <w:tcW w:w="714" w:type="pct"/>
            <w:gridSpan w:val="2"/>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157.40</w:t>
            </w:r>
          </w:p>
        </w:tc>
        <w:tc>
          <w:tcPr>
            <w:tcW w:w="714" w:type="pct"/>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126.55</w:t>
            </w:r>
          </w:p>
        </w:tc>
        <w:tc>
          <w:tcPr>
            <w:tcW w:w="714" w:type="pct"/>
            <w:gridSpan w:val="2"/>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0.64</w:t>
            </w:r>
          </w:p>
        </w:tc>
        <w:tc>
          <w:tcPr>
            <w:tcW w:w="715" w:type="pct"/>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0.59</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D0CECE" w:themeFill="background2" w:themeFillShade="E6"/>
          </w:tcPr>
          <w:p w:rsidR="00B2286D" w:rsidRPr="00B2286D" w:rsidRDefault="00B2286D" w:rsidP="00B2286D">
            <w:pPr>
              <w:jc w:val="center"/>
              <w:rPr>
                <w:rFonts w:ascii="Myriad Pro" w:hAnsi="Myriad Pro"/>
                <w:sz w:val="18"/>
                <w:szCs w:val="18"/>
              </w:rPr>
            </w:pPr>
            <w:r w:rsidRPr="00B2286D">
              <w:rPr>
                <w:rFonts w:ascii="Myriad Pro" w:hAnsi="Myriad Pro"/>
                <w:sz w:val="18"/>
                <w:szCs w:val="18"/>
              </w:rPr>
              <w:t>2</w:t>
            </w:r>
          </w:p>
        </w:tc>
        <w:tc>
          <w:tcPr>
            <w:tcW w:w="714" w:type="pct"/>
            <w:gridSpan w:val="2"/>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95.88</w:t>
            </w:r>
          </w:p>
        </w:tc>
        <w:tc>
          <w:tcPr>
            <w:tcW w:w="714" w:type="pct"/>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150.09</w:t>
            </w:r>
          </w:p>
        </w:tc>
        <w:tc>
          <w:tcPr>
            <w:tcW w:w="714" w:type="pct"/>
            <w:gridSpan w:val="2"/>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207.92</w:t>
            </w:r>
          </w:p>
        </w:tc>
        <w:tc>
          <w:tcPr>
            <w:tcW w:w="714" w:type="pct"/>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207.65</w:t>
            </w:r>
          </w:p>
        </w:tc>
        <w:tc>
          <w:tcPr>
            <w:tcW w:w="714" w:type="pct"/>
            <w:gridSpan w:val="2"/>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2.17</w:t>
            </w:r>
          </w:p>
        </w:tc>
        <w:tc>
          <w:tcPr>
            <w:tcW w:w="715" w:type="pct"/>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1.38</w:t>
            </w:r>
          </w:p>
        </w:tc>
      </w:tr>
      <w:tr w:rsidR="00B2286D" w:rsidRPr="00B2286D" w:rsidTr="005E2668">
        <w:trPr>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D0CECE" w:themeFill="background2" w:themeFillShade="E6"/>
          </w:tcPr>
          <w:p w:rsidR="00B2286D" w:rsidRPr="00B2286D" w:rsidRDefault="00B2286D" w:rsidP="00B2286D">
            <w:pPr>
              <w:jc w:val="center"/>
              <w:rPr>
                <w:rFonts w:ascii="Myriad Pro" w:hAnsi="Myriad Pro"/>
                <w:sz w:val="18"/>
                <w:szCs w:val="18"/>
              </w:rPr>
            </w:pPr>
            <w:r w:rsidRPr="00B2286D">
              <w:rPr>
                <w:rFonts w:ascii="Myriad Pro" w:hAnsi="Myriad Pro"/>
                <w:sz w:val="18"/>
                <w:szCs w:val="18"/>
              </w:rPr>
              <w:t>3</w:t>
            </w:r>
          </w:p>
        </w:tc>
        <w:tc>
          <w:tcPr>
            <w:tcW w:w="714" w:type="pct"/>
            <w:gridSpan w:val="2"/>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213.40</w:t>
            </w:r>
          </w:p>
        </w:tc>
        <w:tc>
          <w:tcPr>
            <w:tcW w:w="714" w:type="pct"/>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302.12</w:t>
            </w:r>
          </w:p>
        </w:tc>
        <w:tc>
          <w:tcPr>
            <w:tcW w:w="714" w:type="pct"/>
            <w:gridSpan w:val="2"/>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74.12</w:t>
            </w:r>
          </w:p>
        </w:tc>
        <w:tc>
          <w:tcPr>
            <w:tcW w:w="714" w:type="pct"/>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156.60</w:t>
            </w:r>
          </w:p>
        </w:tc>
        <w:tc>
          <w:tcPr>
            <w:tcW w:w="714" w:type="pct"/>
            <w:gridSpan w:val="2"/>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0.35</w:t>
            </w:r>
          </w:p>
        </w:tc>
        <w:tc>
          <w:tcPr>
            <w:tcW w:w="715" w:type="pct"/>
            <w:shd w:val="clear" w:color="auto" w:fill="D0CECE" w:themeFill="background2" w:themeFillShade="E6"/>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0.52</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D0CECE" w:themeFill="background2" w:themeFillShade="E6"/>
          </w:tcPr>
          <w:p w:rsidR="00B2286D" w:rsidRPr="00B2286D" w:rsidRDefault="00B2286D" w:rsidP="00B2286D">
            <w:pPr>
              <w:jc w:val="center"/>
              <w:rPr>
                <w:rFonts w:ascii="Myriad Pro" w:hAnsi="Myriad Pro"/>
                <w:sz w:val="18"/>
                <w:szCs w:val="18"/>
              </w:rPr>
            </w:pPr>
            <w:r w:rsidRPr="00B2286D">
              <w:rPr>
                <w:rFonts w:ascii="Myriad Pro" w:hAnsi="Myriad Pro"/>
                <w:sz w:val="18"/>
                <w:szCs w:val="18"/>
              </w:rPr>
              <w:t>4</w:t>
            </w:r>
          </w:p>
        </w:tc>
        <w:tc>
          <w:tcPr>
            <w:tcW w:w="714" w:type="pct"/>
            <w:gridSpan w:val="2"/>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279.57</w:t>
            </w:r>
          </w:p>
        </w:tc>
        <w:tc>
          <w:tcPr>
            <w:tcW w:w="714" w:type="pct"/>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224.54</w:t>
            </w:r>
          </w:p>
        </w:tc>
        <w:tc>
          <w:tcPr>
            <w:tcW w:w="714" w:type="pct"/>
            <w:gridSpan w:val="2"/>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164.31</w:t>
            </w:r>
          </w:p>
        </w:tc>
        <w:tc>
          <w:tcPr>
            <w:tcW w:w="714" w:type="pct"/>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136.98</w:t>
            </w:r>
          </w:p>
        </w:tc>
        <w:tc>
          <w:tcPr>
            <w:tcW w:w="714" w:type="pct"/>
            <w:gridSpan w:val="2"/>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0.59</w:t>
            </w:r>
          </w:p>
        </w:tc>
        <w:tc>
          <w:tcPr>
            <w:tcW w:w="715" w:type="pct"/>
            <w:shd w:val="clear" w:color="auto" w:fill="D0CECE" w:themeFill="background2" w:themeFillShade="E6"/>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0.61</w:t>
            </w:r>
          </w:p>
        </w:tc>
      </w:tr>
      <w:tr w:rsidR="00B2286D" w:rsidRPr="00B2286D" w:rsidTr="005E2668">
        <w:trPr>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5</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359.66</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213.33</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144.05</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102.72</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0.40</w:t>
            </w:r>
          </w:p>
        </w:tc>
        <w:tc>
          <w:tcPr>
            <w:tcW w:w="715"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0.48</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6</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98.02</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119.73</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78.84</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88.31</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0.80</w:t>
            </w:r>
          </w:p>
        </w:tc>
        <w:tc>
          <w:tcPr>
            <w:tcW w:w="715"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0.74</w:t>
            </w:r>
          </w:p>
        </w:tc>
      </w:tr>
      <w:tr w:rsidR="00B2286D" w:rsidRPr="00B2286D" w:rsidTr="005E2668">
        <w:trPr>
          <w:trHeight w:val="533"/>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7</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190.82</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294.68</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116.78</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149.05</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0.61</w:t>
            </w:r>
          </w:p>
        </w:tc>
        <w:tc>
          <w:tcPr>
            <w:tcW w:w="715"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0.51</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8</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141.48</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369.06</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124.90</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206.24</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0.88</w:t>
            </w:r>
          </w:p>
        </w:tc>
        <w:tc>
          <w:tcPr>
            <w:tcW w:w="715"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0.56</w:t>
            </w:r>
          </w:p>
        </w:tc>
      </w:tr>
      <w:tr w:rsidR="00B2286D" w:rsidRPr="00B2286D" w:rsidTr="005E2668">
        <w:trPr>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9</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121.74</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140.36</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98.43</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104.71</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0.81</w:t>
            </w:r>
          </w:p>
        </w:tc>
        <w:tc>
          <w:tcPr>
            <w:tcW w:w="715"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0.75</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10</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304.61</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211.83</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66.26</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57.25</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0.22</w:t>
            </w:r>
          </w:p>
        </w:tc>
        <w:tc>
          <w:tcPr>
            <w:tcW w:w="715"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0.27</w:t>
            </w:r>
          </w:p>
        </w:tc>
      </w:tr>
      <w:tr w:rsidR="00B2286D" w:rsidRPr="00B2286D" w:rsidTr="005E2668">
        <w:trPr>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11</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50.33</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66.91</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32.15</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47.77</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0.64</w:t>
            </w:r>
          </w:p>
        </w:tc>
        <w:tc>
          <w:tcPr>
            <w:tcW w:w="715"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0.71</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12</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84.44</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84.44</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47.21</w:t>
            </w:r>
          </w:p>
        </w:tc>
        <w:tc>
          <w:tcPr>
            <w:tcW w:w="714"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50.12</w:t>
            </w:r>
          </w:p>
        </w:tc>
        <w:tc>
          <w:tcPr>
            <w:tcW w:w="714" w:type="pct"/>
            <w:gridSpan w:val="2"/>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0.56</w:t>
            </w:r>
          </w:p>
        </w:tc>
        <w:tc>
          <w:tcPr>
            <w:tcW w:w="715" w:type="pct"/>
            <w:shd w:val="clear" w:color="auto" w:fill="AEAAAA" w:themeFill="background2" w:themeFillShade="BF"/>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0.59</w:t>
            </w:r>
          </w:p>
        </w:tc>
      </w:tr>
      <w:tr w:rsidR="00B2286D" w:rsidRPr="00B2286D" w:rsidTr="005E2668">
        <w:trPr>
          <w:trHeight w:val="533"/>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AEAAAA" w:themeFill="background2" w:themeFillShade="BF"/>
          </w:tcPr>
          <w:p w:rsidR="00B2286D" w:rsidRPr="00B2286D" w:rsidRDefault="00B2286D" w:rsidP="00B2286D">
            <w:pPr>
              <w:jc w:val="center"/>
              <w:rPr>
                <w:rFonts w:ascii="Myriad Pro" w:hAnsi="Myriad Pro"/>
                <w:sz w:val="18"/>
                <w:szCs w:val="18"/>
              </w:rPr>
            </w:pPr>
            <w:r w:rsidRPr="00B2286D">
              <w:rPr>
                <w:rFonts w:ascii="Myriad Pro" w:hAnsi="Myriad Pro"/>
                <w:sz w:val="18"/>
                <w:szCs w:val="18"/>
              </w:rPr>
              <w:t>13</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169.94</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180.82</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74.07</w:t>
            </w:r>
          </w:p>
        </w:tc>
        <w:tc>
          <w:tcPr>
            <w:tcW w:w="714"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64.07</w:t>
            </w:r>
          </w:p>
        </w:tc>
        <w:tc>
          <w:tcPr>
            <w:tcW w:w="714" w:type="pct"/>
            <w:gridSpan w:val="2"/>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0.44</w:t>
            </w:r>
          </w:p>
        </w:tc>
        <w:tc>
          <w:tcPr>
            <w:tcW w:w="715" w:type="pct"/>
            <w:shd w:val="clear" w:color="auto" w:fill="AEAAAA" w:themeFill="background2" w:themeFillShade="BF"/>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0.35</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767171" w:themeFill="background2" w:themeFillShade="80"/>
          </w:tcPr>
          <w:p w:rsidR="00B2286D" w:rsidRPr="00B2286D" w:rsidRDefault="00B2286D" w:rsidP="00B2286D">
            <w:pPr>
              <w:jc w:val="center"/>
              <w:rPr>
                <w:rFonts w:ascii="Myriad Pro" w:hAnsi="Myriad Pro"/>
                <w:sz w:val="18"/>
                <w:szCs w:val="18"/>
              </w:rPr>
            </w:pPr>
            <w:r w:rsidRPr="00B2286D">
              <w:rPr>
                <w:rFonts w:ascii="Myriad Pro" w:hAnsi="Myriad Pro"/>
                <w:sz w:val="18"/>
                <w:szCs w:val="18"/>
              </w:rPr>
              <w:t>14</w:t>
            </w:r>
          </w:p>
        </w:tc>
        <w:tc>
          <w:tcPr>
            <w:tcW w:w="714" w:type="pct"/>
            <w:gridSpan w:val="2"/>
            <w:shd w:val="clear" w:color="auto" w:fill="767171" w:themeFill="background2" w:themeFillShade="80"/>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113.15</w:t>
            </w:r>
          </w:p>
        </w:tc>
        <w:tc>
          <w:tcPr>
            <w:tcW w:w="714" w:type="pct"/>
            <w:shd w:val="clear" w:color="auto" w:fill="767171" w:themeFill="background2" w:themeFillShade="80"/>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164.93</w:t>
            </w:r>
          </w:p>
        </w:tc>
        <w:tc>
          <w:tcPr>
            <w:tcW w:w="714" w:type="pct"/>
            <w:gridSpan w:val="2"/>
            <w:shd w:val="clear" w:color="auto" w:fill="767171" w:themeFill="background2" w:themeFillShade="80"/>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67.46</w:t>
            </w:r>
          </w:p>
        </w:tc>
        <w:tc>
          <w:tcPr>
            <w:tcW w:w="714" w:type="pct"/>
            <w:shd w:val="clear" w:color="auto" w:fill="767171" w:themeFill="background2" w:themeFillShade="80"/>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84.10</w:t>
            </w:r>
          </w:p>
        </w:tc>
        <w:tc>
          <w:tcPr>
            <w:tcW w:w="714" w:type="pct"/>
            <w:gridSpan w:val="2"/>
            <w:shd w:val="clear" w:color="auto" w:fill="767171" w:themeFill="background2" w:themeFillShade="80"/>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0.60</w:t>
            </w:r>
          </w:p>
        </w:tc>
        <w:tc>
          <w:tcPr>
            <w:tcW w:w="715" w:type="pct"/>
            <w:shd w:val="clear" w:color="auto" w:fill="767171" w:themeFill="background2" w:themeFillShade="80"/>
          </w:tcPr>
          <w:p w:rsidR="00B2286D" w:rsidRPr="00B2286D" w:rsidRDefault="00B2286D" w:rsidP="00B2286D">
            <w:pPr>
              <w:jc w:val="center"/>
              <w:cnfStyle w:val="000000100000" w:firstRow="0" w:lastRow="0" w:firstColumn="0" w:lastColumn="0" w:oddVBand="0" w:evenVBand="0" w:oddHBand="1"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0.51</w:t>
            </w:r>
          </w:p>
        </w:tc>
      </w:tr>
      <w:tr w:rsidR="00B2286D" w:rsidRPr="00B2286D" w:rsidTr="005E2668">
        <w:trPr>
          <w:trHeight w:val="444"/>
          <w:jc w:val="center"/>
        </w:trPr>
        <w:tc>
          <w:tcPr>
            <w:cnfStyle w:val="001000000000" w:firstRow="0" w:lastRow="0" w:firstColumn="1" w:lastColumn="0" w:oddVBand="0" w:evenVBand="0" w:oddHBand="0" w:evenHBand="0" w:firstRowFirstColumn="0" w:firstRowLastColumn="0" w:lastRowFirstColumn="0" w:lastRowLastColumn="0"/>
            <w:tcW w:w="714" w:type="pct"/>
            <w:shd w:val="clear" w:color="auto" w:fill="767171" w:themeFill="background2" w:themeFillShade="80"/>
          </w:tcPr>
          <w:p w:rsidR="00B2286D" w:rsidRPr="00B2286D" w:rsidRDefault="00B2286D" w:rsidP="00B2286D">
            <w:pPr>
              <w:jc w:val="center"/>
              <w:rPr>
                <w:rFonts w:ascii="Myriad Pro" w:hAnsi="Myriad Pro"/>
                <w:sz w:val="18"/>
                <w:szCs w:val="18"/>
              </w:rPr>
            </w:pPr>
            <w:r w:rsidRPr="00B2286D">
              <w:rPr>
                <w:rFonts w:ascii="Myriad Pro" w:hAnsi="Myriad Pro"/>
                <w:sz w:val="18"/>
                <w:szCs w:val="18"/>
              </w:rPr>
              <w:t>15</w:t>
            </w:r>
          </w:p>
        </w:tc>
        <w:tc>
          <w:tcPr>
            <w:tcW w:w="714" w:type="pct"/>
            <w:gridSpan w:val="2"/>
            <w:shd w:val="clear" w:color="auto" w:fill="767171" w:themeFill="background2" w:themeFillShade="80"/>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72.23</w:t>
            </w:r>
          </w:p>
        </w:tc>
        <w:tc>
          <w:tcPr>
            <w:tcW w:w="714" w:type="pct"/>
            <w:shd w:val="clear" w:color="auto" w:fill="767171" w:themeFill="background2" w:themeFillShade="80"/>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139.22</w:t>
            </w:r>
          </w:p>
        </w:tc>
        <w:tc>
          <w:tcPr>
            <w:tcW w:w="714" w:type="pct"/>
            <w:gridSpan w:val="2"/>
            <w:shd w:val="clear" w:color="auto" w:fill="767171" w:themeFill="background2" w:themeFillShade="80"/>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74.44</w:t>
            </w:r>
          </w:p>
        </w:tc>
        <w:tc>
          <w:tcPr>
            <w:tcW w:w="714" w:type="pct"/>
            <w:shd w:val="clear" w:color="auto" w:fill="767171" w:themeFill="background2" w:themeFillShade="80"/>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74.92</w:t>
            </w:r>
          </w:p>
        </w:tc>
        <w:tc>
          <w:tcPr>
            <w:tcW w:w="714" w:type="pct"/>
            <w:gridSpan w:val="2"/>
            <w:shd w:val="clear" w:color="auto" w:fill="767171" w:themeFill="background2" w:themeFillShade="80"/>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1.03</w:t>
            </w:r>
          </w:p>
        </w:tc>
        <w:tc>
          <w:tcPr>
            <w:tcW w:w="715" w:type="pct"/>
            <w:shd w:val="clear" w:color="auto" w:fill="767171" w:themeFill="background2" w:themeFillShade="80"/>
          </w:tcPr>
          <w:p w:rsidR="00B2286D" w:rsidRPr="00B2286D" w:rsidRDefault="00B2286D" w:rsidP="00B2286D">
            <w:pPr>
              <w:jc w:val="center"/>
              <w:cnfStyle w:val="000000000000" w:firstRow="0" w:lastRow="0" w:firstColumn="0" w:lastColumn="0" w:oddVBand="0" w:evenVBand="0" w:oddHBand="0" w:evenHBand="0" w:firstRowFirstColumn="0" w:firstRowLastColumn="0" w:lastRowFirstColumn="0" w:lastRowLastColumn="0"/>
              <w:rPr>
                <w:rFonts w:ascii="Myriad Pro" w:hAnsi="Myriad Pro"/>
                <w:b/>
                <w:sz w:val="18"/>
                <w:szCs w:val="18"/>
              </w:rPr>
            </w:pPr>
            <w:r w:rsidRPr="00B2286D">
              <w:rPr>
                <w:rFonts w:ascii="Myriad Pro" w:eastAsia="Times New Roman" w:hAnsi="Myriad Pro" w:cs="Times New Roman"/>
                <w:color w:val="000000"/>
                <w:sz w:val="18"/>
                <w:szCs w:val="18"/>
                <w:lang w:eastAsia="en-GB"/>
              </w:rPr>
              <w:t>0.54</w:t>
            </w:r>
          </w:p>
        </w:tc>
      </w:tr>
    </w:tbl>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p>
    <w:p w:rsidR="00B2286D" w:rsidRPr="00B2286D" w:rsidRDefault="00B2286D" w:rsidP="00B2286D">
      <w:pPr>
        <w:jc w:val="center"/>
        <w:rPr>
          <w:rFonts w:ascii="Myriad Pro" w:hAnsi="Myriad Pro"/>
          <w:b/>
          <w:sz w:val="18"/>
          <w:szCs w:val="18"/>
        </w:rPr>
      </w:pPr>
      <w:r w:rsidRPr="00B2286D">
        <w:rPr>
          <w:noProof/>
          <w:lang w:eastAsia="en-GB"/>
        </w:rPr>
        <mc:AlternateContent>
          <mc:Choice Requires="wps">
            <w:drawing>
              <wp:anchor distT="0" distB="0" distL="114300" distR="114300" simplePos="0" relativeHeight="251660288" behindDoc="0" locked="0" layoutInCell="1" allowOverlap="1" wp14:anchorId="3719B875" wp14:editId="70C62F67">
                <wp:simplePos x="0" y="0"/>
                <wp:positionH relativeFrom="column">
                  <wp:posOffset>175260</wp:posOffset>
                </wp:positionH>
                <wp:positionV relativeFrom="paragraph">
                  <wp:posOffset>362585</wp:posOffset>
                </wp:positionV>
                <wp:extent cx="207010" cy="45085"/>
                <wp:effectExtent l="0" t="0" r="21590" b="31115"/>
                <wp:wrapThrough wrapText="bothSides">
                  <wp:wrapPolygon edited="0">
                    <wp:start x="0" y="0"/>
                    <wp:lineTo x="0" y="24338"/>
                    <wp:lineTo x="21202" y="24338"/>
                    <wp:lineTo x="21202" y="0"/>
                    <wp:lineTo x="0" y="0"/>
                  </wp:wrapPolygon>
                </wp:wrapThrough>
                <wp:docPr id="13" name="Rectangle 13"/>
                <wp:cNvGraphicFramePr/>
                <a:graphic xmlns:a="http://schemas.openxmlformats.org/drawingml/2006/main">
                  <a:graphicData uri="http://schemas.microsoft.com/office/word/2010/wordprocessingShape">
                    <wps:wsp>
                      <wps:cNvSpPr/>
                      <wps:spPr>
                        <a:xfrm>
                          <a:off x="0" y="0"/>
                          <a:ext cx="207010" cy="45085"/>
                        </a:xfrm>
                        <a:prstGeom prst="rect">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C11A01" id="Rectangle 13" o:spid="_x0000_s1026" style="position:absolute;margin-left:13.8pt;margin-top:28.55pt;width:16.3pt;height:3.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" fillcolor="#d0cece" strokecolor="windowText" strokeweight="1pt">
                <w10:wrap type="through"/>
              </v:rect>
            </w:pict>
          </mc:Fallback>
        </mc:AlternateContent>
      </w:r>
    </w:p>
    <w:p w:rsidR="00B2286D" w:rsidRPr="00B2286D" w:rsidRDefault="00B2286D" w:rsidP="00B2286D">
      <w:pPr>
        <w:jc w:val="center"/>
        <w:rPr>
          <w:rFonts w:ascii="Myriad Pro" w:hAnsi="Myriad Pro"/>
          <w:b/>
          <w:sz w:val="18"/>
          <w:szCs w:val="18"/>
        </w:rPr>
        <w:sectPr w:rsidR="00B2286D" w:rsidRPr="00B2286D" w:rsidSect="005D30CD">
          <w:pgSz w:w="11900" w:h="16840"/>
          <w:pgMar w:top="1440" w:right="1440" w:bottom="1440" w:left="1440" w:header="720" w:footer="720" w:gutter="0"/>
          <w:cols w:space="720"/>
          <w:docGrid w:linePitch="360"/>
        </w:sectPr>
      </w:pPr>
      <w:r w:rsidRPr="00B2286D">
        <w:rPr>
          <w:noProof/>
          <w:lang w:eastAsia="en-GB"/>
        </w:rPr>
        <mc:AlternateContent>
          <mc:Choice Requires="wps">
            <w:drawing>
              <wp:anchor distT="0" distB="0" distL="114300" distR="114300" simplePos="0" relativeHeight="251662336" behindDoc="0" locked="0" layoutInCell="1" allowOverlap="1" wp14:anchorId="7E156685" wp14:editId="160AEFEF">
                <wp:simplePos x="0" y="0"/>
                <wp:positionH relativeFrom="column">
                  <wp:posOffset>167005</wp:posOffset>
                </wp:positionH>
                <wp:positionV relativeFrom="paragraph">
                  <wp:posOffset>813238</wp:posOffset>
                </wp:positionV>
                <wp:extent cx="226910" cy="45719"/>
                <wp:effectExtent l="0" t="0" r="27305" b="31115"/>
                <wp:wrapThrough wrapText="bothSides">
                  <wp:wrapPolygon edited="0">
                    <wp:start x="0" y="0"/>
                    <wp:lineTo x="0" y="24338"/>
                    <wp:lineTo x="21782" y="24338"/>
                    <wp:lineTo x="21782" y="0"/>
                    <wp:lineTo x="0" y="0"/>
                  </wp:wrapPolygon>
                </wp:wrapThrough>
                <wp:docPr id="14" name="Rectangle 14"/>
                <wp:cNvGraphicFramePr/>
                <a:graphic xmlns:a="http://schemas.openxmlformats.org/drawingml/2006/main">
                  <a:graphicData uri="http://schemas.microsoft.com/office/word/2010/wordprocessingShape">
                    <wps:wsp>
                      <wps:cNvSpPr/>
                      <wps:spPr>
                        <a:xfrm flipV="1">
                          <a:off x="0" y="0"/>
                          <a:ext cx="226910" cy="45719"/>
                        </a:xfrm>
                        <a:prstGeom prst="rect">
                          <a:avLst/>
                        </a:prstGeom>
                        <a:solidFill>
                          <a:srgbClr val="E7E6E6">
                            <a:lumMod val="5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A75F7" id="Rectangle 14" o:spid="_x0000_s1026" style="position:absolute;margin-left:13.15pt;margin-top:64.05pt;width:17.85pt;height: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" fillcolor="#767171" strokecolor="windowText" strokeweight="1pt">
                <w10:wrap type="through"/>
              </v:rect>
            </w:pict>
          </mc:Fallback>
        </mc:AlternateContent>
      </w:r>
      <w:r w:rsidRPr="00B2286D">
        <w:rPr>
          <w:noProof/>
          <w:lang w:eastAsia="en-GB"/>
        </w:rPr>
        <mc:AlternateContent>
          <mc:Choice Requires="wps">
            <w:drawing>
              <wp:anchor distT="0" distB="0" distL="114300" distR="114300" simplePos="0" relativeHeight="251659264" behindDoc="0" locked="0" layoutInCell="1" allowOverlap="1" wp14:anchorId="3CA361CA" wp14:editId="62EB6489">
                <wp:simplePos x="0" y="0"/>
                <wp:positionH relativeFrom="column">
                  <wp:posOffset>-139065</wp:posOffset>
                </wp:positionH>
                <wp:positionV relativeFrom="paragraph">
                  <wp:posOffset>193675</wp:posOffset>
                </wp:positionV>
                <wp:extent cx="6414135" cy="1089025"/>
                <wp:effectExtent l="0" t="0" r="0" b="3175"/>
                <wp:wrapSquare wrapText="bothSides"/>
                <wp:docPr id="15" name="Text Box 15"/>
                <wp:cNvGraphicFramePr/>
                <a:graphic xmlns:a="http://schemas.openxmlformats.org/drawingml/2006/main">
                  <a:graphicData uri="http://schemas.microsoft.com/office/word/2010/wordprocessingShape">
                    <wps:wsp>
                      <wps:cNvSpPr txBox="1"/>
                      <wps:spPr>
                        <a:xfrm>
                          <a:off x="0" y="0"/>
                          <a:ext cx="6414135" cy="1089025"/>
                        </a:xfrm>
                        <a:prstGeom prst="rect">
                          <a:avLst/>
                        </a:prstGeom>
                        <a:noFill/>
                        <a:ln>
                          <a:noFill/>
                        </a:ln>
                        <a:effectLst/>
                      </wps:spPr>
                      <wps:txbx>
                        <w:txbxContent>
                          <w:p w:rsidR="00B2286D" w:rsidRDefault="00B2286D" w:rsidP="00B2286D">
                            <w:pPr>
                              <w:rPr>
                                <w:rFonts w:ascii="Myriad Pro" w:hAnsi="Myriad Pro" w:cs="Arial"/>
                                <w:bCs/>
                                <w:color w:val="000000"/>
                                <w:kern w:val="24"/>
                                <w:sz w:val="18"/>
                                <w:szCs w:val="18"/>
                                <w:lang w:eastAsia="en-GB"/>
                              </w:rPr>
                            </w:pPr>
                            <w:r>
                              <w:rPr>
                                <w:rFonts w:ascii="Myriad Pro" w:hAnsi="Myriad Pro" w:cs="Arial"/>
                                <w:b/>
                                <w:bCs/>
                                <w:color w:val="000000"/>
                                <w:kern w:val="24"/>
                                <w:sz w:val="18"/>
                                <w:szCs w:val="18"/>
                                <w:lang w:eastAsia="en-GB"/>
                              </w:rPr>
                              <w:tab/>
                            </w:r>
                            <w:r>
                              <w:rPr>
                                <w:rFonts w:ascii="Myriad Pro" w:hAnsi="Myriad Pro" w:cs="Arial"/>
                                <w:b/>
                                <w:bCs/>
                                <w:color w:val="000000"/>
                                <w:kern w:val="24"/>
                                <w:sz w:val="18"/>
                                <w:szCs w:val="18"/>
                                <w:lang w:eastAsia="en-GB"/>
                              </w:rPr>
                              <w:tab/>
                            </w:r>
                            <w:r w:rsidRPr="00D9079B">
                              <w:rPr>
                                <w:rFonts w:ascii="Myriad Pro" w:hAnsi="Myriad Pro" w:cs="Arial"/>
                                <w:bCs/>
                                <w:color w:val="000000"/>
                                <w:kern w:val="24"/>
                                <w:sz w:val="18"/>
                                <w:szCs w:val="18"/>
                                <w:lang w:eastAsia="en-GB"/>
                              </w:rPr>
                              <w:t>Light grey shading (patients 1-4, found to show a predominant apoptotic signature</w:t>
                            </w:r>
                            <w:r>
                              <w:rPr>
                                <w:rFonts w:ascii="Myriad Pro" w:hAnsi="Myriad Pro" w:cs="Arial"/>
                                <w:bCs/>
                                <w:color w:val="000000"/>
                                <w:kern w:val="24"/>
                                <w:sz w:val="18"/>
                                <w:szCs w:val="18"/>
                                <w:lang w:eastAsia="en-GB"/>
                              </w:rPr>
                              <w:t>).</w:t>
                            </w:r>
                          </w:p>
                          <w:p w:rsidR="00B2286D" w:rsidRPr="00D9079B" w:rsidRDefault="00B2286D" w:rsidP="00B2286D">
                            <w:pPr>
                              <w:rPr>
                                <w:rFonts w:ascii="Myriad Pro" w:hAnsi="Myriad Pro" w:cs="Arial"/>
                                <w:bCs/>
                                <w:color w:val="000000"/>
                                <w:kern w:val="24"/>
                                <w:sz w:val="18"/>
                                <w:szCs w:val="18"/>
                                <w:lang w:eastAsia="en-GB"/>
                              </w:rPr>
                            </w:pPr>
                          </w:p>
                          <w:p w:rsidR="00B2286D" w:rsidRDefault="00B2286D" w:rsidP="00B2286D">
                            <w:pPr>
                              <w:ind w:left="1440"/>
                              <w:rPr>
                                <w:rFonts w:ascii="Myriad Pro" w:hAnsi="Myriad Pro" w:cs="Arial"/>
                                <w:bCs/>
                                <w:color w:val="000000"/>
                                <w:kern w:val="24"/>
                                <w:sz w:val="18"/>
                                <w:szCs w:val="18"/>
                                <w:lang w:eastAsia="en-GB"/>
                              </w:rPr>
                            </w:pPr>
                            <w:r w:rsidRPr="00D9079B">
                              <w:rPr>
                                <w:rFonts w:ascii="Myriad Pro" w:hAnsi="Myriad Pro" w:cs="Arial"/>
                                <w:bCs/>
                                <w:color w:val="000000"/>
                                <w:kern w:val="24"/>
                                <w:sz w:val="18"/>
                                <w:szCs w:val="18"/>
                                <w:lang w:eastAsia="en-GB"/>
                              </w:rPr>
                              <w:t xml:space="preserve">Mid-grey shading (patients 5-13, found to show a predominant necrotic and/or necrotic/apoptotic signature). </w:t>
                            </w:r>
                          </w:p>
                          <w:p w:rsidR="00B2286D" w:rsidRPr="00D9079B" w:rsidRDefault="00B2286D" w:rsidP="00B2286D">
                            <w:pPr>
                              <w:ind w:left="1440"/>
                              <w:rPr>
                                <w:rFonts w:ascii="Myriad Pro" w:hAnsi="Myriad Pro" w:cs="Arial"/>
                                <w:bCs/>
                                <w:color w:val="000000"/>
                                <w:kern w:val="24"/>
                                <w:sz w:val="18"/>
                                <w:szCs w:val="18"/>
                                <w:lang w:eastAsia="en-GB"/>
                              </w:rPr>
                            </w:pPr>
                          </w:p>
                          <w:p w:rsidR="00B2286D" w:rsidRDefault="00B2286D" w:rsidP="00B2286D">
                            <w:pPr>
                              <w:ind w:left="1440"/>
                              <w:rPr>
                                <w:rFonts w:ascii="Myriad Pro" w:hAnsi="Myriad Pro" w:cs="Arial"/>
                                <w:bCs/>
                                <w:color w:val="000000"/>
                                <w:kern w:val="24"/>
                                <w:sz w:val="18"/>
                                <w:szCs w:val="18"/>
                                <w:lang w:eastAsia="en-GB"/>
                              </w:rPr>
                            </w:pPr>
                            <w:r w:rsidRPr="00D9079B">
                              <w:rPr>
                                <w:rFonts w:ascii="Myriad Pro" w:hAnsi="Myriad Pro" w:cs="Arial"/>
                                <w:bCs/>
                                <w:color w:val="000000"/>
                                <w:kern w:val="24"/>
                                <w:sz w:val="18"/>
                                <w:szCs w:val="18"/>
                                <w:lang w:eastAsia="en-GB"/>
                              </w:rPr>
                              <w:t xml:space="preserve">Dark grey shading (patients 14 and 15, found to show neither a predominant apoptotic </w:t>
                            </w:r>
                            <w:r>
                              <w:rPr>
                                <w:rFonts w:ascii="Myriad Pro" w:hAnsi="Myriad Pro" w:cs="Arial"/>
                                <w:bCs/>
                                <w:color w:val="000000"/>
                                <w:kern w:val="24"/>
                                <w:sz w:val="18"/>
                                <w:szCs w:val="18"/>
                                <w:lang w:eastAsia="en-GB"/>
                              </w:rPr>
                              <w:t>n</w:t>
                            </w:r>
                            <w:r w:rsidRPr="00D9079B">
                              <w:rPr>
                                <w:rFonts w:ascii="Myriad Pro" w:hAnsi="Myriad Pro" w:cs="Arial"/>
                                <w:bCs/>
                                <w:color w:val="000000"/>
                                <w:kern w:val="24"/>
                                <w:sz w:val="18"/>
                                <w:szCs w:val="18"/>
                                <w:lang w:eastAsia="en-GB"/>
                              </w:rPr>
                              <w:t>or necrotic shift).</w:t>
                            </w:r>
                          </w:p>
                          <w:p w:rsidR="00B2286D" w:rsidRPr="00D9079B" w:rsidRDefault="00B2286D" w:rsidP="00B2286D">
                            <w:pPr>
                              <w:ind w:left="1440"/>
                              <w:rPr>
                                <w:rFonts w:ascii="Myriad Pro" w:hAnsi="Myriad Pro" w:cs="Arial"/>
                                <w:bCs/>
                                <w:color w:val="000000"/>
                                <w:kern w:val="24"/>
                                <w:sz w:val="18"/>
                                <w:szCs w:val="18"/>
                                <w:lang w:eastAsia="en-GB"/>
                              </w:rPr>
                            </w:pPr>
                          </w:p>
                          <w:p w:rsidR="00B2286D" w:rsidRPr="003B0D5D" w:rsidRDefault="00B2286D" w:rsidP="00B2286D">
                            <w:pPr>
                              <w:rPr>
                                <w:rFonts w:ascii="Arial" w:hAnsi="Arial" w:cs="Arial"/>
                                <w:b/>
                                <w:color w:val="000000"/>
                                <w:kern w:val="24"/>
                                <w:sz w:val="16"/>
                                <w:szCs w:val="16"/>
                                <w:lang w:eastAsia="en-GB"/>
                              </w:rPr>
                            </w:pPr>
                          </w:p>
                          <w:p w:rsidR="00B2286D" w:rsidRPr="003B0D5D" w:rsidRDefault="00B2286D" w:rsidP="00B2286D">
                            <w:pPr>
                              <w:rPr>
                                <w:rFonts w:ascii="Arial" w:hAnsi="Arial" w:cs="Arial"/>
                                <w:lang w:eastAsia="en-GB"/>
                              </w:rPr>
                            </w:pPr>
                          </w:p>
                          <w:p w:rsidR="00B2286D" w:rsidRDefault="00B2286D" w:rsidP="00B2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361CA" id="_x0000_t202" coordsize="21600,21600" o:spt="202" path="m,l,21600r21600,l21600,xe">
                <v:stroke joinstyle="miter"/>
                <v:path gradientshapeok="t" o:connecttype="rect"/>
              </v:shapetype>
              <v:shape id="Text Box 15" o:spid="_x0000_s1026" type="#_x0000_t202" style="position:absolute;left:0;text-align:left;margin-left:-10.95pt;margin-top:15.25pt;width:505.05pt;height:8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" filled="f" stroked="f">
                <v:textbox>
                  <w:txbxContent>
                    <w:p w:rsidR="00B2286D" w:rsidRDefault="00B2286D" w:rsidP="00B2286D">
                      <w:pPr>
                        <w:rPr>
                          <w:rFonts w:ascii="Myriad Pro" w:hAnsi="Myriad Pro" w:cs="Arial"/>
                          <w:bCs/>
                          <w:color w:val="000000"/>
                          <w:kern w:val="24"/>
                          <w:sz w:val="18"/>
                          <w:szCs w:val="18"/>
                          <w:lang w:eastAsia="en-GB"/>
                        </w:rPr>
                      </w:pPr>
                      <w:r>
                        <w:rPr>
                          <w:rFonts w:ascii="Myriad Pro" w:hAnsi="Myriad Pro" w:cs="Arial"/>
                          <w:b/>
                          <w:bCs/>
                          <w:color w:val="000000"/>
                          <w:kern w:val="24"/>
                          <w:sz w:val="18"/>
                          <w:szCs w:val="18"/>
                          <w:lang w:eastAsia="en-GB"/>
                        </w:rPr>
                        <w:tab/>
                      </w:r>
                      <w:r>
                        <w:rPr>
                          <w:rFonts w:ascii="Myriad Pro" w:hAnsi="Myriad Pro" w:cs="Arial"/>
                          <w:b/>
                          <w:bCs/>
                          <w:color w:val="000000"/>
                          <w:kern w:val="24"/>
                          <w:sz w:val="18"/>
                          <w:szCs w:val="18"/>
                          <w:lang w:eastAsia="en-GB"/>
                        </w:rPr>
                        <w:tab/>
                      </w:r>
                      <w:r w:rsidRPr="00D9079B">
                        <w:rPr>
                          <w:rFonts w:ascii="Myriad Pro" w:hAnsi="Myriad Pro" w:cs="Arial"/>
                          <w:bCs/>
                          <w:color w:val="000000"/>
                          <w:kern w:val="24"/>
                          <w:sz w:val="18"/>
                          <w:szCs w:val="18"/>
                          <w:lang w:eastAsia="en-GB"/>
                        </w:rPr>
                        <w:t>Light grey shading (patients 1-4, found to show a predominant apoptotic signature</w:t>
                      </w:r>
                      <w:r>
                        <w:rPr>
                          <w:rFonts w:ascii="Myriad Pro" w:hAnsi="Myriad Pro" w:cs="Arial"/>
                          <w:bCs/>
                          <w:color w:val="000000"/>
                          <w:kern w:val="24"/>
                          <w:sz w:val="18"/>
                          <w:szCs w:val="18"/>
                          <w:lang w:eastAsia="en-GB"/>
                        </w:rPr>
                        <w:t>).</w:t>
                      </w:r>
                    </w:p>
                    <w:p w:rsidR="00B2286D" w:rsidRPr="00D9079B" w:rsidRDefault="00B2286D" w:rsidP="00B2286D">
                      <w:pPr>
                        <w:rPr>
                          <w:rFonts w:ascii="Myriad Pro" w:hAnsi="Myriad Pro" w:cs="Arial"/>
                          <w:bCs/>
                          <w:color w:val="000000"/>
                          <w:kern w:val="24"/>
                          <w:sz w:val="18"/>
                          <w:szCs w:val="18"/>
                          <w:lang w:eastAsia="en-GB"/>
                        </w:rPr>
                      </w:pPr>
                    </w:p>
                    <w:p w:rsidR="00B2286D" w:rsidRDefault="00B2286D" w:rsidP="00B2286D">
                      <w:pPr>
                        <w:ind w:left="1440"/>
                        <w:rPr>
                          <w:rFonts w:ascii="Myriad Pro" w:hAnsi="Myriad Pro" w:cs="Arial"/>
                          <w:bCs/>
                          <w:color w:val="000000"/>
                          <w:kern w:val="24"/>
                          <w:sz w:val="18"/>
                          <w:szCs w:val="18"/>
                          <w:lang w:eastAsia="en-GB"/>
                        </w:rPr>
                      </w:pPr>
                      <w:r w:rsidRPr="00D9079B">
                        <w:rPr>
                          <w:rFonts w:ascii="Myriad Pro" w:hAnsi="Myriad Pro" w:cs="Arial"/>
                          <w:bCs/>
                          <w:color w:val="000000"/>
                          <w:kern w:val="24"/>
                          <w:sz w:val="18"/>
                          <w:szCs w:val="18"/>
                          <w:lang w:eastAsia="en-GB"/>
                        </w:rPr>
                        <w:t xml:space="preserve">Mid-grey shading (patients 5-13, found to show a predominant necrotic and/or necrotic/apoptotic signature). </w:t>
                      </w:r>
                    </w:p>
                    <w:p w:rsidR="00B2286D" w:rsidRPr="00D9079B" w:rsidRDefault="00B2286D" w:rsidP="00B2286D">
                      <w:pPr>
                        <w:ind w:left="1440"/>
                        <w:rPr>
                          <w:rFonts w:ascii="Myriad Pro" w:hAnsi="Myriad Pro" w:cs="Arial"/>
                          <w:bCs/>
                          <w:color w:val="000000"/>
                          <w:kern w:val="24"/>
                          <w:sz w:val="18"/>
                          <w:szCs w:val="18"/>
                          <w:lang w:eastAsia="en-GB"/>
                        </w:rPr>
                      </w:pPr>
                    </w:p>
                    <w:p w:rsidR="00B2286D" w:rsidRDefault="00B2286D" w:rsidP="00B2286D">
                      <w:pPr>
                        <w:ind w:left="1440"/>
                        <w:rPr>
                          <w:rFonts w:ascii="Myriad Pro" w:hAnsi="Myriad Pro" w:cs="Arial"/>
                          <w:bCs/>
                          <w:color w:val="000000"/>
                          <w:kern w:val="24"/>
                          <w:sz w:val="18"/>
                          <w:szCs w:val="18"/>
                          <w:lang w:eastAsia="en-GB"/>
                        </w:rPr>
                      </w:pPr>
                      <w:r w:rsidRPr="00D9079B">
                        <w:rPr>
                          <w:rFonts w:ascii="Myriad Pro" w:hAnsi="Myriad Pro" w:cs="Arial"/>
                          <w:bCs/>
                          <w:color w:val="000000"/>
                          <w:kern w:val="24"/>
                          <w:sz w:val="18"/>
                          <w:szCs w:val="18"/>
                          <w:lang w:eastAsia="en-GB"/>
                        </w:rPr>
                        <w:t xml:space="preserve">Dark grey shading (patients 14 and 15, found to show neither a predominant apoptotic </w:t>
                      </w:r>
                      <w:r>
                        <w:rPr>
                          <w:rFonts w:ascii="Myriad Pro" w:hAnsi="Myriad Pro" w:cs="Arial"/>
                          <w:bCs/>
                          <w:color w:val="000000"/>
                          <w:kern w:val="24"/>
                          <w:sz w:val="18"/>
                          <w:szCs w:val="18"/>
                          <w:lang w:eastAsia="en-GB"/>
                        </w:rPr>
                        <w:t>n</w:t>
                      </w:r>
                      <w:r w:rsidRPr="00D9079B">
                        <w:rPr>
                          <w:rFonts w:ascii="Myriad Pro" w:hAnsi="Myriad Pro" w:cs="Arial"/>
                          <w:bCs/>
                          <w:color w:val="000000"/>
                          <w:kern w:val="24"/>
                          <w:sz w:val="18"/>
                          <w:szCs w:val="18"/>
                          <w:lang w:eastAsia="en-GB"/>
                        </w:rPr>
                        <w:t>or necrotic shift).</w:t>
                      </w:r>
                    </w:p>
                    <w:p w:rsidR="00B2286D" w:rsidRPr="00D9079B" w:rsidRDefault="00B2286D" w:rsidP="00B2286D">
                      <w:pPr>
                        <w:ind w:left="1440"/>
                        <w:rPr>
                          <w:rFonts w:ascii="Myriad Pro" w:hAnsi="Myriad Pro" w:cs="Arial"/>
                          <w:bCs/>
                          <w:color w:val="000000"/>
                          <w:kern w:val="24"/>
                          <w:sz w:val="18"/>
                          <w:szCs w:val="18"/>
                          <w:lang w:eastAsia="en-GB"/>
                        </w:rPr>
                      </w:pPr>
                    </w:p>
                    <w:p w:rsidR="00B2286D" w:rsidRPr="003B0D5D" w:rsidRDefault="00B2286D" w:rsidP="00B2286D">
                      <w:pPr>
                        <w:rPr>
                          <w:rFonts w:ascii="Arial" w:hAnsi="Arial" w:cs="Arial"/>
                          <w:b/>
                          <w:color w:val="000000"/>
                          <w:kern w:val="24"/>
                          <w:sz w:val="16"/>
                          <w:szCs w:val="16"/>
                          <w:lang w:eastAsia="en-GB"/>
                        </w:rPr>
                      </w:pPr>
                    </w:p>
                    <w:p w:rsidR="00B2286D" w:rsidRPr="003B0D5D" w:rsidRDefault="00B2286D" w:rsidP="00B2286D">
                      <w:pPr>
                        <w:rPr>
                          <w:rFonts w:ascii="Arial" w:hAnsi="Arial" w:cs="Arial"/>
                          <w:lang w:eastAsia="en-GB"/>
                        </w:rPr>
                      </w:pPr>
                    </w:p>
                    <w:p w:rsidR="00B2286D" w:rsidRDefault="00B2286D" w:rsidP="00B2286D"/>
                  </w:txbxContent>
                </v:textbox>
                <w10:wrap type="square"/>
              </v:shape>
            </w:pict>
          </mc:Fallback>
        </mc:AlternateContent>
      </w:r>
      <w:r w:rsidRPr="00B2286D">
        <w:rPr>
          <w:noProof/>
          <w:lang w:eastAsia="en-GB"/>
        </w:rPr>
        <mc:AlternateContent>
          <mc:Choice Requires="wps">
            <w:drawing>
              <wp:anchor distT="0" distB="0" distL="114300" distR="114300" simplePos="0" relativeHeight="251661312" behindDoc="0" locked="0" layoutInCell="1" allowOverlap="1" wp14:anchorId="7B7CDA05" wp14:editId="7FC4F47D">
                <wp:simplePos x="0" y="0"/>
                <wp:positionH relativeFrom="column">
                  <wp:posOffset>165735</wp:posOffset>
                </wp:positionH>
                <wp:positionV relativeFrom="paragraph">
                  <wp:posOffset>531075</wp:posOffset>
                </wp:positionV>
                <wp:extent cx="221579" cy="45719"/>
                <wp:effectExtent l="0" t="0" r="33020" b="31115"/>
                <wp:wrapThrough wrapText="bothSides">
                  <wp:wrapPolygon edited="0">
                    <wp:start x="0" y="0"/>
                    <wp:lineTo x="0" y="24338"/>
                    <wp:lineTo x="22345" y="24338"/>
                    <wp:lineTo x="22345" y="0"/>
                    <wp:lineTo x="0" y="0"/>
                  </wp:wrapPolygon>
                </wp:wrapThrough>
                <wp:docPr id="18" name="Rectangle 18"/>
                <wp:cNvGraphicFramePr/>
                <a:graphic xmlns:a="http://schemas.openxmlformats.org/drawingml/2006/main">
                  <a:graphicData uri="http://schemas.microsoft.com/office/word/2010/wordprocessingShape">
                    <wps:wsp>
                      <wps:cNvSpPr/>
                      <wps:spPr>
                        <a:xfrm flipV="1">
                          <a:off x="0" y="0"/>
                          <a:ext cx="221579" cy="45719"/>
                        </a:xfrm>
                        <a:prstGeom prst="rect">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FF4B8" id="Rectangle 18" o:spid="_x0000_s1026" style="position:absolute;margin-left:13.05pt;margin-top:41.8pt;width:17.45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" fillcolor="#afabab" strokecolor="windowText" strokeweight="1pt">
                <w10:wrap type="through"/>
              </v:rect>
            </w:pict>
          </mc:Fallback>
        </mc:AlternateContent>
      </w:r>
    </w:p>
    <w:p w:rsidR="00B2286D" w:rsidRPr="00B2286D" w:rsidRDefault="00B2286D" w:rsidP="00B2286D">
      <w:pPr>
        <w:spacing w:line="480" w:lineRule="auto"/>
        <w:jc w:val="both"/>
        <w:rPr>
          <w:rFonts w:ascii="Times New Roman" w:hAnsi="Times New Roman" w:cs="Times New Roman"/>
          <w:b/>
        </w:rPr>
      </w:pPr>
      <w:r w:rsidRPr="00B2286D">
        <w:rPr>
          <w:rFonts w:ascii="Times New Roman" w:hAnsi="Times New Roman" w:cs="Times New Roman"/>
          <w:b/>
        </w:rPr>
        <w:lastRenderedPageBreak/>
        <w:t>Supplementary results</w:t>
      </w:r>
    </w:p>
    <w:p w:rsidR="00B2286D" w:rsidRPr="00B2286D" w:rsidRDefault="00B2286D" w:rsidP="00B2286D">
      <w:pPr>
        <w:keepNext/>
        <w:keepLines/>
        <w:spacing w:before="240" w:line="480" w:lineRule="auto"/>
        <w:jc w:val="both"/>
        <w:outlineLvl w:val="0"/>
        <w:rPr>
          <w:rFonts w:ascii="Times New Roman" w:eastAsiaTheme="majorEastAsia" w:hAnsi="Times New Roman" w:cs="Times New Roman"/>
          <w:b/>
          <w:color w:val="000000" w:themeColor="text1"/>
        </w:rPr>
      </w:pPr>
      <w:r w:rsidRPr="00B2286D">
        <w:rPr>
          <w:rFonts w:ascii="Times New Roman" w:eastAsiaTheme="majorEastAsia" w:hAnsi="Times New Roman" w:cs="Times New Roman"/>
          <w:b/>
          <w:color w:val="000000" w:themeColor="text1"/>
          <w:lang w:val="en-US"/>
        </w:rPr>
        <w:t xml:space="preserve">Diffusion-weighted (DW) and dynamic contrast enhanced (DCE) </w:t>
      </w:r>
      <w:r w:rsidRPr="00B2286D">
        <w:rPr>
          <w:rFonts w:ascii="Times New Roman" w:eastAsiaTheme="majorEastAsia" w:hAnsi="Times New Roman" w:cs="Times New Roman"/>
          <w:b/>
          <w:color w:val="000000" w:themeColor="text1"/>
        </w:rPr>
        <w:t xml:space="preserve">MRI </w:t>
      </w:r>
      <w:r w:rsidRPr="00B2286D">
        <w:rPr>
          <w:rFonts w:ascii="Times New Roman" w:eastAsiaTheme="majorEastAsia" w:hAnsi="Times New Roman" w:cs="Times New Roman"/>
          <w:b/>
          <w:color w:val="000000" w:themeColor="text1"/>
          <w:lang w:val="en-US"/>
        </w:rPr>
        <w:t>in lung cancer.</w:t>
      </w:r>
    </w:p>
    <w:p w:rsidR="00B2286D" w:rsidRPr="00B2286D" w:rsidRDefault="00B2286D" w:rsidP="00B2286D">
      <w:pPr>
        <w:spacing w:line="480" w:lineRule="auto"/>
        <w:jc w:val="both"/>
        <w:rPr>
          <w:rFonts w:ascii="Times New Roman" w:hAnsi="Times New Roman" w:cs="Times New Roman"/>
          <w:lang w:val="en-US"/>
        </w:rPr>
      </w:pPr>
      <w:r w:rsidRPr="00B2286D">
        <w:rPr>
          <w:rFonts w:ascii="Times New Roman" w:hAnsi="Times New Roman" w:cs="Times New Roman"/>
        </w:rPr>
        <w:t>The diffusion of water molecules embodied in the variable Apparent Diffusion Coefficient (ADC; mean and percentiles), increased in patient 16 but not in patient 17  (</w:t>
      </w:r>
      <w:r w:rsidRPr="00B2286D">
        <w:rPr>
          <w:rFonts w:ascii="Times New Roman" w:hAnsi="Times New Roman" w:cs="Times New Roman"/>
          <w:lang w:val="en-US"/>
        </w:rPr>
        <w:t>Supplementary</w:t>
      </w:r>
      <w:r w:rsidRPr="00B2286D">
        <w:rPr>
          <w:rFonts w:ascii="Times New Roman" w:hAnsi="Times New Roman" w:cs="Times New Roman"/>
        </w:rPr>
        <w:t xml:space="preserve"> Table S3) consistent with cell death-related increase in extracellular space in the former after the initiation of therapy </w:t>
      </w:r>
      <w:r w:rsidRPr="00B2286D">
        <w:rPr>
          <w:rFonts w:ascii="Times New Roman" w:hAnsi="Times New Roman" w:cs="Times New Roman"/>
        </w:rPr>
        <w:fldChar w:fldCharType="begin"/>
      </w:r>
      <w:r w:rsidRPr="00B2286D">
        <w:rPr>
          <w:rFonts w:ascii="Times New Roman" w:hAnsi="Times New Roman" w:cs="Times New Roman"/>
        </w:rPr>
        <w:instrText xml:space="preserve"> ADDIN EN.CITE &lt;EndNote&gt;&lt;Cite&gt;&lt;Author&gt;Morse&lt;/Author&gt;&lt;Year&gt;2007&lt;/Year&gt;&lt;RecNum&gt;639&lt;/RecNum&gt;&lt;DisplayText&gt;[31]&lt;/DisplayText&gt;&lt;record&gt;&lt;rec-number&gt;639&lt;/rec-number&gt;&lt;foreign-keys&gt;&lt;key app="EN" db-id="pv5xad0wddp0afevfr0vp2v2xzdxx2rwttev" timestamp="1510668016"&gt;639&lt;/key&gt;&lt;/foreign-keys&gt;&lt;ref-type name="Journal Article"&gt;17&lt;/ref-type&gt;&lt;contributors&gt;&lt;authors&gt;&lt;author&gt;Morse, D. L.&lt;/author&gt;&lt;author&gt;Galons, J. P.&lt;/author&gt;&lt;author&gt;Payne, C. M.&lt;/author&gt;&lt;author&gt;Jennings, D. L.&lt;/author&gt;&lt;author&gt;Day, S.&lt;/author&gt;&lt;author&gt;Xia, G.&lt;/author&gt;&lt;author&gt;Gillies, R. J.&lt;/author&gt;&lt;/authors&gt;&lt;/contributors&gt;&lt;auth-address&gt;Arizona Cancer Center, The University of Arizona, Tucson, AZ 85724, USA. dmorse@email.arizona.edu&lt;/auth-address&gt;&lt;titles&gt;&lt;title&gt;MRI-measured water mobility increases in response to chemotherapy via multiple cell-death mechanisms&lt;/title&gt;&lt;secondary-title&gt;NMR Biomed&lt;/secondary-title&gt;&lt;/titles&gt;&lt;periodical&gt;&lt;full-title&gt;NMR Biomed&lt;/full-title&gt;&lt;/periodical&gt;&lt;pages&gt;602-14&lt;/pages&gt;&lt;volume&gt;20&lt;/volume&gt;&lt;number&gt;6&lt;/number&gt;&lt;edition&gt;2007/02/01&lt;/edition&gt;&lt;keywords&gt;&lt;keyword&gt;Algorithms&lt;/keyword&gt;&lt;keyword&gt;Animals&lt;/keyword&gt;&lt;keyword&gt;Antineoplastic Agents/administration &amp;amp; dosage&lt;/keyword&gt;&lt;keyword&gt;Apoptosis/*drug effects&lt;/keyword&gt;&lt;keyword&gt;Breast Neoplasms/*drug therapy/*metabolism/pathology&lt;/keyword&gt;&lt;keyword&gt;Cell Line, Tumor&lt;/keyword&gt;&lt;keyword&gt;Humans&lt;/keyword&gt;&lt;keyword&gt;Image Interpretation, Computer-Assisted/*methods&lt;/keyword&gt;&lt;keyword&gt;Magnetic Resonance Imaging/*methods&lt;/keyword&gt;&lt;keyword&gt;Mice&lt;/keyword&gt;&lt;keyword&gt;Mice, SCID&lt;/keyword&gt;&lt;keyword&gt;Taxoids/*administration &amp;amp; dosage&lt;/keyword&gt;&lt;keyword&gt;Water/*metabolism&lt;/keyword&gt;&lt;/keywords&gt;&lt;dates&gt;&lt;year&gt;2007&lt;/year&gt;&lt;pub-dates&gt;&lt;date&gt;Oct&lt;/date&gt;&lt;/pub-dates&gt;&lt;/dates&gt;&lt;isbn&gt;0952-3480 (Print)&amp;#xD;0952-3480 (Linking)&lt;/isbn&gt;&lt;accession-num&gt;17265424&lt;/accession-num&gt;&lt;urls&gt;&lt;related-urls&gt;&lt;url&gt;https://www.ncbi.nlm.nih.gov/pubmed/17265424&lt;/url&gt;&lt;/related-urls&gt;&lt;/urls&gt;&lt;electronic-resource-num&gt;10.1002/nbm.1127&lt;/electronic-resource-num&gt;&lt;/record&gt;&lt;/Cite&gt;&lt;/EndNote&gt;</w:instrText>
      </w:r>
      <w:r w:rsidRPr="00B2286D">
        <w:rPr>
          <w:rFonts w:ascii="Times New Roman" w:hAnsi="Times New Roman" w:cs="Times New Roman"/>
        </w:rPr>
        <w:fldChar w:fldCharType="separate"/>
      </w:r>
      <w:r w:rsidRPr="00B2286D">
        <w:rPr>
          <w:rFonts w:ascii="Times New Roman" w:hAnsi="Times New Roman" w:cs="Times New Roman"/>
          <w:noProof/>
        </w:rPr>
        <w:t>[31]</w:t>
      </w:r>
      <w:r w:rsidRPr="00B2286D">
        <w:rPr>
          <w:rFonts w:ascii="Times New Roman" w:hAnsi="Times New Roman" w:cs="Times New Roman"/>
        </w:rPr>
        <w:fldChar w:fldCharType="end"/>
      </w:r>
      <w:r w:rsidRPr="00B2286D">
        <w:rPr>
          <w:rFonts w:ascii="Times New Roman" w:hAnsi="Times New Roman" w:cs="Times New Roman"/>
        </w:rPr>
        <w:t xml:space="preserve"> (Fig.S3A and B). Histogram analysis demonstrated increase in skewness and kurtosis in patient 16, particularly at 7d, while these variables decreased or were unchanged in patient 17 </w:t>
      </w:r>
      <w:r w:rsidRPr="00B2286D">
        <w:rPr>
          <w:rFonts w:ascii="Times New Roman" w:hAnsi="Times New Roman" w:cs="Times New Roman"/>
          <w:lang w:val="en-US"/>
        </w:rPr>
        <w:t xml:space="preserve">(Fig.S3C and D). A reduction of ADC and skewness could be related to increases in extracellular matrix (ECM) constituents </w:t>
      </w:r>
      <w:r w:rsidRPr="00B2286D">
        <w:rPr>
          <w:rFonts w:ascii="Times New Roman" w:hAnsi="Times New Roman" w:cs="Times New Roman"/>
          <w:lang w:val="en-US"/>
        </w:rPr>
        <w:fldChar w:fldCharType="begin"/>
      </w:r>
      <w:r w:rsidRPr="00B2286D">
        <w:rPr>
          <w:rFonts w:ascii="Times New Roman" w:hAnsi="Times New Roman" w:cs="Times New Roman"/>
          <w:lang w:val="en-US"/>
        </w:rPr>
        <w:instrText xml:space="preserve"> ADDIN EN.CITE &lt;EndNote&gt;&lt;Cite&gt;&lt;Author&gt;Tourell&lt;/Author&gt;&lt;Year&gt;2017&lt;/Year&gt;&lt;RecNum&gt;640&lt;/RecNum&gt;&lt;DisplayText&gt;[32]&lt;/DisplayText&gt;&lt;record&gt;&lt;rec-number&gt;640&lt;/rec-number&gt;&lt;foreign-keys&gt;&lt;key app="EN" db-id="pv5xad0wddp0afevfr0vp2v2xzdxx2rwttev" timestamp="1510668155"&gt;640&lt;/key&gt;&lt;/foreign-keys&gt;&lt;ref-type name="Journal Article"&gt;17&lt;/ref-type&gt;&lt;contributors&gt;&lt;authors&gt;&lt;author&gt;Tourell, M. C.&lt;/author&gt;&lt;author&gt;Shokoohmand, A.&lt;/author&gt;&lt;author&gt;Landgraf, M.&lt;/author&gt;&lt;author&gt;Holzapfel, N. P.&lt;/author&gt;&lt;author&gt;Poh, P. S.&lt;/author&gt;&lt;author&gt;Loessner, D.&lt;/author&gt;&lt;author&gt;Momot, K. I.&lt;/author&gt;&lt;/authors&gt;&lt;/contributors&gt;&lt;auth-address&gt;Queensland University of Technology (QUT), Brisbane, Queensland (QLD), Australia.&amp;#xD;Australian Prostate Cancer Research Centre - Queensland, Translational Research Institute, Brisbane, QLD, Australia.&amp;#xD;Experimental Trauma Surgery, Department of Trauma Surgery, Klinikum rechts der Isar, Technical University of Munich, Munich, Germany.&lt;/auth-address&gt;&lt;titles&gt;&lt;title&gt;The distribution of the apparent diffusion coefficient as an indicator of the response to chemotherapeutics in ovarian tumour xenografts&lt;/title&gt;&lt;secondary-title&gt;Sci Rep&lt;/secondary-title&gt;&lt;/titles&gt;&lt;periodical&gt;&lt;full-title&gt;Sci Rep&lt;/full-title&gt;&lt;/periodical&gt;&lt;pages&gt;42905&lt;/pages&gt;&lt;volume&gt;7&lt;/volume&gt;&lt;edition&gt;2017/02/22&lt;/edition&gt;&lt;dates&gt;&lt;year&gt;2017&lt;/year&gt;&lt;pub-dates&gt;&lt;date&gt;Feb 21&lt;/date&gt;&lt;/pub-dates&gt;&lt;/dates&gt;&lt;isbn&gt;2045-2322 (Electronic)&amp;#xD;2045-2322 (Linking)&lt;/isbn&gt;&lt;accession-num&gt;28220831&lt;/accession-num&gt;&lt;urls&gt;&lt;related-urls&gt;&lt;url&gt;https://www.ncbi.nlm.nih.gov/pubmed/28220831&lt;/url&gt;&lt;/related-urls&gt;&lt;/urls&gt;&lt;custom2&gt;PMC5318900&lt;/custom2&gt;&lt;electronic-resource-num&gt;10.1038/srep42905&lt;/electronic-resource-num&gt;&lt;/record&gt;&lt;/Cite&gt;&lt;/EndNote&gt;</w:instrText>
      </w:r>
      <w:r w:rsidRPr="00B2286D">
        <w:rPr>
          <w:rFonts w:ascii="Times New Roman" w:hAnsi="Times New Roman" w:cs="Times New Roman"/>
          <w:lang w:val="en-US"/>
        </w:rPr>
        <w:fldChar w:fldCharType="separate"/>
      </w:r>
      <w:r w:rsidRPr="00B2286D">
        <w:rPr>
          <w:rFonts w:ascii="Times New Roman" w:hAnsi="Times New Roman" w:cs="Times New Roman"/>
          <w:noProof/>
          <w:lang w:val="en-US"/>
        </w:rPr>
        <w:t>[32]</w:t>
      </w:r>
      <w:r w:rsidRPr="00B2286D">
        <w:rPr>
          <w:rFonts w:ascii="Times New Roman" w:hAnsi="Times New Roman" w:cs="Times New Roman"/>
          <w:lang w:val="en-US"/>
        </w:rPr>
        <w:fldChar w:fldCharType="end"/>
      </w:r>
      <w:r w:rsidRPr="00B2286D">
        <w:rPr>
          <w:rFonts w:ascii="Times New Roman" w:hAnsi="Times New Roman" w:cs="Times New Roman"/>
          <w:lang w:val="en-US"/>
        </w:rPr>
        <w:t xml:space="preserve">, which introduces </w:t>
      </w:r>
      <w:r w:rsidRPr="00B2286D">
        <w:rPr>
          <w:rFonts w:ascii="Times New Roman" w:hAnsi="Times New Roman" w:cs="Times New Roman"/>
        </w:rPr>
        <w:t>additional obstructions and hydrogen-bonding sites to the tumour microenvironment, thus reducing the ADC.</w:t>
      </w:r>
    </w:p>
    <w:p w:rsidR="00B2286D" w:rsidRPr="00B2286D" w:rsidRDefault="00B2286D" w:rsidP="00B2286D">
      <w:pPr>
        <w:spacing w:line="480" w:lineRule="auto"/>
        <w:jc w:val="both"/>
        <w:rPr>
          <w:rFonts w:ascii="Times New Roman" w:hAnsi="Times New Roman" w:cs="Times New Roman"/>
          <w:lang w:val="en-US"/>
        </w:rPr>
      </w:pPr>
      <w:r w:rsidRPr="00B2286D">
        <w:rPr>
          <w:rFonts w:ascii="Times New Roman" w:hAnsi="Times New Roman" w:cs="Times New Roman"/>
          <w:lang w:val="en-US"/>
        </w:rPr>
        <w:t xml:space="preserve">     DCE-MRI pharmacokinetic analysis using the shutter speed model was conducted to verify whether large changes in perfusion/permeability accompanied </w:t>
      </w:r>
      <w:r w:rsidRPr="00B2286D">
        <w:rPr>
          <w:rFonts w:ascii="Times New Roman" w:hAnsi="Times New Roman" w:cs="Times New Roman"/>
        </w:rPr>
        <w:t>[</w:t>
      </w:r>
      <w:r w:rsidRPr="00B2286D">
        <w:rPr>
          <w:rFonts w:ascii="Times New Roman" w:hAnsi="Times New Roman" w:cs="Times New Roman"/>
          <w:vertAlign w:val="superscript"/>
        </w:rPr>
        <w:t>18</w:t>
      </w:r>
      <w:r w:rsidRPr="00B2286D">
        <w:rPr>
          <w:rFonts w:ascii="Times New Roman" w:hAnsi="Times New Roman" w:cs="Times New Roman"/>
        </w:rPr>
        <w:t xml:space="preserve">F]ICMT-11. </w:t>
      </w:r>
      <w:r w:rsidRPr="00B2286D">
        <w:rPr>
          <w:rFonts w:ascii="Times New Roman" w:hAnsi="Times New Roman" w:cs="Times New Roman"/>
          <w:i/>
          <w:lang w:val="en-US"/>
        </w:rPr>
        <w:t>K</w:t>
      </w:r>
      <w:r w:rsidRPr="00B2286D">
        <w:rPr>
          <w:rFonts w:ascii="Times New Roman" w:hAnsi="Times New Roman" w:cs="Times New Roman"/>
          <w:vertAlign w:val="superscript"/>
          <w:lang w:val="en-US"/>
        </w:rPr>
        <w:t>trans</w:t>
      </w:r>
      <w:r w:rsidRPr="00B2286D">
        <w:rPr>
          <w:rFonts w:ascii="Times New Roman" w:hAnsi="Times New Roman" w:cs="Times New Roman"/>
        </w:rPr>
        <w:t xml:space="preserve"> is a variable that reflects permeability and blood flow, and measured as the accumulation of contrast agent into the extravascular-extracellular space. In general, </w:t>
      </w:r>
      <w:r w:rsidRPr="00B2286D">
        <w:rPr>
          <w:rFonts w:ascii="Times New Roman" w:hAnsi="Times New Roman" w:cs="Times New Roman"/>
          <w:i/>
          <w:lang w:val="en-US"/>
        </w:rPr>
        <w:t>K</w:t>
      </w:r>
      <w:r w:rsidRPr="00B2286D">
        <w:rPr>
          <w:rFonts w:ascii="Times New Roman" w:hAnsi="Times New Roman" w:cs="Times New Roman"/>
          <w:vertAlign w:val="superscript"/>
          <w:lang w:val="en-US"/>
        </w:rPr>
        <w:t>trans</w:t>
      </w:r>
      <w:r w:rsidRPr="00B2286D" w:rsidDel="00AC5CD0">
        <w:rPr>
          <w:rFonts w:ascii="Times New Roman" w:hAnsi="Times New Roman" w:cs="Times New Roman"/>
          <w:lang w:val="en-US"/>
        </w:rPr>
        <w:t xml:space="preserve"> </w:t>
      </w:r>
      <w:r w:rsidRPr="00B2286D">
        <w:rPr>
          <w:rFonts w:ascii="Times New Roman" w:hAnsi="Times New Roman" w:cs="Times New Roman"/>
          <w:lang w:val="en-US"/>
        </w:rPr>
        <w:t xml:space="preserve">increased at 24h followed by a decrease to below baseline values at 7d (Supplementary Table S4), suggesting that changes in </w:t>
      </w:r>
      <w:r w:rsidRPr="00B2286D">
        <w:rPr>
          <w:rFonts w:ascii="Times New Roman" w:hAnsi="Times New Roman" w:cs="Times New Roman"/>
        </w:rPr>
        <w:t>[</w:t>
      </w:r>
      <w:r w:rsidRPr="00B2286D">
        <w:rPr>
          <w:rFonts w:ascii="Times New Roman" w:hAnsi="Times New Roman" w:cs="Times New Roman"/>
          <w:vertAlign w:val="superscript"/>
        </w:rPr>
        <w:t>18</w:t>
      </w:r>
      <w:r w:rsidRPr="00B2286D">
        <w:rPr>
          <w:rFonts w:ascii="Times New Roman" w:hAnsi="Times New Roman" w:cs="Times New Roman"/>
        </w:rPr>
        <w:t>F]ICMT-11 tumour uptake in the lung patients could not be explained by perfusion/permeability changes.</w:t>
      </w:r>
      <w:r w:rsidRPr="00B2286D">
        <w:rPr>
          <w:rFonts w:ascii="Times New Roman" w:hAnsi="Times New Roman" w:cs="Times New Roman"/>
          <w:lang w:val="en-US"/>
        </w:rPr>
        <w:t xml:space="preserve"> Other DCE variables including </w:t>
      </w:r>
      <w:r w:rsidRPr="00B2286D">
        <w:rPr>
          <w:rFonts w:ascii="Times New Roman" w:hAnsi="Times New Roman" w:cs="Times New Roman"/>
          <w:i/>
          <w:lang w:val="en-US"/>
        </w:rPr>
        <w:t>K</w:t>
      </w:r>
      <w:r w:rsidRPr="00B2286D">
        <w:rPr>
          <w:rFonts w:ascii="Times New Roman" w:hAnsi="Times New Roman" w:cs="Times New Roman"/>
          <w:vertAlign w:val="subscript"/>
          <w:lang w:val="en-US"/>
        </w:rPr>
        <w:t>ep</w:t>
      </w:r>
      <w:r w:rsidRPr="00B2286D">
        <w:rPr>
          <w:rFonts w:ascii="Times New Roman" w:hAnsi="Times New Roman" w:cs="Times New Roman"/>
          <w:lang w:val="en-US"/>
        </w:rPr>
        <w:t>, V</w:t>
      </w:r>
      <w:r w:rsidRPr="00B2286D">
        <w:rPr>
          <w:rFonts w:ascii="Times New Roman" w:hAnsi="Times New Roman" w:cs="Times New Roman"/>
          <w:vertAlign w:val="subscript"/>
          <w:lang w:val="en-US"/>
        </w:rPr>
        <w:t xml:space="preserve">e </w:t>
      </w:r>
      <w:r w:rsidRPr="00B2286D">
        <w:rPr>
          <w:rFonts w:ascii="Times New Roman" w:hAnsi="Times New Roman" w:cs="Times New Roman"/>
          <w:lang w:val="en-US"/>
        </w:rPr>
        <w:t xml:space="preserve">and </w:t>
      </w:r>
      <w:r w:rsidR="00A46615" w:rsidRPr="00A46615">
        <w:rPr>
          <w:rFonts w:ascii="Times New Roman" w:hAnsi="Times New Roman" w:cs="Times New Roman"/>
          <w:noProof/>
          <w:lang w:val="it-IT"/>
        </w:rPr>
        <w:object w:dxaOrig="220" w:dyaOrig="360" w14:anchorId="41E45739">
          <v:shape id="_x0000_i1033" type="#_x0000_t75" alt="" style="width:14pt;height:22pt;mso-width-percent:0;mso-height-percent:0;mso-width-percent:0;mso-height-percent:0" o:ole="">
            <v:imagedata r:id="rId11" o:title=""/>
          </v:shape>
          <o:OLEObject Type="Embed" ProgID="Equation.3" ShapeID="_x0000_i1033" DrawAspect="Content" ObjectID="_1588245655" r:id="rId45"/>
        </w:object>
      </w:r>
      <w:r w:rsidRPr="00B2286D">
        <w:rPr>
          <w:rFonts w:ascii="Times New Roman" w:hAnsi="Times New Roman" w:cs="Times New Roman"/>
          <w:lang w:val="en-US"/>
        </w:rPr>
        <w:t xml:space="preserve"> (mean and histogram values) are summarised in Supplementary Table S4. </w:t>
      </w: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p>
    <w:p w:rsidR="00B2286D" w:rsidRPr="00B2286D" w:rsidRDefault="00B2286D" w:rsidP="00B2286D">
      <w:pPr>
        <w:spacing w:line="480" w:lineRule="auto"/>
        <w:jc w:val="center"/>
        <w:rPr>
          <w:rFonts w:ascii="Times New Roman" w:hAnsi="Times New Roman" w:cs="Times New Roman"/>
          <w:b/>
        </w:rPr>
      </w:pPr>
      <w:r w:rsidRPr="00B2286D">
        <w:rPr>
          <w:rFonts w:ascii="Times New Roman" w:hAnsi="Times New Roman" w:cs="Times New Roman"/>
          <w:b/>
        </w:rPr>
        <w:lastRenderedPageBreak/>
        <w:t>Table S3</w:t>
      </w:r>
    </w:p>
    <w:p w:rsidR="00B2286D" w:rsidRPr="00B2286D" w:rsidRDefault="00B2286D" w:rsidP="00B2286D">
      <w:pPr>
        <w:spacing w:line="480" w:lineRule="auto"/>
        <w:jc w:val="center"/>
        <w:rPr>
          <w:rFonts w:ascii="Myriad Pro" w:hAnsi="Myriad Pro" w:cs="Times New Roman"/>
          <w:b/>
          <w:sz w:val="18"/>
          <w:szCs w:val="18"/>
        </w:rPr>
      </w:pPr>
      <w:r w:rsidRPr="00B2286D">
        <w:rPr>
          <w:rFonts w:ascii="Times New Roman" w:hAnsi="Times New Roman" w:cs="Times New Roman"/>
          <w:b/>
        </w:rPr>
        <w:t>ADC histogram analysis results of lung cancer patients 16 and 17</w:t>
      </w:r>
    </w:p>
    <w:tbl>
      <w:tblPr>
        <w:tblStyle w:val="PlainTable2"/>
        <w:tblpPr w:leftFromText="180" w:rightFromText="180" w:vertAnchor="text" w:horzAnchor="page" w:tblpX="1630" w:tblpY="288"/>
        <w:tblW w:w="9209" w:type="dxa"/>
        <w:tblLook w:val="04A0" w:firstRow="1" w:lastRow="0" w:firstColumn="1" w:lastColumn="0" w:noHBand="0" w:noVBand="1"/>
      </w:tblPr>
      <w:tblGrid>
        <w:gridCol w:w="1135"/>
        <w:gridCol w:w="1121"/>
        <w:gridCol w:w="989"/>
        <w:gridCol w:w="1176"/>
        <w:gridCol w:w="1269"/>
        <w:gridCol w:w="1127"/>
        <w:gridCol w:w="1127"/>
        <w:gridCol w:w="1265"/>
      </w:tblGrid>
      <w:tr w:rsidR="00B2286D" w:rsidRPr="00B2286D" w:rsidTr="005E2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val="restart"/>
          </w:tcPr>
          <w:p w:rsidR="00B2286D" w:rsidRPr="00B2286D" w:rsidRDefault="00B2286D" w:rsidP="00B2286D">
            <w:pPr>
              <w:spacing w:line="480" w:lineRule="auto"/>
              <w:jc w:val="center"/>
              <w:rPr>
                <w:rFonts w:ascii="Myriad Pro" w:hAnsi="Myriad Pro" w:cs="Times New Roman"/>
                <w:sz w:val="18"/>
                <w:szCs w:val="18"/>
              </w:rPr>
            </w:pPr>
          </w:p>
        </w:tc>
        <w:tc>
          <w:tcPr>
            <w:tcW w:w="8074" w:type="dxa"/>
            <w:gridSpan w:val="7"/>
          </w:tcPr>
          <w:p w:rsidR="00B2286D" w:rsidRPr="00B2286D" w:rsidRDefault="00B2286D" w:rsidP="00B2286D">
            <w:pPr>
              <w:spacing w:line="480"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Patient 16</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tcPr>
          <w:p w:rsidR="00B2286D" w:rsidRPr="00B2286D" w:rsidRDefault="00B2286D" w:rsidP="00B2286D">
            <w:pPr>
              <w:spacing w:line="480" w:lineRule="auto"/>
              <w:jc w:val="center"/>
              <w:rPr>
                <w:rFonts w:ascii="Myriad Pro" w:hAnsi="Myriad Pro" w:cs="Times New Roman"/>
                <w:sz w:val="18"/>
                <w:szCs w:val="18"/>
              </w:rPr>
            </w:pPr>
          </w:p>
        </w:tc>
        <w:tc>
          <w:tcPr>
            <w:tcW w:w="1121"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#Voxels</w:t>
            </w:r>
          </w:p>
        </w:tc>
        <w:tc>
          <w:tcPr>
            <w:tcW w:w="98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Mean</w:t>
            </w:r>
          </w:p>
        </w:tc>
        <w:tc>
          <w:tcPr>
            <w:tcW w:w="1176"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Skew</w:t>
            </w:r>
          </w:p>
        </w:tc>
        <w:tc>
          <w:tcPr>
            <w:tcW w:w="126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Kurtosis</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25</w:t>
            </w:r>
            <w:r w:rsidRPr="00B2286D">
              <w:rPr>
                <w:rFonts w:ascii="Myriad Pro" w:hAnsi="Myriad Pro" w:cs="Times New Roman"/>
                <w:b/>
                <w:sz w:val="18"/>
                <w:szCs w:val="18"/>
                <w:vertAlign w:val="superscript"/>
              </w:rPr>
              <w:t>th</w:t>
            </w:r>
            <w:r w:rsidRPr="00B2286D">
              <w:rPr>
                <w:rFonts w:ascii="Myriad Pro" w:hAnsi="Myriad Pro" w:cs="Times New Roman"/>
                <w:b/>
                <w:sz w:val="18"/>
                <w:szCs w:val="18"/>
              </w:rPr>
              <w:t xml:space="preserve"> perc.</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50</w:t>
            </w:r>
            <w:r w:rsidRPr="00B2286D">
              <w:rPr>
                <w:rFonts w:ascii="Myriad Pro" w:hAnsi="Myriad Pro" w:cs="Times New Roman"/>
                <w:b/>
                <w:sz w:val="18"/>
                <w:szCs w:val="18"/>
                <w:vertAlign w:val="superscript"/>
              </w:rPr>
              <w:t>th</w:t>
            </w:r>
            <w:r w:rsidRPr="00B2286D">
              <w:rPr>
                <w:rFonts w:ascii="Myriad Pro" w:hAnsi="Myriad Pro" w:cs="Times New Roman"/>
                <w:b/>
                <w:sz w:val="18"/>
                <w:szCs w:val="18"/>
              </w:rPr>
              <w:t xml:space="preserve"> perc.</w:t>
            </w:r>
          </w:p>
        </w:tc>
        <w:tc>
          <w:tcPr>
            <w:tcW w:w="1265"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75</w:t>
            </w:r>
            <w:r w:rsidRPr="00B2286D">
              <w:rPr>
                <w:rFonts w:ascii="Myriad Pro" w:hAnsi="Myriad Pro" w:cs="Times New Roman"/>
                <w:b/>
                <w:sz w:val="18"/>
                <w:szCs w:val="18"/>
                <w:vertAlign w:val="superscript"/>
              </w:rPr>
              <w:t>th</w:t>
            </w:r>
            <w:r w:rsidRPr="00B2286D">
              <w:rPr>
                <w:rFonts w:ascii="Myriad Pro" w:hAnsi="Myriad Pro" w:cs="Times New Roman"/>
                <w:b/>
                <w:sz w:val="18"/>
                <w:szCs w:val="18"/>
              </w:rPr>
              <w:t xml:space="preserve"> perc.</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1135" w:type="dxa"/>
          </w:tcPr>
          <w:p w:rsidR="00B2286D" w:rsidRPr="00B2286D" w:rsidRDefault="00B2286D" w:rsidP="00B2286D">
            <w:pPr>
              <w:spacing w:line="480" w:lineRule="auto"/>
              <w:jc w:val="center"/>
              <w:rPr>
                <w:rFonts w:ascii="Myriad Pro" w:hAnsi="Myriad Pro" w:cs="Times New Roman"/>
                <w:sz w:val="18"/>
                <w:szCs w:val="18"/>
              </w:rPr>
            </w:pPr>
            <w:r w:rsidRPr="00B2286D">
              <w:rPr>
                <w:rFonts w:ascii="Myriad Pro" w:hAnsi="Myriad Pro" w:cs="Times New Roman"/>
                <w:sz w:val="18"/>
                <w:szCs w:val="18"/>
              </w:rPr>
              <w:t>Baseline</w:t>
            </w:r>
          </w:p>
        </w:tc>
        <w:tc>
          <w:tcPr>
            <w:tcW w:w="1121"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10274</w:t>
            </w:r>
          </w:p>
        </w:tc>
        <w:tc>
          <w:tcPr>
            <w:tcW w:w="98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998.2</w:t>
            </w:r>
          </w:p>
        </w:tc>
        <w:tc>
          <w:tcPr>
            <w:tcW w:w="1176"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0.27</w:t>
            </w:r>
          </w:p>
        </w:tc>
        <w:tc>
          <w:tcPr>
            <w:tcW w:w="126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4.71</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881.0</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995.0</w:t>
            </w:r>
          </w:p>
        </w:tc>
        <w:tc>
          <w:tcPr>
            <w:tcW w:w="1265"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1111.0</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135" w:type="dxa"/>
          </w:tcPr>
          <w:p w:rsidR="00B2286D" w:rsidRPr="00B2286D" w:rsidRDefault="00B2286D" w:rsidP="00B2286D">
            <w:pPr>
              <w:spacing w:line="480" w:lineRule="auto"/>
              <w:jc w:val="center"/>
              <w:rPr>
                <w:rFonts w:ascii="Myriad Pro" w:hAnsi="Myriad Pro" w:cs="Times New Roman"/>
                <w:sz w:val="18"/>
                <w:szCs w:val="18"/>
              </w:rPr>
            </w:pPr>
            <w:r w:rsidRPr="00B2286D">
              <w:rPr>
                <w:rFonts w:ascii="Myriad Pro" w:hAnsi="Myriad Pro" w:cs="Times New Roman"/>
                <w:sz w:val="18"/>
                <w:szCs w:val="18"/>
              </w:rPr>
              <w:t>24 h</w:t>
            </w:r>
          </w:p>
        </w:tc>
        <w:tc>
          <w:tcPr>
            <w:tcW w:w="1121"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10261</w:t>
            </w:r>
          </w:p>
        </w:tc>
        <w:tc>
          <w:tcPr>
            <w:tcW w:w="98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1109.0</w:t>
            </w:r>
          </w:p>
        </w:tc>
        <w:tc>
          <w:tcPr>
            <w:tcW w:w="1176"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0.67</w:t>
            </w:r>
          </w:p>
        </w:tc>
        <w:tc>
          <w:tcPr>
            <w:tcW w:w="126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5.74</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986.0</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1099.0</w:t>
            </w:r>
          </w:p>
        </w:tc>
        <w:tc>
          <w:tcPr>
            <w:tcW w:w="1265"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1214.0</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1135" w:type="dxa"/>
          </w:tcPr>
          <w:p w:rsidR="00B2286D" w:rsidRPr="00B2286D" w:rsidRDefault="00B2286D" w:rsidP="00B2286D">
            <w:pPr>
              <w:spacing w:line="480" w:lineRule="auto"/>
              <w:jc w:val="center"/>
              <w:rPr>
                <w:rFonts w:ascii="Myriad Pro" w:hAnsi="Myriad Pro" w:cs="Times New Roman"/>
                <w:sz w:val="18"/>
                <w:szCs w:val="18"/>
              </w:rPr>
            </w:pPr>
            <w:r w:rsidRPr="00B2286D">
              <w:rPr>
                <w:rFonts w:ascii="Myriad Pro" w:hAnsi="Myriad Pro" w:cs="Times New Roman"/>
                <w:sz w:val="18"/>
                <w:szCs w:val="18"/>
              </w:rPr>
              <w:t>7 d</w:t>
            </w:r>
          </w:p>
        </w:tc>
        <w:tc>
          <w:tcPr>
            <w:tcW w:w="1121"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3781</w:t>
            </w:r>
          </w:p>
        </w:tc>
        <w:tc>
          <w:tcPr>
            <w:tcW w:w="98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1343.2</w:t>
            </w:r>
          </w:p>
        </w:tc>
        <w:tc>
          <w:tcPr>
            <w:tcW w:w="1176"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2.14</w:t>
            </w:r>
          </w:p>
        </w:tc>
        <w:tc>
          <w:tcPr>
            <w:tcW w:w="126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26.5</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1105.0</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1309.0</w:t>
            </w:r>
          </w:p>
        </w:tc>
        <w:tc>
          <w:tcPr>
            <w:tcW w:w="1265"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1546.0</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val="restart"/>
          </w:tcPr>
          <w:p w:rsidR="00B2286D" w:rsidRPr="00B2286D" w:rsidRDefault="00B2286D" w:rsidP="00B2286D">
            <w:pPr>
              <w:spacing w:line="480" w:lineRule="auto"/>
              <w:jc w:val="center"/>
              <w:rPr>
                <w:rFonts w:ascii="Myriad Pro" w:hAnsi="Myriad Pro" w:cs="Times New Roman"/>
                <w:sz w:val="18"/>
                <w:szCs w:val="18"/>
              </w:rPr>
            </w:pPr>
          </w:p>
        </w:tc>
        <w:tc>
          <w:tcPr>
            <w:tcW w:w="8074" w:type="dxa"/>
            <w:gridSpan w:val="7"/>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Patient 17</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1135" w:type="dxa"/>
            <w:vMerge/>
          </w:tcPr>
          <w:p w:rsidR="00B2286D" w:rsidRPr="00B2286D" w:rsidRDefault="00B2286D" w:rsidP="00B2286D">
            <w:pPr>
              <w:spacing w:line="480" w:lineRule="auto"/>
              <w:jc w:val="center"/>
              <w:rPr>
                <w:rFonts w:ascii="Myriad Pro" w:hAnsi="Myriad Pro" w:cs="Times New Roman"/>
                <w:sz w:val="18"/>
                <w:szCs w:val="18"/>
              </w:rPr>
            </w:pPr>
          </w:p>
        </w:tc>
        <w:tc>
          <w:tcPr>
            <w:tcW w:w="1121"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#Voxels</w:t>
            </w:r>
          </w:p>
        </w:tc>
        <w:tc>
          <w:tcPr>
            <w:tcW w:w="98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Mean</w:t>
            </w:r>
          </w:p>
        </w:tc>
        <w:tc>
          <w:tcPr>
            <w:tcW w:w="1176"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Skew</w:t>
            </w:r>
          </w:p>
        </w:tc>
        <w:tc>
          <w:tcPr>
            <w:tcW w:w="126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Kurtosis</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25</w:t>
            </w:r>
            <w:r w:rsidRPr="00B2286D">
              <w:rPr>
                <w:rFonts w:ascii="Myriad Pro" w:hAnsi="Myriad Pro" w:cs="Times New Roman"/>
                <w:b/>
                <w:sz w:val="18"/>
                <w:szCs w:val="18"/>
                <w:vertAlign w:val="superscript"/>
              </w:rPr>
              <w:t>th</w:t>
            </w:r>
            <w:r w:rsidRPr="00B2286D">
              <w:rPr>
                <w:rFonts w:ascii="Myriad Pro" w:hAnsi="Myriad Pro" w:cs="Times New Roman"/>
                <w:b/>
                <w:sz w:val="18"/>
                <w:szCs w:val="18"/>
              </w:rPr>
              <w:t xml:space="preserve"> perc.</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50</w:t>
            </w:r>
            <w:r w:rsidRPr="00B2286D">
              <w:rPr>
                <w:rFonts w:ascii="Myriad Pro" w:hAnsi="Myriad Pro" w:cs="Times New Roman"/>
                <w:b/>
                <w:sz w:val="18"/>
                <w:szCs w:val="18"/>
                <w:vertAlign w:val="superscript"/>
              </w:rPr>
              <w:t>th</w:t>
            </w:r>
            <w:r w:rsidRPr="00B2286D">
              <w:rPr>
                <w:rFonts w:ascii="Myriad Pro" w:hAnsi="Myriad Pro" w:cs="Times New Roman"/>
                <w:b/>
                <w:sz w:val="18"/>
                <w:szCs w:val="18"/>
              </w:rPr>
              <w:t xml:space="preserve"> perc.</w:t>
            </w:r>
          </w:p>
        </w:tc>
        <w:tc>
          <w:tcPr>
            <w:tcW w:w="1265"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18"/>
                <w:szCs w:val="18"/>
              </w:rPr>
            </w:pPr>
            <w:r w:rsidRPr="00B2286D">
              <w:rPr>
                <w:rFonts w:ascii="Myriad Pro" w:hAnsi="Myriad Pro" w:cs="Times New Roman"/>
                <w:b/>
                <w:sz w:val="18"/>
                <w:szCs w:val="18"/>
              </w:rPr>
              <w:t>75</w:t>
            </w:r>
            <w:r w:rsidRPr="00B2286D">
              <w:rPr>
                <w:rFonts w:ascii="Myriad Pro" w:hAnsi="Myriad Pro" w:cs="Times New Roman"/>
                <w:b/>
                <w:sz w:val="18"/>
                <w:szCs w:val="18"/>
                <w:vertAlign w:val="superscript"/>
              </w:rPr>
              <w:t>th</w:t>
            </w:r>
            <w:r w:rsidRPr="00B2286D">
              <w:rPr>
                <w:rFonts w:ascii="Myriad Pro" w:hAnsi="Myriad Pro" w:cs="Times New Roman"/>
                <w:b/>
                <w:sz w:val="18"/>
                <w:szCs w:val="18"/>
              </w:rPr>
              <w:t xml:space="preserve"> perc.</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B2286D" w:rsidRPr="00B2286D" w:rsidRDefault="00B2286D" w:rsidP="00B2286D">
            <w:pPr>
              <w:spacing w:line="480" w:lineRule="auto"/>
              <w:jc w:val="center"/>
              <w:rPr>
                <w:rFonts w:ascii="Myriad Pro" w:hAnsi="Myriad Pro" w:cs="Times New Roman"/>
                <w:sz w:val="18"/>
                <w:szCs w:val="18"/>
              </w:rPr>
            </w:pPr>
            <w:r w:rsidRPr="00B2286D">
              <w:rPr>
                <w:rFonts w:ascii="Myriad Pro" w:hAnsi="Myriad Pro" w:cs="Times New Roman"/>
                <w:sz w:val="18"/>
                <w:szCs w:val="18"/>
              </w:rPr>
              <w:t>Baseline</w:t>
            </w:r>
          </w:p>
        </w:tc>
        <w:tc>
          <w:tcPr>
            <w:tcW w:w="1121"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2157</w:t>
            </w:r>
          </w:p>
        </w:tc>
        <w:tc>
          <w:tcPr>
            <w:tcW w:w="98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1743.5</w:t>
            </w:r>
          </w:p>
        </w:tc>
        <w:tc>
          <w:tcPr>
            <w:tcW w:w="1176" w:type="dxa"/>
          </w:tcPr>
          <w:tbl>
            <w:tblPr>
              <w:tblW w:w="960" w:type="dxa"/>
              <w:tblLook w:val="04A0" w:firstRow="1" w:lastRow="0" w:firstColumn="1" w:lastColumn="0" w:noHBand="0" w:noVBand="1"/>
            </w:tblPr>
            <w:tblGrid>
              <w:gridCol w:w="960"/>
            </w:tblGrid>
            <w:tr w:rsidR="00B2286D" w:rsidRPr="00B2286D" w:rsidTr="005E2668">
              <w:trPr>
                <w:trHeight w:val="300"/>
              </w:trPr>
              <w:tc>
                <w:tcPr>
                  <w:tcW w:w="960" w:type="dxa"/>
                  <w:tcBorders>
                    <w:top w:val="nil"/>
                    <w:left w:val="nil"/>
                    <w:bottom w:val="nil"/>
                    <w:right w:val="nil"/>
                  </w:tcBorders>
                  <w:shd w:val="clear" w:color="auto" w:fill="auto"/>
                  <w:noWrap/>
                  <w:vAlign w:val="bottom"/>
                  <w:hideMark/>
                </w:tcPr>
                <w:p w:rsidR="00B2286D" w:rsidRPr="00B2286D" w:rsidRDefault="00B2286D" w:rsidP="00B2286D">
                  <w:pPr>
                    <w:framePr w:hSpace="180" w:wrap="around" w:vAnchor="text" w:hAnchor="page" w:x="1630" w:y="288"/>
                    <w:jc w:val="center"/>
                    <w:rPr>
                      <w:rFonts w:ascii="Myriad Pro" w:eastAsia="Times New Roman" w:hAnsi="Myriad Pro" w:cs="Times New Roman"/>
                      <w:color w:val="000000"/>
                      <w:sz w:val="18"/>
                      <w:szCs w:val="18"/>
                      <w:lang w:eastAsia="en-GB"/>
                    </w:rPr>
                  </w:pPr>
                  <w:r w:rsidRPr="00B2286D">
                    <w:rPr>
                      <w:rFonts w:ascii="Myriad Pro" w:eastAsia="Times New Roman" w:hAnsi="Myriad Pro" w:cs="Times New Roman"/>
                      <w:color w:val="000000"/>
                      <w:sz w:val="18"/>
                      <w:szCs w:val="18"/>
                      <w:lang w:eastAsia="en-GB"/>
                    </w:rPr>
                    <w:t>0.68</w:t>
                  </w:r>
                </w:p>
              </w:tc>
            </w:tr>
          </w:tbl>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p>
        </w:tc>
        <w:tc>
          <w:tcPr>
            <w:tcW w:w="126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2.79</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1263.7</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1614.0</w:t>
            </w:r>
          </w:p>
        </w:tc>
        <w:tc>
          <w:tcPr>
            <w:tcW w:w="1265"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2131.5</w:t>
            </w:r>
          </w:p>
        </w:tc>
      </w:tr>
      <w:tr w:rsidR="00B2286D" w:rsidRPr="00B2286D" w:rsidTr="005E2668">
        <w:tc>
          <w:tcPr>
            <w:cnfStyle w:val="001000000000" w:firstRow="0" w:lastRow="0" w:firstColumn="1" w:lastColumn="0" w:oddVBand="0" w:evenVBand="0" w:oddHBand="0" w:evenHBand="0" w:firstRowFirstColumn="0" w:firstRowLastColumn="0" w:lastRowFirstColumn="0" w:lastRowLastColumn="0"/>
            <w:tcW w:w="1135" w:type="dxa"/>
          </w:tcPr>
          <w:p w:rsidR="00B2286D" w:rsidRPr="00B2286D" w:rsidRDefault="00B2286D" w:rsidP="00B2286D">
            <w:pPr>
              <w:spacing w:line="480" w:lineRule="auto"/>
              <w:jc w:val="center"/>
              <w:rPr>
                <w:rFonts w:ascii="Myriad Pro" w:hAnsi="Myriad Pro" w:cs="Times New Roman"/>
                <w:sz w:val="18"/>
                <w:szCs w:val="18"/>
              </w:rPr>
            </w:pPr>
            <w:r w:rsidRPr="00B2286D">
              <w:rPr>
                <w:rFonts w:ascii="Myriad Pro" w:hAnsi="Myriad Pro" w:cs="Times New Roman"/>
                <w:sz w:val="18"/>
                <w:szCs w:val="18"/>
              </w:rPr>
              <w:t>24 h</w:t>
            </w:r>
          </w:p>
        </w:tc>
        <w:tc>
          <w:tcPr>
            <w:tcW w:w="1121"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1976</w:t>
            </w:r>
          </w:p>
        </w:tc>
        <w:tc>
          <w:tcPr>
            <w:tcW w:w="98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1315.5</w:t>
            </w:r>
          </w:p>
        </w:tc>
        <w:tc>
          <w:tcPr>
            <w:tcW w:w="1176"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eastAsia="Times New Roman" w:hAnsi="Myriad Pro" w:cs="Times New Roman"/>
                <w:color w:val="000000"/>
                <w:sz w:val="18"/>
                <w:szCs w:val="18"/>
                <w:lang w:eastAsia="en-GB"/>
              </w:rPr>
              <w:t>0.25</w:t>
            </w:r>
          </w:p>
        </w:tc>
        <w:tc>
          <w:tcPr>
            <w:tcW w:w="1269"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3.12</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1104.0</w:t>
            </w:r>
          </w:p>
        </w:tc>
        <w:tc>
          <w:tcPr>
            <w:tcW w:w="1127"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1291.5</w:t>
            </w:r>
          </w:p>
        </w:tc>
        <w:tc>
          <w:tcPr>
            <w:tcW w:w="1265" w:type="dxa"/>
          </w:tcPr>
          <w:p w:rsidR="00B2286D" w:rsidRPr="00B2286D" w:rsidRDefault="00B2286D" w:rsidP="00B2286D">
            <w:pPr>
              <w:spacing w:line="48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1521</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B2286D" w:rsidRPr="00B2286D" w:rsidRDefault="00B2286D" w:rsidP="00B2286D">
            <w:pPr>
              <w:spacing w:line="480" w:lineRule="auto"/>
              <w:jc w:val="center"/>
              <w:rPr>
                <w:rFonts w:ascii="Myriad Pro" w:hAnsi="Myriad Pro" w:cs="Times New Roman"/>
                <w:sz w:val="18"/>
                <w:szCs w:val="18"/>
              </w:rPr>
            </w:pPr>
            <w:r w:rsidRPr="00B2286D">
              <w:rPr>
                <w:rFonts w:ascii="Myriad Pro" w:hAnsi="Myriad Pro" w:cs="Times New Roman"/>
                <w:sz w:val="18"/>
                <w:szCs w:val="18"/>
              </w:rPr>
              <w:t>7 d</w:t>
            </w:r>
          </w:p>
        </w:tc>
        <w:tc>
          <w:tcPr>
            <w:tcW w:w="1121"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1781</w:t>
            </w:r>
          </w:p>
        </w:tc>
        <w:tc>
          <w:tcPr>
            <w:tcW w:w="98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1459.5</w:t>
            </w:r>
          </w:p>
        </w:tc>
        <w:tc>
          <w:tcPr>
            <w:tcW w:w="1176"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0.15</w:t>
            </w:r>
          </w:p>
        </w:tc>
        <w:tc>
          <w:tcPr>
            <w:tcW w:w="1269"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3.54</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1264.7</w:t>
            </w:r>
          </w:p>
        </w:tc>
        <w:tc>
          <w:tcPr>
            <w:tcW w:w="1127"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1454</w:t>
            </w:r>
          </w:p>
        </w:tc>
        <w:tc>
          <w:tcPr>
            <w:tcW w:w="1265" w:type="dxa"/>
          </w:tcPr>
          <w:p w:rsidR="00B2286D" w:rsidRPr="00B2286D" w:rsidRDefault="00B2286D" w:rsidP="00B2286D">
            <w:pPr>
              <w:spacing w:line="48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18"/>
                <w:szCs w:val="18"/>
              </w:rPr>
            </w:pPr>
            <w:r w:rsidRPr="00B2286D">
              <w:rPr>
                <w:rFonts w:ascii="Myriad Pro" w:hAnsi="Myriad Pro" w:cs="Times New Roman"/>
                <w:sz w:val="18"/>
                <w:szCs w:val="18"/>
              </w:rPr>
              <w:t>1645</w:t>
            </w:r>
          </w:p>
        </w:tc>
      </w:tr>
    </w:tbl>
    <w:p w:rsidR="00B2286D" w:rsidRPr="00B2286D" w:rsidRDefault="00B2286D" w:rsidP="00B2286D">
      <w:pPr>
        <w:spacing w:line="480" w:lineRule="auto"/>
        <w:jc w:val="center"/>
        <w:rPr>
          <w:rFonts w:ascii="Myriad Pro" w:hAnsi="Myriad Pro" w:cs="Times New Roman"/>
          <w:sz w:val="18"/>
          <w:szCs w:val="18"/>
        </w:rPr>
      </w:pPr>
    </w:p>
    <w:p w:rsidR="00B2286D" w:rsidRPr="00B2286D" w:rsidRDefault="00B2286D" w:rsidP="00B2286D">
      <w:pPr>
        <w:spacing w:line="480" w:lineRule="auto"/>
        <w:jc w:val="both"/>
      </w:pPr>
    </w:p>
    <w:p w:rsidR="00B2286D" w:rsidRPr="00B2286D" w:rsidRDefault="00B2286D" w:rsidP="00B2286D">
      <w:pPr>
        <w:spacing w:line="480" w:lineRule="auto"/>
        <w:jc w:val="both"/>
      </w:pPr>
    </w:p>
    <w:p w:rsidR="00B2286D" w:rsidRPr="00B2286D" w:rsidRDefault="00B2286D" w:rsidP="00B2286D">
      <w:pPr>
        <w:spacing w:line="480" w:lineRule="auto"/>
        <w:jc w:val="both"/>
      </w:pPr>
    </w:p>
    <w:p w:rsidR="00B2286D" w:rsidRPr="00B2286D" w:rsidRDefault="00B2286D" w:rsidP="00B2286D">
      <w:pPr>
        <w:spacing w:line="480" w:lineRule="auto"/>
        <w:jc w:val="both"/>
      </w:pPr>
    </w:p>
    <w:p w:rsidR="00B2286D" w:rsidRPr="00B2286D" w:rsidRDefault="00B2286D" w:rsidP="00B2286D">
      <w:pPr>
        <w:spacing w:line="480" w:lineRule="auto"/>
        <w:jc w:val="both"/>
        <w:rPr>
          <w:rFonts w:ascii="Times New Roman" w:hAnsi="Times New Roman" w:cs="Times New Roman"/>
          <w:b/>
        </w:rPr>
      </w:pPr>
    </w:p>
    <w:p w:rsidR="00B2286D" w:rsidRPr="00B2286D" w:rsidRDefault="00B2286D" w:rsidP="00B2286D">
      <w:pPr>
        <w:spacing w:line="480" w:lineRule="auto"/>
        <w:jc w:val="both"/>
        <w:rPr>
          <w:rFonts w:ascii="Times New Roman" w:hAnsi="Times New Roman" w:cs="Times New Roman"/>
          <w:b/>
        </w:rPr>
      </w:pPr>
      <w:r w:rsidRPr="00B2286D">
        <w:rPr>
          <w:rFonts w:ascii="Times New Roman" w:hAnsi="Times New Roman" w:cs="Times New Roman"/>
          <w:b/>
          <w:noProof/>
        </w:rPr>
        <w:lastRenderedPageBreak/>
        <w:drawing>
          <wp:inline distT="0" distB="0" distL="0" distR="0" wp14:anchorId="55121442" wp14:editId="31A01500">
            <wp:extent cx="5577840" cy="392242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1.png"/>
                    <pic:cNvPicPr/>
                  </pic:nvPicPr>
                  <pic:blipFill>
                    <a:blip r:embed="rId46">
                      <a:extLst>
                        <a:ext uri="{28A0092B-C50C-407E-A947-70E740481C1C}">
                          <a14:useLocalDpi xmlns:a14="http://schemas.microsoft.com/office/drawing/2010/main" val="0"/>
                        </a:ext>
                      </a:extLst>
                    </a:blip>
                    <a:stretch>
                      <a:fillRect/>
                    </a:stretch>
                  </pic:blipFill>
                  <pic:spPr>
                    <a:xfrm>
                      <a:off x="0" y="0"/>
                      <a:ext cx="5581219" cy="3924797"/>
                    </a:xfrm>
                    <a:prstGeom prst="rect">
                      <a:avLst/>
                    </a:prstGeom>
                  </pic:spPr>
                </pic:pic>
              </a:graphicData>
            </a:graphic>
          </wp:inline>
        </w:drawing>
      </w:r>
    </w:p>
    <w:p w:rsidR="00B2286D" w:rsidRPr="00B2286D" w:rsidRDefault="00B2286D" w:rsidP="00B2286D">
      <w:pPr>
        <w:spacing w:line="480" w:lineRule="auto"/>
        <w:jc w:val="both"/>
        <w:rPr>
          <w:rFonts w:ascii="Myriad Pro" w:hAnsi="Myriad Pro" w:cs="Times New Roman"/>
          <w:sz w:val="18"/>
          <w:szCs w:val="18"/>
        </w:rPr>
      </w:pPr>
    </w:p>
    <w:p w:rsidR="00B2286D" w:rsidRPr="00B2286D" w:rsidRDefault="00B2286D" w:rsidP="00B2286D">
      <w:pPr>
        <w:spacing w:line="480" w:lineRule="auto"/>
        <w:jc w:val="both"/>
        <w:rPr>
          <w:rFonts w:ascii="Myriad Pro" w:hAnsi="Myriad Pro" w:cs="Times New Roman"/>
          <w:sz w:val="18"/>
          <w:szCs w:val="18"/>
        </w:rPr>
      </w:pPr>
      <w:r w:rsidRPr="00B2286D">
        <w:rPr>
          <w:rFonts w:ascii="Myriad Pro" w:hAnsi="Myriad Pro" w:cs="Times New Roman"/>
          <w:b/>
          <w:sz w:val="18"/>
          <w:szCs w:val="18"/>
        </w:rPr>
        <w:t>Fig. S3. Detection of tumour cell death in lung cancer by DW-MRI</w:t>
      </w:r>
      <w:r w:rsidRPr="00B2286D">
        <w:rPr>
          <w:rFonts w:ascii="Myriad Pro" w:hAnsi="Myriad Pro" w:cs="Times New Roman"/>
          <w:sz w:val="18"/>
          <w:szCs w:val="18"/>
        </w:rPr>
        <w:t>.</w:t>
      </w:r>
    </w:p>
    <w:p w:rsidR="00B2286D" w:rsidRPr="00B2286D" w:rsidRDefault="00B2286D" w:rsidP="00B2286D">
      <w:pPr>
        <w:spacing w:line="480" w:lineRule="auto"/>
        <w:jc w:val="both"/>
        <w:rPr>
          <w:rFonts w:ascii="Times New Roman" w:hAnsi="Times New Roman" w:cs="Times New Roman"/>
          <w:b/>
        </w:rPr>
      </w:pPr>
      <w:r w:rsidRPr="00B2286D">
        <w:rPr>
          <w:rFonts w:ascii="Myriad Pro" w:hAnsi="Myriad Pro" w:cs="Times New Roman"/>
          <w:sz w:val="18"/>
          <w:szCs w:val="18"/>
        </w:rPr>
        <w:t>(</w:t>
      </w:r>
      <w:r w:rsidRPr="00B2286D">
        <w:rPr>
          <w:rFonts w:ascii="Myriad Pro" w:hAnsi="Myriad Pro" w:cs="Times New Roman"/>
          <w:b/>
          <w:sz w:val="18"/>
          <w:szCs w:val="18"/>
        </w:rPr>
        <w:t>A and B</w:t>
      </w:r>
      <w:r w:rsidRPr="00B2286D">
        <w:rPr>
          <w:rFonts w:ascii="Myriad Pro" w:hAnsi="Myriad Pro" w:cs="Times New Roman"/>
          <w:sz w:val="18"/>
          <w:szCs w:val="18"/>
        </w:rPr>
        <w:t>) DW-MRI images for patient 16 and 17 at baseline, 24h and 7d post-chemotherapy. Corresponding apparent diffusion coefficient (ADC) maps in jet colour scale (</w:t>
      </w:r>
      <w:r w:rsidRPr="00B2286D">
        <w:rPr>
          <w:rFonts w:ascii="Times New Roman" w:hAnsi="Times New Roman" w:cs="Times New Roman"/>
          <w:sz w:val="18"/>
          <w:szCs w:val="18"/>
        </w:rPr>
        <w:t>µ</w:t>
      </w:r>
      <w:r w:rsidRPr="00B2286D">
        <w:rPr>
          <w:rFonts w:ascii="Myriad Pro" w:hAnsi="Myriad Pro" w:cs="Times New Roman"/>
          <w:sz w:val="18"/>
          <w:szCs w:val="18"/>
        </w:rPr>
        <w:t>m</w:t>
      </w:r>
      <w:r w:rsidRPr="00B2286D">
        <w:rPr>
          <w:rFonts w:ascii="Myriad Pro" w:hAnsi="Myriad Pro" w:cs="Times New Roman"/>
          <w:sz w:val="18"/>
          <w:szCs w:val="18"/>
          <w:vertAlign w:val="superscript"/>
        </w:rPr>
        <w:t>2</w:t>
      </w:r>
      <w:r w:rsidRPr="00B2286D">
        <w:rPr>
          <w:rFonts w:ascii="Myriad Pro" w:hAnsi="Myriad Pro" w:cs="Times New Roman"/>
          <w:sz w:val="18"/>
          <w:szCs w:val="18"/>
        </w:rPr>
        <w:t>/s) are shown. (</w:t>
      </w:r>
      <w:r w:rsidRPr="00B2286D">
        <w:rPr>
          <w:rFonts w:ascii="Myriad Pro" w:hAnsi="Myriad Pro" w:cs="Times New Roman"/>
          <w:b/>
          <w:sz w:val="18"/>
          <w:szCs w:val="18"/>
        </w:rPr>
        <w:t xml:space="preserve">C </w:t>
      </w:r>
      <w:r w:rsidRPr="00B2286D">
        <w:rPr>
          <w:rFonts w:ascii="Myriad Pro" w:hAnsi="Myriad Pro" w:cs="Times New Roman"/>
          <w:sz w:val="18"/>
          <w:szCs w:val="18"/>
        </w:rPr>
        <w:t>and</w:t>
      </w:r>
      <w:r w:rsidRPr="00B2286D">
        <w:rPr>
          <w:rFonts w:ascii="Myriad Pro" w:hAnsi="Myriad Pro" w:cs="Times New Roman"/>
          <w:b/>
          <w:sz w:val="18"/>
          <w:szCs w:val="18"/>
        </w:rPr>
        <w:t xml:space="preserve"> D</w:t>
      </w:r>
      <w:r w:rsidRPr="00B2286D">
        <w:rPr>
          <w:rFonts w:ascii="Myriad Pro" w:hAnsi="Myriad Pro" w:cs="Times New Roman"/>
          <w:sz w:val="18"/>
          <w:szCs w:val="18"/>
        </w:rPr>
        <w:t>) ADC tumour histograms in patient 16 and 17 depicting the distribution of the voxels as per their intensities at baseline, 24h and 7d post-chemotherapy with histogram analysis using in-house software developed in Matlab 15a (The MathWorks</w:t>
      </w:r>
      <w:r w:rsidRPr="00B2286D">
        <w:rPr>
          <w:rFonts w:ascii="Myriad Pro" w:hAnsi="Myriad Pro" w:cs="Times New Roman"/>
          <w:sz w:val="18"/>
          <w:szCs w:val="18"/>
          <w:vertAlign w:val="superscript"/>
        </w:rPr>
        <w:t>(R)</w:t>
      </w:r>
      <w:r w:rsidRPr="00B2286D">
        <w:rPr>
          <w:rFonts w:ascii="Myriad Pro" w:hAnsi="Myriad Pro" w:cs="Times New Roman"/>
          <w:sz w:val="18"/>
          <w:szCs w:val="18"/>
        </w:rPr>
        <w:t>), to calculate mean, skewness, kurtosis, 25</w:t>
      </w:r>
      <w:r w:rsidRPr="00B2286D">
        <w:rPr>
          <w:rFonts w:ascii="Myriad Pro" w:hAnsi="Myriad Pro" w:cs="Times New Roman"/>
          <w:sz w:val="18"/>
          <w:szCs w:val="18"/>
          <w:vertAlign w:val="superscript"/>
        </w:rPr>
        <w:t>th</w:t>
      </w:r>
      <w:r w:rsidRPr="00B2286D">
        <w:rPr>
          <w:rFonts w:ascii="Myriad Pro" w:hAnsi="Myriad Pro" w:cs="Times New Roman"/>
          <w:sz w:val="18"/>
          <w:szCs w:val="18"/>
        </w:rPr>
        <w:t>, 50</w:t>
      </w:r>
      <w:r w:rsidRPr="00B2286D">
        <w:rPr>
          <w:rFonts w:ascii="Myriad Pro" w:hAnsi="Myriad Pro" w:cs="Times New Roman"/>
          <w:sz w:val="18"/>
          <w:szCs w:val="18"/>
          <w:vertAlign w:val="superscript"/>
        </w:rPr>
        <w:t>th</w:t>
      </w:r>
      <w:r w:rsidRPr="00B2286D">
        <w:rPr>
          <w:rFonts w:ascii="Myriad Pro" w:hAnsi="Myriad Pro" w:cs="Times New Roman"/>
          <w:sz w:val="18"/>
          <w:szCs w:val="18"/>
        </w:rPr>
        <w:t xml:space="preserve"> and 75</w:t>
      </w:r>
      <w:r w:rsidRPr="00B2286D">
        <w:rPr>
          <w:rFonts w:ascii="Myriad Pro" w:hAnsi="Myriad Pro" w:cs="Times New Roman"/>
          <w:sz w:val="18"/>
          <w:szCs w:val="18"/>
          <w:vertAlign w:val="superscript"/>
        </w:rPr>
        <w:t>th</w:t>
      </w:r>
      <w:r w:rsidRPr="00B2286D">
        <w:rPr>
          <w:rFonts w:ascii="Myriad Pro" w:hAnsi="Myriad Pro" w:cs="Times New Roman"/>
          <w:sz w:val="18"/>
          <w:szCs w:val="18"/>
        </w:rPr>
        <w:t xml:space="preserve"> percentiles. Voxels with zero ADC values were excluded from the analysis.</w:t>
      </w: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spacing w:line="480" w:lineRule="auto"/>
        <w:jc w:val="both"/>
        <w:rPr>
          <w:rFonts w:ascii="Myriad Pro" w:hAnsi="Myriad Pro"/>
          <w:sz w:val="18"/>
          <w:szCs w:val="18"/>
        </w:rPr>
        <w:sectPr w:rsidR="00B2286D" w:rsidRPr="00B2286D" w:rsidSect="005D30CD">
          <w:pgSz w:w="11900" w:h="16840"/>
          <w:pgMar w:top="1440" w:right="1440" w:bottom="1440" w:left="1440" w:header="720" w:footer="720" w:gutter="0"/>
          <w:cols w:space="720"/>
          <w:docGrid w:linePitch="360"/>
        </w:sectPr>
      </w:pPr>
    </w:p>
    <w:p w:rsidR="00B2286D" w:rsidRPr="00B2286D" w:rsidRDefault="00B2286D" w:rsidP="00B2286D">
      <w:pPr>
        <w:spacing w:line="480" w:lineRule="auto"/>
        <w:jc w:val="both"/>
        <w:rPr>
          <w:rFonts w:ascii="Myriad Pro" w:hAnsi="Myriad Pro"/>
          <w:sz w:val="18"/>
          <w:szCs w:val="18"/>
        </w:rPr>
      </w:pPr>
    </w:p>
    <w:p w:rsidR="00B2286D" w:rsidRPr="00B2286D" w:rsidRDefault="00B2286D" w:rsidP="00B2286D">
      <w:pPr>
        <w:jc w:val="center"/>
        <w:rPr>
          <w:rFonts w:ascii="Times New Roman" w:hAnsi="Times New Roman" w:cs="Times New Roman"/>
          <w:b/>
        </w:rPr>
      </w:pPr>
      <w:r w:rsidRPr="00B2286D">
        <w:rPr>
          <w:rFonts w:ascii="Times New Roman" w:hAnsi="Times New Roman" w:cs="Times New Roman"/>
          <w:b/>
        </w:rPr>
        <w:t xml:space="preserve">Table S4 </w:t>
      </w:r>
    </w:p>
    <w:p w:rsidR="00B2286D" w:rsidRPr="00B2286D" w:rsidRDefault="00B2286D" w:rsidP="00B2286D">
      <w:pPr>
        <w:jc w:val="center"/>
        <w:rPr>
          <w:rFonts w:ascii="Times New Roman" w:hAnsi="Times New Roman" w:cs="Times New Roman"/>
          <w:b/>
        </w:rPr>
      </w:pPr>
    </w:p>
    <w:p w:rsidR="00B2286D" w:rsidRPr="00B2286D" w:rsidRDefault="00B2286D" w:rsidP="00B2286D">
      <w:pPr>
        <w:jc w:val="center"/>
        <w:rPr>
          <w:rFonts w:ascii="Times New Roman" w:hAnsi="Times New Roman" w:cs="Times New Roman"/>
          <w:b/>
        </w:rPr>
      </w:pPr>
      <w:r w:rsidRPr="00B2286D">
        <w:rPr>
          <w:rFonts w:ascii="Times New Roman" w:hAnsi="Times New Roman" w:cs="Times New Roman"/>
          <w:b/>
        </w:rPr>
        <w:t>DCE-MRI histogram analysis values of lung cancer patients</w:t>
      </w:r>
    </w:p>
    <w:p w:rsidR="00B2286D" w:rsidRPr="00B2286D" w:rsidRDefault="00B2286D" w:rsidP="00B2286D">
      <w:pPr>
        <w:rPr>
          <w:rFonts w:ascii="Myriad Pro" w:hAnsi="Myriad Pro"/>
          <w:b/>
          <w:sz w:val="18"/>
          <w:szCs w:val="18"/>
        </w:rPr>
      </w:pPr>
    </w:p>
    <w:p w:rsidR="00B2286D" w:rsidRPr="00B2286D" w:rsidRDefault="00B2286D" w:rsidP="00B2286D">
      <w:pPr>
        <w:jc w:val="center"/>
        <w:rPr>
          <w:rFonts w:ascii="Myriad Pro" w:hAnsi="Myriad Pro"/>
          <w:b/>
          <w:sz w:val="18"/>
          <w:szCs w:val="18"/>
        </w:rPr>
      </w:pPr>
    </w:p>
    <w:tbl>
      <w:tblPr>
        <w:tblStyle w:val="PlainTable2"/>
        <w:tblW w:w="15078" w:type="dxa"/>
        <w:tblLook w:val="04A0" w:firstRow="1" w:lastRow="0" w:firstColumn="1" w:lastColumn="0" w:noHBand="0" w:noVBand="1"/>
      </w:tblPr>
      <w:tblGrid>
        <w:gridCol w:w="1036"/>
        <w:gridCol w:w="855"/>
        <w:gridCol w:w="776"/>
        <w:gridCol w:w="886"/>
        <w:gridCol w:w="1042"/>
        <w:gridCol w:w="776"/>
        <w:gridCol w:w="776"/>
        <w:gridCol w:w="961"/>
        <w:gridCol w:w="1033"/>
        <w:gridCol w:w="776"/>
        <w:gridCol w:w="776"/>
        <w:gridCol w:w="887"/>
        <w:gridCol w:w="1028"/>
        <w:gridCol w:w="8"/>
        <w:gridCol w:w="771"/>
        <w:gridCol w:w="776"/>
        <w:gridCol w:w="887"/>
        <w:gridCol w:w="1028"/>
      </w:tblGrid>
      <w:tr w:rsidR="00B2286D" w:rsidRPr="00B2286D" w:rsidTr="005E2668">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078" w:type="dxa"/>
            <w:gridSpan w:val="18"/>
          </w:tcPr>
          <w:p w:rsidR="00B2286D" w:rsidRPr="00B2286D" w:rsidRDefault="00B2286D" w:rsidP="00B2286D">
            <w:pPr>
              <w:jc w:val="center"/>
            </w:pPr>
            <w:r w:rsidRPr="00B2286D">
              <w:rPr>
                <w:rFonts w:ascii="Myriad Pro" w:hAnsi="Myriad Pro"/>
                <w:sz w:val="18"/>
                <w:szCs w:val="18"/>
                <w:lang w:val="en-US"/>
              </w:rPr>
              <w:t>SHUTTER SPEED MODEL</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078" w:type="dxa"/>
            <w:gridSpan w:val="18"/>
          </w:tcPr>
          <w:p w:rsidR="00B2286D" w:rsidRPr="00B2286D" w:rsidRDefault="00B2286D" w:rsidP="00B2286D">
            <w:pPr>
              <w:jc w:val="center"/>
              <w:rPr>
                <w:rFonts w:ascii="Myriad Pro" w:hAnsi="Myriad Pro"/>
                <w:sz w:val="18"/>
                <w:szCs w:val="18"/>
                <w:lang w:val="en-US"/>
              </w:rPr>
            </w:pPr>
          </w:p>
          <w:p w:rsidR="00B2286D" w:rsidRPr="00B2286D" w:rsidRDefault="00B2286D" w:rsidP="00B2286D">
            <w:pPr>
              <w:jc w:val="center"/>
            </w:pPr>
            <w:r w:rsidRPr="00B2286D">
              <w:rPr>
                <w:rFonts w:ascii="Myriad Pro" w:hAnsi="Myriad Pro"/>
                <w:sz w:val="18"/>
                <w:szCs w:val="18"/>
                <w:lang w:val="en-US"/>
              </w:rPr>
              <w:t>Patient 16</w:t>
            </w:r>
          </w:p>
        </w:tc>
      </w:tr>
      <w:tr w:rsidR="00B2286D" w:rsidRPr="00B2286D" w:rsidTr="005E2668">
        <w:trPr>
          <w:trHeight w:val="287"/>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tc>
        <w:tc>
          <w:tcPr>
            <w:tcW w:w="3559" w:type="dxa"/>
            <w:gridSpan w:val="4"/>
          </w:tcPr>
          <w:p w:rsidR="00B2286D" w:rsidRPr="00B2286D" w:rsidRDefault="00A46615" w:rsidP="00B2286D">
            <w:pPr>
              <w:jc w:val="center"/>
              <w:cnfStyle w:val="000000000000" w:firstRow="0" w:lastRow="0" w:firstColumn="0" w:lastColumn="0" w:oddVBand="0" w:evenVBand="0" w:oddHBand="0" w:evenHBand="0" w:firstRowFirstColumn="0" w:firstRowLastColumn="0" w:lastRowFirstColumn="0" w:lastRowLastColumn="0"/>
            </w:pPr>
            <w:r w:rsidRPr="00E03E13">
              <w:rPr>
                <w:rFonts w:ascii="Myriad Pro" w:hAnsi="Myriad Pro"/>
                <w:noProof/>
                <w:sz w:val="18"/>
                <w:szCs w:val="18"/>
                <w:lang w:val="it-IT"/>
              </w:rPr>
              <w:object w:dxaOrig="580" w:dyaOrig="300" w14:anchorId="65525F7D">
                <v:shape id="_x0000_i1032" type="#_x0000_t75" alt="" style="width:29pt;height:14pt;mso-width-percent:0;mso-height-percent:0;mso-width-percent:0;mso-height-percent:0" o:ole="">
                  <v:imagedata r:id="rId47" o:title=""/>
                </v:shape>
                <o:OLEObject Type="Embed" ProgID="Equation.3" ShapeID="_x0000_i1032" DrawAspect="Content" ObjectID="_1588245656" r:id="rId48"/>
              </w:object>
            </w:r>
          </w:p>
        </w:tc>
        <w:tc>
          <w:tcPr>
            <w:tcW w:w="3546" w:type="dxa"/>
            <w:gridSpan w:val="4"/>
          </w:tcPr>
          <w:p w:rsidR="00B2286D" w:rsidRPr="00B2286D" w:rsidRDefault="00A46615" w:rsidP="00B2286D">
            <w:pPr>
              <w:jc w:val="center"/>
              <w:cnfStyle w:val="000000000000" w:firstRow="0" w:lastRow="0" w:firstColumn="0" w:lastColumn="0" w:oddVBand="0" w:evenVBand="0" w:oddHBand="0" w:evenHBand="0" w:firstRowFirstColumn="0" w:firstRowLastColumn="0" w:lastRowFirstColumn="0" w:lastRowLastColumn="0"/>
            </w:pPr>
            <w:r w:rsidRPr="00E03E13">
              <w:rPr>
                <w:rFonts w:ascii="Myriad Pro" w:hAnsi="Myriad Pro"/>
                <w:noProof/>
                <w:sz w:val="18"/>
                <w:szCs w:val="18"/>
                <w:lang w:val="it-IT"/>
              </w:rPr>
              <w:object w:dxaOrig="400" w:dyaOrig="380" w14:anchorId="674BC097">
                <v:shape id="_x0000_i1031" type="#_x0000_t75" alt="" style="width:22pt;height:22pt;mso-width-percent:0;mso-height-percent:0;mso-width-percent:0;mso-height-percent:0" o:ole="">
                  <v:imagedata r:id="rId49" o:title=""/>
                </v:shape>
                <o:OLEObject Type="Embed" ProgID="Equation.3" ShapeID="_x0000_i1031" DrawAspect="Content" ObjectID="_1588245657" r:id="rId50"/>
              </w:object>
            </w:r>
          </w:p>
        </w:tc>
        <w:tc>
          <w:tcPr>
            <w:tcW w:w="3467" w:type="dxa"/>
            <w:gridSpan w:val="4"/>
          </w:tcPr>
          <w:p w:rsidR="00B2286D" w:rsidRPr="00B2286D" w:rsidRDefault="00A46615" w:rsidP="00B2286D">
            <w:pPr>
              <w:jc w:val="center"/>
              <w:cnfStyle w:val="000000000000" w:firstRow="0" w:lastRow="0" w:firstColumn="0" w:lastColumn="0" w:oddVBand="0" w:evenVBand="0" w:oddHBand="0" w:evenHBand="0" w:firstRowFirstColumn="0" w:firstRowLastColumn="0" w:lastRowFirstColumn="0" w:lastRowLastColumn="0"/>
            </w:pPr>
            <w:r w:rsidRPr="00E03E13">
              <w:rPr>
                <w:rFonts w:ascii="Myriad Pro" w:hAnsi="Myriad Pro"/>
                <w:noProof/>
                <w:sz w:val="18"/>
                <w:szCs w:val="18"/>
                <w:lang w:val="it-IT"/>
              </w:rPr>
              <w:object w:dxaOrig="240" w:dyaOrig="360" w14:anchorId="0324078C">
                <v:shape id="_x0000_i1030" type="#_x0000_t75" alt="" style="width:14pt;height:22pt;mso-width-percent:0;mso-height-percent:0;mso-width-percent:0;mso-height-percent:0" o:ole="">
                  <v:imagedata r:id="rId51" o:title=""/>
                </v:shape>
                <o:OLEObject Type="Embed" ProgID="Equation.3" ShapeID="_x0000_i1030" DrawAspect="Content" ObjectID="_1588245658" r:id="rId52"/>
              </w:object>
            </w:r>
          </w:p>
        </w:tc>
        <w:tc>
          <w:tcPr>
            <w:tcW w:w="3470" w:type="dxa"/>
            <w:gridSpan w:val="5"/>
          </w:tcPr>
          <w:p w:rsidR="00B2286D" w:rsidRPr="00B2286D" w:rsidRDefault="00A46615" w:rsidP="00B2286D">
            <w:pPr>
              <w:jc w:val="center"/>
              <w:cnfStyle w:val="000000000000" w:firstRow="0" w:lastRow="0" w:firstColumn="0" w:lastColumn="0" w:oddVBand="0" w:evenVBand="0" w:oddHBand="0" w:evenHBand="0" w:firstRowFirstColumn="0" w:firstRowLastColumn="0" w:lastRowFirstColumn="0" w:lastRowLastColumn="0"/>
            </w:pPr>
            <w:r w:rsidRPr="00E03E13">
              <w:rPr>
                <w:rFonts w:ascii="Myriad Pro" w:hAnsi="Myriad Pro"/>
                <w:noProof/>
                <w:sz w:val="18"/>
                <w:szCs w:val="18"/>
                <w:lang w:val="it-IT"/>
              </w:rPr>
              <w:object w:dxaOrig="220" w:dyaOrig="360" w14:anchorId="3DCCBEDE">
                <v:shape id="_x0000_i1029" type="#_x0000_t75" alt="" style="width:14pt;height:22pt;mso-width-percent:0;mso-height-percent:0;mso-width-percent:0;mso-height-percent:0" o:ole="">
                  <v:imagedata r:id="rId11" o:title=""/>
                </v:shape>
                <o:OLEObject Type="Embed" ProgID="Equation.3" ShapeID="_x0000_i1029" DrawAspect="Content" ObjectID="_1588245659" r:id="rId53"/>
              </w:objec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tc>
        <w:tc>
          <w:tcPr>
            <w:tcW w:w="855"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88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Kurtosis</w:t>
            </w:r>
          </w:p>
        </w:tc>
        <w:tc>
          <w:tcPr>
            <w:tcW w:w="1042"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Skewness</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961"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Kurtosis</w:t>
            </w:r>
          </w:p>
        </w:tc>
        <w:tc>
          <w:tcPr>
            <w:tcW w:w="1033"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Skewness</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Kurtosis</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Skewness</w:t>
            </w:r>
          </w:p>
        </w:tc>
        <w:tc>
          <w:tcPr>
            <w:tcW w:w="779" w:type="dxa"/>
            <w:gridSpan w:val="2"/>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Kurtosis</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lang w:val="en-US"/>
              </w:rPr>
              <w:t>Skewness</w:t>
            </w:r>
          </w:p>
        </w:tc>
      </w:tr>
      <w:tr w:rsidR="00B2286D" w:rsidRPr="00B2286D" w:rsidTr="005E2668">
        <w:trPr>
          <w:trHeight w:val="202"/>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r w:rsidRPr="00B2286D">
              <w:rPr>
                <w:rFonts w:ascii="Myriad Pro" w:hAnsi="Myriad Pro"/>
                <w:sz w:val="18"/>
                <w:szCs w:val="18"/>
                <w:lang w:val="en-US"/>
              </w:rPr>
              <w:t>Baseline</w:t>
            </w:r>
          </w:p>
        </w:tc>
        <w:tc>
          <w:tcPr>
            <w:tcW w:w="855"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0.7618</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1.119</w:t>
            </w:r>
          </w:p>
        </w:tc>
        <w:tc>
          <w:tcPr>
            <w:tcW w:w="88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5.782</w:t>
            </w:r>
          </w:p>
        </w:tc>
        <w:tc>
          <w:tcPr>
            <w:tcW w:w="1042"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1.9051</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1.5289</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1.3801</w:t>
            </w:r>
          </w:p>
        </w:tc>
        <w:tc>
          <w:tcPr>
            <w:tcW w:w="961"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2.4933</w:t>
            </w:r>
          </w:p>
        </w:tc>
        <w:tc>
          <w:tcPr>
            <w:tcW w:w="1033"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0.8526</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0.7898</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0.1412</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10.9927</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-2.143</w:t>
            </w:r>
          </w:p>
        </w:tc>
        <w:tc>
          <w:tcPr>
            <w:tcW w:w="779" w:type="dxa"/>
            <w:gridSpan w:val="2"/>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0.2259</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0.3244</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18.0465</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3.4828</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r w:rsidRPr="00B2286D">
              <w:rPr>
                <w:rFonts w:ascii="Myriad Pro" w:hAnsi="Myriad Pro"/>
                <w:sz w:val="18"/>
                <w:szCs w:val="18"/>
                <w:lang w:val="en-US"/>
              </w:rPr>
              <w:t>24 h</w:t>
            </w:r>
          </w:p>
        </w:tc>
        <w:tc>
          <w:tcPr>
            <w:tcW w:w="855"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0.943</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1.2665</w:t>
            </w:r>
          </w:p>
        </w:tc>
        <w:tc>
          <w:tcPr>
            <w:tcW w:w="88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4.4434</w:t>
            </w:r>
          </w:p>
        </w:tc>
        <w:tc>
          <w:tcPr>
            <w:tcW w:w="1042"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1.6544</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2.0553</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1.5184</w:t>
            </w:r>
          </w:p>
        </w:tc>
        <w:tc>
          <w:tcPr>
            <w:tcW w:w="961"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1.7585</w:t>
            </w:r>
          </w:p>
        </w:tc>
        <w:tc>
          <w:tcPr>
            <w:tcW w:w="1033"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0.4839</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0.8101</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0.1088</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8.7422</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-1.1508</w:t>
            </w:r>
          </w:p>
        </w:tc>
        <w:tc>
          <w:tcPr>
            <w:tcW w:w="779" w:type="dxa"/>
            <w:gridSpan w:val="2"/>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0.1814</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0.2104</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28.6669</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4.0826</w:t>
            </w:r>
          </w:p>
        </w:tc>
      </w:tr>
      <w:tr w:rsidR="00B2286D" w:rsidRPr="00B2286D" w:rsidTr="005E2668">
        <w:trPr>
          <w:trHeight w:val="202"/>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r w:rsidRPr="00B2286D">
              <w:rPr>
                <w:rFonts w:ascii="Myriad Pro" w:hAnsi="Myriad Pro"/>
                <w:sz w:val="18"/>
                <w:szCs w:val="18"/>
                <w:lang w:val="en-US"/>
              </w:rPr>
              <w:t>7 d</w:t>
            </w:r>
          </w:p>
        </w:tc>
        <w:tc>
          <w:tcPr>
            <w:tcW w:w="855"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0.5755</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0.7013</w:t>
            </w:r>
          </w:p>
        </w:tc>
        <w:tc>
          <w:tcPr>
            <w:tcW w:w="88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12.0182</w:t>
            </w:r>
          </w:p>
        </w:tc>
        <w:tc>
          <w:tcPr>
            <w:tcW w:w="1042"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2.8014</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0.7832</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0.8665</w:t>
            </w:r>
          </w:p>
        </w:tc>
        <w:tc>
          <w:tcPr>
            <w:tcW w:w="961"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7.7588</w:t>
            </w:r>
          </w:p>
        </w:tc>
        <w:tc>
          <w:tcPr>
            <w:tcW w:w="1033"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2.192</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0.6773</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0.205</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2.091</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-0.3006</w:t>
            </w:r>
          </w:p>
        </w:tc>
        <w:tc>
          <w:tcPr>
            <w:tcW w:w="779" w:type="dxa"/>
            <w:gridSpan w:val="2"/>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0.1974</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0.1318</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4.5997</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0.4533</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r w:rsidRPr="00B2286D">
              <w:rPr>
                <w:rFonts w:ascii="Myriad Pro" w:hAnsi="Myriad Pro"/>
                <w:sz w:val="18"/>
                <w:szCs w:val="18"/>
                <w:lang w:val="en-US"/>
              </w:rPr>
              <w:t>Variation</w:t>
            </w:r>
          </w:p>
        </w:tc>
        <w:tc>
          <w:tcPr>
            <w:tcW w:w="855"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-0.3897</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-0.4462</w:t>
            </w:r>
          </w:p>
        </w:tc>
        <w:tc>
          <w:tcPr>
            <w:tcW w:w="88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1.7047</w:t>
            </w:r>
          </w:p>
        </w:tc>
        <w:tc>
          <w:tcPr>
            <w:tcW w:w="1042"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0.6933</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-0.6189</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-0.4293</w:t>
            </w:r>
          </w:p>
        </w:tc>
        <w:tc>
          <w:tcPr>
            <w:tcW w:w="961"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3.4121</w:t>
            </w:r>
          </w:p>
        </w:tc>
        <w:tc>
          <w:tcPr>
            <w:tcW w:w="1033"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3.5298</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-0.1639</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0.8841</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-0.7608</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-0.7387</w:t>
            </w:r>
          </w:p>
        </w:tc>
        <w:tc>
          <w:tcPr>
            <w:tcW w:w="779" w:type="dxa"/>
            <w:gridSpan w:val="2"/>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0.0882</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-0.3735</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-0.8395</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-0.8889</w:t>
            </w:r>
          </w:p>
        </w:tc>
      </w:tr>
      <w:tr w:rsidR="00B2286D" w:rsidRPr="00B2286D" w:rsidTr="005E2668">
        <w:trPr>
          <w:trHeight w:val="494"/>
        </w:trPr>
        <w:tc>
          <w:tcPr>
            <w:cnfStyle w:val="001000000000" w:firstRow="0" w:lastRow="0" w:firstColumn="1" w:lastColumn="0" w:oddVBand="0" w:evenVBand="0" w:oddHBand="0" w:evenHBand="0" w:firstRowFirstColumn="0" w:firstRowLastColumn="0" w:lastRowFirstColumn="0" w:lastRowLastColumn="0"/>
            <w:tcW w:w="15078" w:type="dxa"/>
            <w:gridSpan w:val="18"/>
          </w:tcPr>
          <w:p w:rsidR="00B2286D" w:rsidRPr="00B2286D" w:rsidRDefault="00B2286D" w:rsidP="00B2286D">
            <w:pPr>
              <w:jc w:val="center"/>
              <w:rPr>
                <w:rFonts w:ascii="Myriad Pro" w:hAnsi="Myriad Pro"/>
                <w:sz w:val="18"/>
                <w:szCs w:val="18"/>
                <w:lang w:val="en-US"/>
              </w:rPr>
            </w:pPr>
          </w:p>
          <w:p w:rsidR="00B2286D" w:rsidRPr="00B2286D" w:rsidRDefault="00B2286D" w:rsidP="00B2286D">
            <w:pPr>
              <w:jc w:val="center"/>
              <w:rPr>
                <w:rFonts w:ascii="Myriad Pro" w:hAnsi="Myriad Pro"/>
                <w:sz w:val="18"/>
                <w:szCs w:val="18"/>
                <w:lang w:val="en-US"/>
              </w:rPr>
            </w:pPr>
            <w:r w:rsidRPr="00B2286D">
              <w:rPr>
                <w:rFonts w:ascii="Myriad Pro" w:hAnsi="Myriad Pro"/>
                <w:sz w:val="18"/>
                <w:szCs w:val="18"/>
                <w:lang w:val="en-US"/>
              </w:rPr>
              <w:t>Patient 17</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tc>
        <w:tc>
          <w:tcPr>
            <w:tcW w:w="3559" w:type="dxa"/>
            <w:gridSpan w:val="4"/>
          </w:tcPr>
          <w:p w:rsidR="00B2286D" w:rsidRPr="00B2286D" w:rsidRDefault="00A46615" w:rsidP="00B2286D">
            <w:pPr>
              <w:jc w:val="center"/>
              <w:cnfStyle w:val="000000100000" w:firstRow="0" w:lastRow="0" w:firstColumn="0" w:lastColumn="0" w:oddVBand="0" w:evenVBand="0" w:oddHBand="1" w:evenHBand="0" w:firstRowFirstColumn="0" w:firstRowLastColumn="0" w:lastRowFirstColumn="0" w:lastRowLastColumn="0"/>
            </w:pPr>
            <w:r w:rsidRPr="00E03E13">
              <w:rPr>
                <w:rFonts w:ascii="Myriad Pro" w:hAnsi="Myriad Pro"/>
                <w:noProof/>
                <w:sz w:val="18"/>
                <w:szCs w:val="18"/>
                <w:lang w:val="it-IT"/>
              </w:rPr>
              <w:object w:dxaOrig="580" w:dyaOrig="300" w14:anchorId="434D41BB">
                <v:shape id="_x0000_i1028" type="#_x0000_t75" alt="" style="width:29pt;height:14pt;mso-width-percent:0;mso-height-percent:0;mso-width-percent:0;mso-height-percent:0" o:ole="">
                  <v:imagedata r:id="rId47" o:title=""/>
                </v:shape>
                <o:OLEObject Type="Embed" ProgID="Equation.3" ShapeID="_x0000_i1028" DrawAspect="Content" ObjectID="_1588245660" r:id="rId54"/>
              </w:object>
            </w:r>
          </w:p>
        </w:tc>
        <w:tc>
          <w:tcPr>
            <w:tcW w:w="3546" w:type="dxa"/>
            <w:gridSpan w:val="4"/>
          </w:tcPr>
          <w:p w:rsidR="00B2286D" w:rsidRPr="00B2286D" w:rsidRDefault="00A46615" w:rsidP="00B2286D">
            <w:pPr>
              <w:jc w:val="center"/>
              <w:cnfStyle w:val="000000100000" w:firstRow="0" w:lastRow="0" w:firstColumn="0" w:lastColumn="0" w:oddVBand="0" w:evenVBand="0" w:oddHBand="1" w:evenHBand="0" w:firstRowFirstColumn="0" w:firstRowLastColumn="0" w:lastRowFirstColumn="0" w:lastRowLastColumn="0"/>
            </w:pPr>
            <w:r w:rsidRPr="00E03E13">
              <w:rPr>
                <w:rFonts w:ascii="Myriad Pro" w:hAnsi="Myriad Pro"/>
                <w:noProof/>
                <w:sz w:val="18"/>
                <w:szCs w:val="18"/>
                <w:lang w:val="it-IT"/>
              </w:rPr>
              <w:object w:dxaOrig="400" w:dyaOrig="380" w14:anchorId="670AE8E5">
                <v:shape id="_x0000_i1027" type="#_x0000_t75" alt="" style="width:22pt;height:22pt;mso-width-percent:0;mso-height-percent:0;mso-width-percent:0;mso-height-percent:0" o:ole="">
                  <v:imagedata r:id="rId55" o:title=""/>
                </v:shape>
                <o:OLEObject Type="Embed" ProgID="Equation.3" ShapeID="_x0000_i1027" DrawAspect="Content" ObjectID="_1588245661" r:id="rId56"/>
              </w:object>
            </w:r>
          </w:p>
        </w:tc>
        <w:tc>
          <w:tcPr>
            <w:tcW w:w="3475" w:type="dxa"/>
            <w:gridSpan w:val="5"/>
          </w:tcPr>
          <w:p w:rsidR="00B2286D" w:rsidRPr="00B2286D" w:rsidRDefault="00A46615" w:rsidP="00B2286D">
            <w:pPr>
              <w:jc w:val="center"/>
              <w:cnfStyle w:val="000000100000" w:firstRow="0" w:lastRow="0" w:firstColumn="0" w:lastColumn="0" w:oddVBand="0" w:evenVBand="0" w:oddHBand="1" w:evenHBand="0" w:firstRowFirstColumn="0" w:firstRowLastColumn="0" w:lastRowFirstColumn="0" w:lastRowLastColumn="0"/>
            </w:pPr>
            <w:r w:rsidRPr="00E03E13">
              <w:rPr>
                <w:rFonts w:ascii="Myriad Pro" w:hAnsi="Myriad Pro"/>
                <w:noProof/>
                <w:sz w:val="18"/>
                <w:szCs w:val="18"/>
                <w:lang w:val="it-IT"/>
              </w:rPr>
              <w:object w:dxaOrig="240" w:dyaOrig="360" w14:anchorId="0E138A67">
                <v:shape id="_x0000_i1026" type="#_x0000_t75" alt="" style="width:14pt;height:22pt;mso-width-percent:0;mso-height-percent:0;mso-width-percent:0;mso-height-percent:0" o:ole="">
                  <v:imagedata r:id="rId51" o:title=""/>
                </v:shape>
                <o:OLEObject Type="Embed" ProgID="Equation.3" ShapeID="_x0000_i1026" DrawAspect="Content" ObjectID="_1588245662" r:id="rId57"/>
              </w:object>
            </w:r>
          </w:p>
        </w:tc>
        <w:tc>
          <w:tcPr>
            <w:tcW w:w="3462" w:type="dxa"/>
            <w:gridSpan w:val="4"/>
          </w:tcPr>
          <w:p w:rsidR="00B2286D" w:rsidRPr="00B2286D" w:rsidRDefault="00A46615" w:rsidP="00B2286D">
            <w:pPr>
              <w:jc w:val="center"/>
              <w:cnfStyle w:val="000000100000" w:firstRow="0" w:lastRow="0" w:firstColumn="0" w:lastColumn="0" w:oddVBand="0" w:evenVBand="0" w:oddHBand="1" w:evenHBand="0" w:firstRowFirstColumn="0" w:firstRowLastColumn="0" w:lastRowFirstColumn="0" w:lastRowLastColumn="0"/>
            </w:pPr>
            <w:r w:rsidRPr="00E03E13">
              <w:rPr>
                <w:rFonts w:ascii="Myriad Pro" w:hAnsi="Myriad Pro"/>
                <w:noProof/>
                <w:sz w:val="18"/>
                <w:szCs w:val="18"/>
                <w:lang w:val="it-IT"/>
              </w:rPr>
              <w:object w:dxaOrig="220" w:dyaOrig="360" w14:anchorId="10CCA0F4">
                <v:shape id="_x0000_i1025" type="#_x0000_t75" alt="" style="width:14pt;height:22pt;mso-width-percent:0;mso-height-percent:0;mso-width-percent:0;mso-height-percent:0" o:ole="">
                  <v:imagedata r:id="rId11" o:title=""/>
                </v:shape>
                <o:OLEObject Type="Embed" ProgID="Equation.3" ShapeID="_x0000_i1025" DrawAspect="Content" ObjectID="_1588245663" r:id="rId58"/>
              </w:object>
            </w:r>
          </w:p>
        </w:tc>
      </w:tr>
      <w:tr w:rsidR="00B2286D" w:rsidRPr="00B2286D" w:rsidTr="005E2668">
        <w:trPr>
          <w:trHeight w:val="287"/>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tc>
        <w:tc>
          <w:tcPr>
            <w:tcW w:w="855"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88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Kurtosis</w:t>
            </w:r>
          </w:p>
        </w:tc>
        <w:tc>
          <w:tcPr>
            <w:tcW w:w="1042"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Skewness</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961"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Kurtosis</w:t>
            </w:r>
          </w:p>
        </w:tc>
        <w:tc>
          <w:tcPr>
            <w:tcW w:w="1033"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Skewness</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Kurtosis</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Skewness</w:t>
            </w:r>
          </w:p>
        </w:tc>
        <w:tc>
          <w:tcPr>
            <w:tcW w:w="779" w:type="dxa"/>
            <w:gridSpan w:val="2"/>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Mean</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proofErr w:type="spellStart"/>
            <w:r w:rsidRPr="00B2286D">
              <w:rPr>
                <w:rFonts w:ascii="Myriad Pro" w:hAnsi="Myriad Pro"/>
                <w:sz w:val="18"/>
                <w:szCs w:val="18"/>
                <w:lang w:val="en-US"/>
              </w:rPr>
              <w:t>Std</w:t>
            </w:r>
            <w:proofErr w:type="spellEnd"/>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Kurtosis</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lang w:val="en-US"/>
              </w:rPr>
              <w:t>Skewness</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r w:rsidRPr="00B2286D">
              <w:rPr>
                <w:rFonts w:ascii="Myriad Pro" w:hAnsi="Myriad Pro"/>
                <w:sz w:val="18"/>
                <w:szCs w:val="18"/>
                <w:lang w:val="en-US"/>
              </w:rPr>
              <w:t>Baseline</w:t>
            </w:r>
          </w:p>
        </w:tc>
        <w:tc>
          <w:tcPr>
            <w:tcW w:w="855"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1.2622</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1.1958</w:t>
            </w:r>
          </w:p>
        </w:tc>
        <w:tc>
          <w:tcPr>
            <w:tcW w:w="88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4.0168</w:t>
            </w:r>
          </w:p>
        </w:tc>
        <w:tc>
          <w:tcPr>
            <w:tcW w:w="1042"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1.3075</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1.9814</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1.2979</w:t>
            </w:r>
          </w:p>
        </w:tc>
        <w:tc>
          <w:tcPr>
            <w:tcW w:w="961"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1.9003</w:t>
            </w:r>
          </w:p>
        </w:tc>
        <w:tc>
          <w:tcPr>
            <w:tcW w:w="1033"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0.2926</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0.7444</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0.2378</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2.8289</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-1.088</w:t>
            </w:r>
          </w:p>
        </w:tc>
        <w:tc>
          <w:tcPr>
            <w:tcW w:w="779" w:type="dxa"/>
            <w:gridSpan w:val="2"/>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0.0871</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0.3547</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176.375</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pPr>
            <w:r w:rsidRPr="00B2286D">
              <w:rPr>
                <w:rFonts w:ascii="Myriad Pro" w:hAnsi="Myriad Pro"/>
                <w:sz w:val="18"/>
                <w:szCs w:val="18"/>
              </w:rPr>
              <w:t>12.6254</w:t>
            </w:r>
          </w:p>
        </w:tc>
      </w:tr>
      <w:tr w:rsidR="00B2286D" w:rsidRPr="00B2286D" w:rsidTr="005E2668">
        <w:trPr>
          <w:trHeight w:val="219"/>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r w:rsidRPr="00B2286D">
              <w:rPr>
                <w:rFonts w:ascii="Myriad Pro" w:hAnsi="Myriad Pro"/>
                <w:sz w:val="18"/>
                <w:szCs w:val="18"/>
                <w:lang w:val="en-US"/>
              </w:rPr>
              <w:t>24 h</w:t>
            </w:r>
          </w:p>
        </w:tc>
        <w:tc>
          <w:tcPr>
            <w:tcW w:w="855"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1.1808</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1.1698</w:t>
            </w:r>
          </w:p>
        </w:tc>
        <w:tc>
          <w:tcPr>
            <w:tcW w:w="88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3.7583</w:t>
            </w:r>
          </w:p>
        </w:tc>
        <w:tc>
          <w:tcPr>
            <w:tcW w:w="1042"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1.3269</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1.4549</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0.9646</w:t>
            </w:r>
          </w:p>
        </w:tc>
        <w:tc>
          <w:tcPr>
            <w:tcW w:w="961"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4.1663</w:t>
            </w:r>
          </w:p>
        </w:tc>
        <w:tc>
          <w:tcPr>
            <w:tcW w:w="1033"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1.0752</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0.6971</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0.2522</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2.1194</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-0.7984</w:t>
            </w:r>
          </w:p>
        </w:tc>
        <w:tc>
          <w:tcPr>
            <w:tcW w:w="779" w:type="dxa"/>
            <w:gridSpan w:val="2"/>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0.1033</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0.0749</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4.8202</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pPr>
            <w:r w:rsidRPr="00B2286D">
              <w:rPr>
                <w:rFonts w:ascii="Myriad Pro" w:hAnsi="Myriad Pro"/>
                <w:sz w:val="18"/>
                <w:szCs w:val="18"/>
              </w:rPr>
              <w:t>0.9029</w:t>
            </w:r>
          </w:p>
        </w:tc>
      </w:tr>
      <w:tr w:rsidR="00B2286D" w:rsidRPr="00B2286D" w:rsidTr="005E266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pPr>
              <w:rPr>
                <w:rFonts w:ascii="Myriad Pro" w:hAnsi="Myriad Pro"/>
                <w:sz w:val="18"/>
                <w:szCs w:val="18"/>
                <w:lang w:val="en-US"/>
              </w:rPr>
            </w:pPr>
            <w:r w:rsidRPr="00B2286D">
              <w:rPr>
                <w:rFonts w:ascii="Myriad Pro" w:hAnsi="Myriad Pro"/>
                <w:sz w:val="18"/>
                <w:szCs w:val="18"/>
                <w:lang w:val="en-US"/>
              </w:rPr>
              <w:t>7 d</w:t>
            </w:r>
          </w:p>
        </w:tc>
        <w:tc>
          <w:tcPr>
            <w:tcW w:w="855"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1.1162</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1.3229</w:t>
            </w:r>
          </w:p>
        </w:tc>
        <w:tc>
          <w:tcPr>
            <w:tcW w:w="88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3.7701</w:t>
            </w:r>
          </w:p>
        </w:tc>
        <w:tc>
          <w:tcPr>
            <w:tcW w:w="1042"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1.4103</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0.8086</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0.7431</w:t>
            </w:r>
          </w:p>
        </w:tc>
        <w:tc>
          <w:tcPr>
            <w:tcW w:w="961"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4.8047</w:t>
            </w:r>
          </w:p>
        </w:tc>
        <w:tc>
          <w:tcPr>
            <w:tcW w:w="1033"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1.6506</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0.681</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0.2859</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3.0041</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-1.0872</w:t>
            </w:r>
          </w:p>
        </w:tc>
        <w:tc>
          <w:tcPr>
            <w:tcW w:w="779" w:type="dxa"/>
            <w:gridSpan w:val="2"/>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0.1566</w:t>
            </w:r>
          </w:p>
        </w:tc>
        <w:tc>
          <w:tcPr>
            <w:tcW w:w="776"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0.2904</w:t>
            </w:r>
          </w:p>
        </w:tc>
        <w:tc>
          <w:tcPr>
            <w:tcW w:w="887"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11.0662</w:t>
            </w:r>
          </w:p>
        </w:tc>
        <w:tc>
          <w:tcPr>
            <w:tcW w:w="1028" w:type="dxa"/>
          </w:tcPr>
          <w:p w:rsidR="00B2286D" w:rsidRPr="00B2286D" w:rsidRDefault="00B2286D" w:rsidP="00B2286D">
            <w:pPr>
              <w:cnfStyle w:val="000000100000" w:firstRow="0" w:lastRow="0" w:firstColumn="0" w:lastColumn="0" w:oddVBand="0" w:evenVBand="0" w:oddHBand="1" w:evenHBand="0" w:firstRowFirstColumn="0" w:firstRowLastColumn="0" w:lastRowFirstColumn="0" w:lastRowLastColumn="0"/>
              <w:rPr>
                <w:rFonts w:ascii="Myriad Pro" w:hAnsi="Myriad Pro"/>
                <w:sz w:val="18"/>
                <w:szCs w:val="18"/>
              </w:rPr>
            </w:pPr>
            <w:r w:rsidRPr="00B2286D">
              <w:rPr>
                <w:rFonts w:ascii="Myriad Pro" w:hAnsi="Myriad Pro"/>
                <w:sz w:val="18"/>
                <w:szCs w:val="18"/>
              </w:rPr>
              <w:t>2.8419</w:t>
            </w:r>
          </w:p>
        </w:tc>
      </w:tr>
      <w:tr w:rsidR="00B2286D" w:rsidRPr="00B2286D" w:rsidTr="005E2668">
        <w:trPr>
          <w:trHeight w:val="422"/>
        </w:trPr>
        <w:tc>
          <w:tcPr>
            <w:cnfStyle w:val="001000000000" w:firstRow="0" w:lastRow="0" w:firstColumn="1" w:lastColumn="0" w:oddVBand="0" w:evenVBand="0" w:oddHBand="0" w:evenHBand="0" w:firstRowFirstColumn="0" w:firstRowLastColumn="0" w:lastRowFirstColumn="0" w:lastRowLastColumn="0"/>
            <w:tcW w:w="1036" w:type="dxa"/>
          </w:tcPr>
          <w:p w:rsidR="00B2286D" w:rsidRPr="00B2286D" w:rsidRDefault="00B2286D" w:rsidP="00B2286D">
            <w:pPr>
              <w:rPr>
                <w:rFonts w:ascii="Myriad Pro" w:hAnsi="Myriad Pro"/>
                <w:sz w:val="18"/>
                <w:szCs w:val="18"/>
                <w:lang w:val="en-US"/>
              </w:rPr>
            </w:pPr>
            <w:r w:rsidRPr="00B2286D">
              <w:rPr>
                <w:rFonts w:ascii="Myriad Pro" w:hAnsi="Myriad Pro"/>
                <w:sz w:val="18"/>
                <w:szCs w:val="18"/>
                <w:lang w:val="en-US"/>
              </w:rPr>
              <w:t>Variation</w:t>
            </w:r>
          </w:p>
        </w:tc>
        <w:tc>
          <w:tcPr>
            <w:tcW w:w="855"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-0.0547</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0.1308</w:t>
            </w:r>
          </w:p>
        </w:tc>
        <w:tc>
          <w:tcPr>
            <w:tcW w:w="88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0.0031</w:t>
            </w:r>
          </w:p>
        </w:tc>
        <w:tc>
          <w:tcPr>
            <w:tcW w:w="1042"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0.0628</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-0.4442</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-0.2296</w:t>
            </w:r>
          </w:p>
        </w:tc>
        <w:tc>
          <w:tcPr>
            <w:tcW w:w="961"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0.1532</w:t>
            </w:r>
          </w:p>
        </w:tc>
        <w:tc>
          <w:tcPr>
            <w:tcW w:w="1033"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0.5351</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-0.0231</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0.1336</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0.4174</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0.3617</w:t>
            </w:r>
          </w:p>
        </w:tc>
        <w:tc>
          <w:tcPr>
            <w:tcW w:w="779" w:type="dxa"/>
            <w:gridSpan w:val="2"/>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0.5159</w:t>
            </w:r>
          </w:p>
        </w:tc>
        <w:tc>
          <w:tcPr>
            <w:tcW w:w="776"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2.8771</w:t>
            </w:r>
          </w:p>
        </w:tc>
        <w:tc>
          <w:tcPr>
            <w:tcW w:w="887"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1.2957</w:t>
            </w:r>
          </w:p>
        </w:tc>
        <w:tc>
          <w:tcPr>
            <w:tcW w:w="1028" w:type="dxa"/>
          </w:tcPr>
          <w:p w:rsidR="00B2286D" w:rsidRPr="00B2286D" w:rsidRDefault="00B2286D" w:rsidP="00B2286D">
            <w:pPr>
              <w:cnfStyle w:val="000000000000" w:firstRow="0" w:lastRow="0" w:firstColumn="0" w:lastColumn="0" w:oddVBand="0" w:evenVBand="0" w:oddHBand="0" w:evenHBand="0" w:firstRowFirstColumn="0" w:firstRowLastColumn="0" w:lastRowFirstColumn="0" w:lastRowLastColumn="0"/>
              <w:rPr>
                <w:rFonts w:ascii="Myriad Pro" w:hAnsi="Myriad Pro"/>
                <w:sz w:val="18"/>
                <w:szCs w:val="18"/>
              </w:rPr>
            </w:pPr>
            <w:r w:rsidRPr="00B2286D">
              <w:rPr>
                <w:rFonts w:ascii="Myriad Pro" w:hAnsi="Myriad Pro"/>
                <w:sz w:val="18"/>
                <w:szCs w:val="18"/>
              </w:rPr>
              <w:t>2.1475</w:t>
            </w:r>
          </w:p>
        </w:tc>
      </w:tr>
    </w:tbl>
    <w:p w:rsidR="00B2286D" w:rsidRPr="00B2286D" w:rsidRDefault="00B2286D" w:rsidP="00B2286D">
      <w:pPr>
        <w:spacing w:line="480" w:lineRule="auto"/>
        <w:jc w:val="both"/>
        <w:rPr>
          <w:rFonts w:ascii="Myriad Pro" w:hAnsi="Myriad Pro"/>
          <w:sz w:val="18"/>
          <w:szCs w:val="18"/>
        </w:rPr>
        <w:sectPr w:rsidR="00B2286D" w:rsidRPr="00B2286D" w:rsidSect="001B52C9">
          <w:pgSz w:w="16840" w:h="11900" w:orient="landscape"/>
          <w:pgMar w:top="1440" w:right="1440" w:bottom="1440" w:left="1440" w:header="720" w:footer="720" w:gutter="0"/>
          <w:cols w:space="720"/>
          <w:docGrid w:linePitch="360"/>
        </w:sectPr>
      </w:pPr>
    </w:p>
    <w:p w:rsidR="00B2286D" w:rsidRPr="00B2286D" w:rsidRDefault="00B2286D" w:rsidP="00B2286D">
      <w:pPr>
        <w:spacing w:line="480" w:lineRule="auto"/>
        <w:jc w:val="both"/>
        <w:rPr>
          <w:rFonts w:ascii="Times New Roman" w:hAnsi="Times New Roman" w:cs="Times New Roman"/>
          <w:b/>
        </w:rPr>
      </w:pPr>
    </w:p>
    <w:p w:rsidR="00EE1163" w:rsidRDefault="00A46615">
      <w:bookmarkStart w:id="0" w:name="_GoBack"/>
      <w:bookmarkEnd w:id="0"/>
    </w:p>
    <w:sectPr w:rsidR="00EE1163" w:rsidSect="00E1698B">
      <w:pgSz w:w="11905" w:h="16837"/>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1BAD"/>
    <w:multiLevelType w:val="multilevel"/>
    <w:tmpl w:val="E998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1129F"/>
    <w:multiLevelType w:val="hybridMultilevel"/>
    <w:tmpl w:val="5A2CA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153A0"/>
    <w:multiLevelType w:val="hybridMultilevel"/>
    <w:tmpl w:val="B198BB88"/>
    <w:lvl w:ilvl="0" w:tplc="9468DBB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E55867"/>
    <w:multiLevelType w:val="hybridMultilevel"/>
    <w:tmpl w:val="5D32C874"/>
    <w:lvl w:ilvl="0" w:tplc="FFFFFFFF">
      <w:start w:val="1"/>
      <w:numFmt w:val="bullet"/>
      <w:pStyle w:val="ListNumber5"/>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BD47653"/>
    <w:multiLevelType w:val="hybridMultilevel"/>
    <w:tmpl w:val="C6F06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9212B4"/>
    <w:multiLevelType w:val="hybridMultilevel"/>
    <w:tmpl w:val="F0E4E2BA"/>
    <w:lvl w:ilvl="0" w:tplc="8228A00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FC38C2"/>
    <w:multiLevelType w:val="hybridMultilevel"/>
    <w:tmpl w:val="E34EC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86D"/>
    <w:rsid w:val="00000D46"/>
    <w:rsid w:val="00016E28"/>
    <w:rsid w:val="000228C1"/>
    <w:rsid w:val="000254D0"/>
    <w:rsid w:val="00027B67"/>
    <w:rsid w:val="0003186A"/>
    <w:rsid w:val="00032BF7"/>
    <w:rsid w:val="00041EDD"/>
    <w:rsid w:val="00046519"/>
    <w:rsid w:val="00050508"/>
    <w:rsid w:val="00051619"/>
    <w:rsid w:val="00051C7E"/>
    <w:rsid w:val="00090384"/>
    <w:rsid w:val="000B4315"/>
    <w:rsid w:val="000C6EA0"/>
    <w:rsid w:val="000D1A38"/>
    <w:rsid w:val="000E3208"/>
    <w:rsid w:val="000F3DF0"/>
    <w:rsid w:val="00101754"/>
    <w:rsid w:val="0011478C"/>
    <w:rsid w:val="0012273E"/>
    <w:rsid w:val="001307B1"/>
    <w:rsid w:val="001426ED"/>
    <w:rsid w:val="00146401"/>
    <w:rsid w:val="00157480"/>
    <w:rsid w:val="00162062"/>
    <w:rsid w:val="00177431"/>
    <w:rsid w:val="001A344F"/>
    <w:rsid w:val="001C4A48"/>
    <w:rsid w:val="001D3327"/>
    <w:rsid w:val="001D4457"/>
    <w:rsid w:val="001E228D"/>
    <w:rsid w:val="001E426E"/>
    <w:rsid w:val="001E5E9D"/>
    <w:rsid w:val="001E5FB8"/>
    <w:rsid w:val="001F48A4"/>
    <w:rsid w:val="00200185"/>
    <w:rsid w:val="002030C0"/>
    <w:rsid w:val="002164B2"/>
    <w:rsid w:val="0022301A"/>
    <w:rsid w:val="00223A5E"/>
    <w:rsid w:val="00246D66"/>
    <w:rsid w:val="002657EE"/>
    <w:rsid w:val="00267E00"/>
    <w:rsid w:val="0029409D"/>
    <w:rsid w:val="00294733"/>
    <w:rsid w:val="002978F4"/>
    <w:rsid w:val="002B2890"/>
    <w:rsid w:val="002B5278"/>
    <w:rsid w:val="002C4C1B"/>
    <w:rsid w:val="002D534E"/>
    <w:rsid w:val="002E59C7"/>
    <w:rsid w:val="002F0FDA"/>
    <w:rsid w:val="002F36AE"/>
    <w:rsid w:val="002F3FD8"/>
    <w:rsid w:val="002F79F2"/>
    <w:rsid w:val="003039E4"/>
    <w:rsid w:val="00303B0C"/>
    <w:rsid w:val="00306273"/>
    <w:rsid w:val="003079EE"/>
    <w:rsid w:val="00317545"/>
    <w:rsid w:val="0032262A"/>
    <w:rsid w:val="0032673F"/>
    <w:rsid w:val="00335771"/>
    <w:rsid w:val="003363AC"/>
    <w:rsid w:val="0035580E"/>
    <w:rsid w:val="003565D7"/>
    <w:rsid w:val="00356C8F"/>
    <w:rsid w:val="00365010"/>
    <w:rsid w:val="00375FBF"/>
    <w:rsid w:val="00383C3C"/>
    <w:rsid w:val="0038555C"/>
    <w:rsid w:val="003955E7"/>
    <w:rsid w:val="003A03B3"/>
    <w:rsid w:val="003B282F"/>
    <w:rsid w:val="003B7253"/>
    <w:rsid w:val="003C3C14"/>
    <w:rsid w:val="003C6517"/>
    <w:rsid w:val="003D3A10"/>
    <w:rsid w:val="003D6B53"/>
    <w:rsid w:val="003F0227"/>
    <w:rsid w:val="00404E7D"/>
    <w:rsid w:val="004051F4"/>
    <w:rsid w:val="0040640B"/>
    <w:rsid w:val="00431398"/>
    <w:rsid w:val="00443D61"/>
    <w:rsid w:val="00453F63"/>
    <w:rsid w:val="004600F4"/>
    <w:rsid w:val="00464850"/>
    <w:rsid w:val="00471C68"/>
    <w:rsid w:val="00472CAF"/>
    <w:rsid w:val="00480B5C"/>
    <w:rsid w:val="004A1F75"/>
    <w:rsid w:val="004B2547"/>
    <w:rsid w:val="004E2BB6"/>
    <w:rsid w:val="0050305F"/>
    <w:rsid w:val="005255D2"/>
    <w:rsid w:val="00527D5B"/>
    <w:rsid w:val="00531E69"/>
    <w:rsid w:val="00533215"/>
    <w:rsid w:val="00536CA3"/>
    <w:rsid w:val="00541CE9"/>
    <w:rsid w:val="00543134"/>
    <w:rsid w:val="00543C75"/>
    <w:rsid w:val="005447AF"/>
    <w:rsid w:val="005460F1"/>
    <w:rsid w:val="00556E7E"/>
    <w:rsid w:val="0056198B"/>
    <w:rsid w:val="00582220"/>
    <w:rsid w:val="00585257"/>
    <w:rsid w:val="00586AC9"/>
    <w:rsid w:val="005C68A4"/>
    <w:rsid w:val="005D2B90"/>
    <w:rsid w:val="005D4BF7"/>
    <w:rsid w:val="005D6BA8"/>
    <w:rsid w:val="005F2E3A"/>
    <w:rsid w:val="00604273"/>
    <w:rsid w:val="006151E0"/>
    <w:rsid w:val="00621E28"/>
    <w:rsid w:val="00635FBC"/>
    <w:rsid w:val="00652418"/>
    <w:rsid w:val="0067064F"/>
    <w:rsid w:val="006707A6"/>
    <w:rsid w:val="0067513F"/>
    <w:rsid w:val="00677A65"/>
    <w:rsid w:val="00686194"/>
    <w:rsid w:val="00690EBD"/>
    <w:rsid w:val="006A602C"/>
    <w:rsid w:val="006B10EE"/>
    <w:rsid w:val="006B2408"/>
    <w:rsid w:val="006C0533"/>
    <w:rsid w:val="006D07D8"/>
    <w:rsid w:val="006F30F7"/>
    <w:rsid w:val="0070319A"/>
    <w:rsid w:val="00712DBE"/>
    <w:rsid w:val="0073748A"/>
    <w:rsid w:val="007424A5"/>
    <w:rsid w:val="0075401D"/>
    <w:rsid w:val="00760B2A"/>
    <w:rsid w:val="007626D8"/>
    <w:rsid w:val="0077757E"/>
    <w:rsid w:val="00781887"/>
    <w:rsid w:val="00790AEB"/>
    <w:rsid w:val="00794431"/>
    <w:rsid w:val="007A3127"/>
    <w:rsid w:val="007A7874"/>
    <w:rsid w:val="007C61F3"/>
    <w:rsid w:val="00800A32"/>
    <w:rsid w:val="00812494"/>
    <w:rsid w:val="00821339"/>
    <w:rsid w:val="00822AF3"/>
    <w:rsid w:val="00824820"/>
    <w:rsid w:val="00827396"/>
    <w:rsid w:val="00830805"/>
    <w:rsid w:val="008319F7"/>
    <w:rsid w:val="00853953"/>
    <w:rsid w:val="00861A1B"/>
    <w:rsid w:val="00875FFE"/>
    <w:rsid w:val="00880EF3"/>
    <w:rsid w:val="00883993"/>
    <w:rsid w:val="008B5FE8"/>
    <w:rsid w:val="008D10F7"/>
    <w:rsid w:val="008D1717"/>
    <w:rsid w:val="008D69C8"/>
    <w:rsid w:val="008D7117"/>
    <w:rsid w:val="008E561A"/>
    <w:rsid w:val="008F46FF"/>
    <w:rsid w:val="008F6AE5"/>
    <w:rsid w:val="00913C8A"/>
    <w:rsid w:val="0092395A"/>
    <w:rsid w:val="00924083"/>
    <w:rsid w:val="00925B22"/>
    <w:rsid w:val="0093126E"/>
    <w:rsid w:val="009412B2"/>
    <w:rsid w:val="009465F0"/>
    <w:rsid w:val="009478F4"/>
    <w:rsid w:val="00955EB0"/>
    <w:rsid w:val="00957BF4"/>
    <w:rsid w:val="009635A2"/>
    <w:rsid w:val="00970354"/>
    <w:rsid w:val="009864B3"/>
    <w:rsid w:val="00987B9F"/>
    <w:rsid w:val="009A403A"/>
    <w:rsid w:val="009B7D59"/>
    <w:rsid w:val="009D025C"/>
    <w:rsid w:val="009D0A1C"/>
    <w:rsid w:val="009D7065"/>
    <w:rsid w:val="009D749E"/>
    <w:rsid w:val="009E0592"/>
    <w:rsid w:val="009E668D"/>
    <w:rsid w:val="009F2201"/>
    <w:rsid w:val="00A0627F"/>
    <w:rsid w:val="00A118F1"/>
    <w:rsid w:val="00A24DCB"/>
    <w:rsid w:val="00A46615"/>
    <w:rsid w:val="00A54BD1"/>
    <w:rsid w:val="00A56E9A"/>
    <w:rsid w:val="00A57765"/>
    <w:rsid w:val="00A603FA"/>
    <w:rsid w:val="00A71F9F"/>
    <w:rsid w:val="00A72905"/>
    <w:rsid w:val="00A72E01"/>
    <w:rsid w:val="00A72F81"/>
    <w:rsid w:val="00A7510D"/>
    <w:rsid w:val="00A81547"/>
    <w:rsid w:val="00A85DC9"/>
    <w:rsid w:val="00AA58C6"/>
    <w:rsid w:val="00AB0528"/>
    <w:rsid w:val="00AB7803"/>
    <w:rsid w:val="00AE4A89"/>
    <w:rsid w:val="00AF2D4B"/>
    <w:rsid w:val="00B065CC"/>
    <w:rsid w:val="00B161A9"/>
    <w:rsid w:val="00B2286D"/>
    <w:rsid w:val="00B33236"/>
    <w:rsid w:val="00B3653F"/>
    <w:rsid w:val="00B37B10"/>
    <w:rsid w:val="00B55CD3"/>
    <w:rsid w:val="00B71E04"/>
    <w:rsid w:val="00B729F9"/>
    <w:rsid w:val="00B76B03"/>
    <w:rsid w:val="00B83901"/>
    <w:rsid w:val="00B84ABD"/>
    <w:rsid w:val="00B90368"/>
    <w:rsid w:val="00BA5E48"/>
    <w:rsid w:val="00BA66F8"/>
    <w:rsid w:val="00BB2720"/>
    <w:rsid w:val="00BC431F"/>
    <w:rsid w:val="00BD0C00"/>
    <w:rsid w:val="00BE19F8"/>
    <w:rsid w:val="00BE7415"/>
    <w:rsid w:val="00BF0D96"/>
    <w:rsid w:val="00BF373D"/>
    <w:rsid w:val="00BF7402"/>
    <w:rsid w:val="00C064CE"/>
    <w:rsid w:val="00C1083B"/>
    <w:rsid w:val="00C13713"/>
    <w:rsid w:val="00C158E9"/>
    <w:rsid w:val="00C20C2E"/>
    <w:rsid w:val="00C34D71"/>
    <w:rsid w:val="00C36B32"/>
    <w:rsid w:val="00C5594E"/>
    <w:rsid w:val="00C8128C"/>
    <w:rsid w:val="00C93D1D"/>
    <w:rsid w:val="00C9410D"/>
    <w:rsid w:val="00CA4DAD"/>
    <w:rsid w:val="00CB73FE"/>
    <w:rsid w:val="00CC3DB9"/>
    <w:rsid w:val="00CD7BB7"/>
    <w:rsid w:val="00CE3701"/>
    <w:rsid w:val="00CE46D4"/>
    <w:rsid w:val="00CF54C6"/>
    <w:rsid w:val="00CF5A19"/>
    <w:rsid w:val="00CF5D77"/>
    <w:rsid w:val="00D11964"/>
    <w:rsid w:val="00D32EC9"/>
    <w:rsid w:val="00D47196"/>
    <w:rsid w:val="00D51E34"/>
    <w:rsid w:val="00D531DA"/>
    <w:rsid w:val="00D576AF"/>
    <w:rsid w:val="00D60486"/>
    <w:rsid w:val="00D94538"/>
    <w:rsid w:val="00DA5B07"/>
    <w:rsid w:val="00DA6E09"/>
    <w:rsid w:val="00DB03D3"/>
    <w:rsid w:val="00DB407E"/>
    <w:rsid w:val="00DB4F1E"/>
    <w:rsid w:val="00DC1273"/>
    <w:rsid w:val="00DC431A"/>
    <w:rsid w:val="00DD0E58"/>
    <w:rsid w:val="00DD2948"/>
    <w:rsid w:val="00DE0F27"/>
    <w:rsid w:val="00DE216F"/>
    <w:rsid w:val="00DF533F"/>
    <w:rsid w:val="00E035DB"/>
    <w:rsid w:val="00E03AEE"/>
    <w:rsid w:val="00E24C73"/>
    <w:rsid w:val="00E7063D"/>
    <w:rsid w:val="00E77E1E"/>
    <w:rsid w:val="00E84CD7"/>
    <w:rsid w:val="00EA08AA"/>
    <w:rsid w:val="00EC055A"/>
    <w:rsid w:val="00ED3E62"/>
    <w:rsid w:val="00ED5200"/>
    <w:rsid w:val="00EE41DD"/>
    <w:rsid w:val="00EF3667"/>
    <w:rsid w:val="00EF6C2A"/>
    <w:rsid w:val="00F05AA8"/>
    <w:rsid w:val="00F13E6F"/>
    <w:rsid w:val="00F16835"/>
    <w:rsid w:val="00F50492"/>
    <w:rsid w:val="00F5721A"/>
    <w:rsid w:val="00FA66EF"/>
    <w:rsid w:val="00FA67A4"/>
    <w:rsid w:val="00FB1634"/>
    <w:rsid w:val="00FC0E4F"/>
    <w:rsid w:val="00FF73F1"/>
    <w:rsid w:val="00FF7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720F"/>
  <w14:defaultImageDpi w14:val="32767"/>
  <w15:chartTrackingRefBased/>
  <w15:docId w15:val="{02F9CD5E-FFE8-1E43-8FAF-A45C7D14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86D"/>
    <w:pPr>
      <w:keepNext/>
      <w:keepLines/>
      <w:spacing w:before="240" w:line="480" w:lineRule="auto"/>
      <w:jc w:val="both"/>
      <w:outlineLvl w:val="0"/>
    </w:pPr>
    <w:rPr>
      <w:rFonts w:ascii="Times New Roman" w:eastAsiaTheme="majorEastAsia" w:hAnsi="Times New Roman" w:cs="Times New Roman"/>
      <w:b/>
      <w:color w:val="000000" w:themeColor="text1"/>
    </w:rPr>
  </w:style>
  <w:style w:type="paragraph" w:styleId="Heading2">
    <w:name w:val="heading 2"/>
    <w:basedOn w:val="Normal"/>
    <w:next w:val="Normal"/>
    <w:link w:val="Heading2Char"/>
    <w:uiPriority w:val="9"/>
    <w:unhideWhenUsed/>
    <w:qFormat/>
    <w:rsid w:val="00B2286D"/>
    <w:pPr>
      <w:keepNext/>
      <w:keepLines/>
      <w:spacing w:before="40" w:line="480" w:lineRule="auto"/>
      <w:jc w:val="both"/>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86D"/>
    <w:rPr>
      <w:rFonts w:ascii="Times New Roman" w:eastAsiaTheme="majorEastAsia" w:hAnsi="Times New Roman" w:cs="Times New Roman"/>
      <w:b/>
      <w:color w:val="000000" w:themeColor="text1"/>
    </w:rPr>
  </w:style>
  <w:style w:type="character" w:customStyle="1" w:styleId="Heading2Char">
    <w:name w:val="Heading 2 Char"/>
    <w:basedOn w:val="DefaultParagraphFont"/>
    <w:link w:val="Heading2"/>
    <w:uiPriority w:val="9"/>
    <w:rsid w:val="00B2286D"/>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B2286D"/>
  </w:style>
  <w:style w:type="paragraph" w:customStyle="1" w:styleId="EndNoteBibliographyTitle">
    <w:name w:val="EndNote Bibliography Title"/>
    <w:basedOn w:val="Normal"/>
    <w:rsid w:val="00B2286D"/>
    <w:pPr>
      <w:spacing w:line="480" w:lineRule="auto"/>
      <w:jc w:val="center"/>
    </w:pPr>
    <w:rPr>
      <w:rFonts w:ascii="Arial" w:hAnsi="Arial" w:cs="Arial"/>
      <w:sz w:val="22"/>
      <w:lang w:val="en-US"/>
    </w:rPr>
  </w:style>
  <w:style w:type="paragraph" w:customStyle="1" w:styleId="EndNoteBibliography">
    <w:name w:val="EndNote Bibliography"/>
    <w:basedOn w:val="Normal"/>
    <w:rsid w:val="00B2286D"/>
    <w:pPr>
      <w:jc w:val="both"/>
    </w:pPr>
    <w:rPr>
      <w:rFonts w:ascii="Arial" w:hAnsi="Arial" w:cs="Arial"/>
      <w:sz w:val="22"/>
      <w:lang w:val="en-US"/>
    </w:rPr>
  </w:style>
  <w:style w:type="character" w:styleId="CommentReference">
    <w:name w:val="annotation reference"/>
    <w:basedOn w:val="DefaultParagraphFont"/>
    <w:uiPriority w:val="99"/>
    <w:semiHidden/>
    <w:unhideWhenUsed/>
    <w:rsid w:val="00B2286D"/>
    <w:rPr>
      <w:sz w:val="18"/>
      <w:szCs w:val="18"/>
    </w:rPr>
  </w:style>
  <w:style w:type="paragraph" w:styleId="CommentText">
    <w:name w:val="annotation text"/>
    <w:basedOn w:val="Normal"/>
    <w:link w:val="CommentTextChar"/>
    <w:uiPriority w:val="99"/>
    <w:unhideWhenUsed/>
    <w:rsid w:val="00B2286D"/>
    <w:pPr>
      <w:spacing w:line="480" w:lineRule="auto"/>
      <w:jc w:val="both"/>
    </w:pPr>
    <w:rPr>
      <w:rFonts w:ascii="Times New Roman" w:hAnsi="Times New Roman" w:cs="Times New Roman"/>
    </w:rPr>
  </w:style>
  <w:style w:type="character" w:customStyle="1" w:styleId="CommentTextChar">
    <w:name w:val="Comment Text Char"/>
    <w:basedOn w:val="DefaultParagraphFont"/>
    <w:link w:val="CommentText"/>
    <w:uiPriority w:val="99"/>
    <w:rsid w:val="00B2286D"/>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B2286D"/>
    <w:rPr>
      <w:b/>
      <w:bCs/>
      <w:sz w:val="20"/>
      <w:szCs w:val="20"/>
    </w:rPr>
  </w:style>
  <w:style w:type="character" w:customStyle="1" w:styleId="CommentSubjectChar">
    <w:name w:val="Comment Subject Char"/>
    <w:basedOn w:val="CommentTextChar"/>
    <w:link w:val="CommentSubject"/>
    <w:uiPriority w:val="99"/>
    <w:semiHidden/>
    <w:rsid w:val="00B2286D"/>
    <w:rPr>
      <w:rFonts w:ascii="Times New Roman" w:hAnsi="Times New Roman" w:cs="Times New Roman"/>
      <w:b/>
      <w:bCs/>
      <w:sz w:val="20"/>
      <w:szCs w:val="20"/>
    </w:rPr>
  </w:style>
  <w:style w:type="paragraph" w:styleId="Revision">
    <w:name w:val="Revision"/>
    <w:hidden/>
    <w:uiPriority w:val="99"/>
    <w:semiHidden/>
    <w:rsid w:val="00B2286D"/>
    <w:rPr>
      <w:rFonts w:ascii="Arial" w:hAnsi="Arial" w:cs="Arial"/>
      <w:sz w:val="22"/>
      <w:szCs w:val="22"/>
    </w:rPr>
  </w:style>
  <w:style w:type="paragraph" w:styleId="BalloonText">
    <w:name w:val="Balloon Text"/>
    <w:basedOn w:val="Normal"/>
    <w:link w:val="BalloonTextChar"/>
    <w:uiPriority w:val="99"/>
    <w:semiHidden/>
    <w:unhideWhenUsed/>
    <w:rsid w:val="00B2286D"/>
    <w:pPr>
      <w:spacing w:line="480" w:lineRule="auto"/>
      <w:jc w:val="both"/>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2286D"/>
    <w:rPr>
      <w:rFonts w:ascii="Times New Roman" w:hAnsi="Times New Roman" w:cs="Times New Roman"/>
      <w:sz w:val="18"/>
      <w:szCs w:val="18"/>
    </w:rPr>
  </w:style>
  <w:style w:type="paragraph" w:styleId="ListNumber5">
    <w:name w:val="List Number 5"/>
    <w:basedOn w:val="Normal"/>
    <w:uiPriority w:val="99"/>
    <w:rsid w:val="00B2286D"/>
    <w:pPr>
      <w:numPr>
        <w:numId w:val="2"/>
      </w:numPr>
      <w:tabs>
        <w:tab w:val="clear" w:pos="360"/>
        <w:tab w:val="left" w:pos="3600"/>
      </w:tabs>
      <w:spacing w:after="240" w:line="480" w:lineRule="auto"/>
      <w:ind w:left="3600" w:hanging="720"/>
      <w:jc w:val="both"/>
    </w:pPr>
    <w:rPr>
      <w:rFonts w:ascii="Times New Roman" w:eastAsia="Times New Roman" w:hAnsi="Times New Roman" w:cs="Times New Roman"/>
      <w:lang w:eastAsia="zh-CN"/>
    </w:rPr>
  </w:style>
  <w:style w:type="paragraph" w:styleId="Title">
    <w:name w:val="Title"/>
    <w:basedOn w:val="Normal"/>
    <w:next w:val="Normal"/>
    <w:link w:val="TitleChar"/>
    <w:uiPriority w:val="10"/>
    <w:qFormat/>
    <w:rsid w:val="00B2286D"/>
    <w:pPr>
      <w:spacing w:line="480" w:lineRule="auto"/>
      <w:contextualSpacing/>
      <w:jc w:val="both"/>
    </w:pPr>
    <w:rPr>
      <w:rFonts w:ascii="Times New Roman" w:eastAsiaTheme="majorEastAsia" w:hAnsi="Times New Roman" w:cs="Times New Roman"/>
      <w:b/>
      <w:spacing w:val="-10"/>
      <w:kern w:val="28"/>
      <w:sz w:val="28"/>
      <w:szCs w:val="28"/>
    </w:rPr>
  </w:style>
  <w:style w:type="character" w:customStyle="1" w:styleId="TitleChar">
    <w:name w:val="Title Char"/>
    <w:basedOn w:val="DefaultParagraphFont"/>
    <w:link w:val="Title"/>
    <w:uiPriority w:val="10"/>
    <w:rsid w:val="00B2286D"/>
    <w:rPr>
      <w:rFonts w:ascii="Times New Roman" w:eastAsiaTheme="majorEastAsia" w:hAnsi="Times New Roman" w:cs="Times New Roman"/>
      <w:b/>
      <w:spacing w:val="-10"/>
      <w:kern w:val="28"/>
      <w:sz w:val="28"/>
      <w:szCs w:val="28"/>
    </w:rPr>
  </w:style>
  <w:style w:type="paragraph" w:styleId="ListParagraph">
    <w:name w:val="List Paragraph"/>
    <w:basedOn w:val="Normal"/>
    <w:uiPriority w:val="34"/>
    <w:qFormat/>
    <w:rsid w:val="00B2286D"/>
    <w:pPr>
      <w:spacing w:line="480" w:lineRule="auto"/>
      <w:ind w:left="720"/>
      <w:contextualSpacing/>
      <w:jc w:val="both"/>
    </w:pPr>
    <w:rPr>
      <w:rFonts w:ascii="Times New Roman" w:hAnsi="Times New Roman" w:cs="Times New Roman"/>
    </w:rPr>
  </w:style>
  <w:style w:type="character" w:styleId="Hyperlink">
    <w:name w:val="Hyperlink"/>
    <w:basedOn w:val="DefaultParagraphFont"/>
    <w:uiPriority w:val="99"/>
    <w:unhideWhenUsed/>
    <w:rsid w:val="00B2286D"/>
    <w:rPr>
      <w:color w:val="0563C1" w:themeColor="hyperlink"/>
      <w:u w:val="single"/>
    </w:rPr>
  </w:style>
  <w:style w:type="character" w:styleId="FollowedHyperlink">
    <w:name w:val="FollowedHyperlink"/>
    <w:basedOn w:val="DefaultParagraphFont"/>
    <w:uiPriority w:val="99"/>
    <w:semiHidden/>
    <w:unhideWhenUsed/>
    <w:rsid w:val="00B2286D"/>
    <w:rPr>
      <w:color w:val="954F72" w:themeColor="followedHyperlink"/>
      <w:u w:val="single"/>
    </w:rPr>
  </w:style>
  <w:style w:type="paragraph" w:customStyle="1" w:styleId="AbstractSummary">
    <w:name w:val="Abstract/Summary"/>
    <w:basedOn w:val="Normal"/>
    <w:rsid w:val="00B2286D"/>
    <w:pPr>
      <w:spacing w:before="120"/>
    </w:pPr>
    <w:rPr>
      <w:rFonts w:ascii="Times New Roman" w:eastAsia="Times New Roman" w:hAnsi="Times New Roman" w:cs="Times New Roman"/>
      <w:lang w:val="en-US"/>
    </w:rPr>
  </w:style>
  <w:style w:type="paragraph" w:customStyle="1" w:styleId="Paragraph">
    <w:name w:val="Paragraph"/>
    <w:basedOn w:val="Normal"/>
    <w:rsid w:val="00B2286D"/>
    <w:pPr>
      <w:spacing w:before="120"/>
      <w:ind w:firstLine="720"/>
    </w:pPr>
    <w:rPr>
      <w:rFonts w:ascii="Times New Roman" w:eastAsia="Times New Roman" w:hAnsi="Times New Roman" w:cs="Times New Roman"/>
      <w:lang w:val="en-US"/>
    </w:rPr>
  </w:style>
  <w:style w:type="paragraph" w:customStyle="1" w:styleId="Refhead">
    <w:name w:val="Ref head"/>
    <w:basedOn w:val="Normal"/>
    <w:rsid w:val="00B2286D"/>
    <w:pPr>
      <w:keepNext/>
      <w:spacing w:before="120" w:after="120"/>
      <w:outlineLvl w:val="0"/>
    </w:pPr>
    <w:rPr>
      <w:rFonts w:ascii="Times New Roman" w:eastAsia="Times New Roman" w:hAnsi="Times New Roman" w:cs="Times New Roman"/>
      <w:b/>
      <w:bCs/>
      <w:kern w:val="28"/>
      <w:lang w:val="en-US"/>
    </w:rPr>
  </w:style>
  <w:style w:type="paragraph" w:customStyle="1" w:styleId="Acknowledgement">
    <w:name w:val="Acknowledgement"/>
    <w:basedOn w:val="Normal"/>
    <w:rsid w:val="00B2286D"/>
    <w:pPr>
      <w:spacing w:before="120"/>
      <w:ind w:left="720" w:hanging="720"/>
    </w:pPr>
    <w:rPr>
      <w:rFonts w:ascii="Times New Roman" w:eastAsia="Times New Roman" w:hAnsi="Times New Roman" w:cs="Times New Roman"/>
      <w:lang w:val="en-US"/>
    </w:rPr>
  </w:style>
  <w:style w:type="paragraph" w:customStyle="1" w:styleId="Title1">
    <w:name w:val="Title1"/>
    <w:basedOn w:val="Normal"/>
    <w:rsid w:val="00B2286D"/>
    <w:pPr>
      <w:spacing w:before="100" w:beforeAutospacing="1" w:after="100" w:afterAutospacing="1"/>
    </w:pPr>
    <w:rPr>
      <w:rFonts w:ascii="Times New Roman" w:eastAsia="Times New Roman" w:hAnsi="Times New Roman" w:cs="Times New Roman"/>
      <w:lang w:eastAsia="en-GB"/>
    </w:rPr>
  </w:style>
  <w:style w:type="paragraph" w:customStyle="1" w:styleId="desc">
    <w:name w:val="desc"/>
    <w:basedOn w:val="Normal"/>
    <w:rsid w:val="00B2286D"/>
    <w:pPr>
      <w:spacing w:before="100" w:beforeAutospacing="1" w:after="100" w:afterAutospacing="1"/>
    </w:pPr>
    <w:rPr>
      <w:rFonts w:ascii="Times New Roman" w:eastAsia="Times New Roman" w:hAnsi="Times New Roman" w:cs="Times New Roman"/>
      <w:lang w:eastAsia="en-GB"/>
    </w:rPr>
  </w:style>
  <w:style w:type="paragraph" w:customStyle="1" w:styleId="details">
    <w:name w:val="details"/>
    <w:basedOn w:val="Normal"/>
    <w:rsid w:val="00B2286D"/>
    <w:pPr>
      <w:spacing w:before="100" w:beforeAutospacing="1" w:after="100" w:afterAutospacing="1"/>
    </w:pPr>
    <w:rPr>
      <w:rFonts w:ascii="Times New Roman" w:eastAsia="Times New Roman" w:hAnsi="Times New Roman" w:cs="Times New Roman"/>
      <w:lang w:eastAsia="en-GB"/>
    </w:rPr>
  </w:style>
  <w:style w:type="character" w:customStyle="1" w:styleId="jrnl">
    <w:name w:val="jrnl"/>
    <w:basedOn w:val="DefaultParagraphFont"/>
    <w:rsid w:val="00B2286D"/>
  </w:style>
  <w:style w:type="paragraph" w:customStyle="1" w:styleId="p1">
    <w:name w:val="p1"/>
    <w:basedOn w:val="Normal"/>
    <w:rsid w:val="00B2286D"/>
    <w:rPr>
      <w:rFonts w:ascii="Helvetica Neue" w:hAnsi="Helvetica Neue" w:cs="Times New Roman"/>
      <w:color w:val="454545"/>
      <w:sz w:val="18"/>
      <w:szCs w:val="18"/>
      <w:lang w:eastAsia="en-GB"/>
    </w:rPr>
  </w:style>
  <w:style w:type="table" w:styleId="TableGrid">
    <w:name w:val="Table Grid"/>
    <w:basedOn w:val="TableNormal"/>
    <w:uiPriority w:val="39"/>
    <w:rsid w:val="00B22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B2286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2286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B2286D"/>
    <w:pPr>
      <w:spacing w:after="200"/>
      <w:jc w:val="both"/>
    </w:pPr>
    <w:rPr>
      <w:rFonts w:ascii="Times New Roman" w:hAnsi="Times New Roman" w:cs="Times New Roman"/>
      <w:i/>
      <w:iCs/>
      <w:color w:val="44546A" w:themeColor="text2"/>
      <w:sz w:val="18"/>
      <w:szCs w:val="18"/>
    </w:rPr>
  </w:style>
  <w:style w:type="paragraph" w:customStyle="1" w:styleId="Title2">
    <w:name w:val="Title2"/>
    <w:basedOn w:val="Normal"/>
    <w:rsid w:val="00B2286D"/>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B2286D"/>
  </w:style>
  <w:style w:type="table" w:styleId="PlainTable2">
    <w:name w:val="Plain Table 2"/>
    <w:basedOn w:val="TableNormal"/>
    <w:uiPriority w:val="42"/>
    <w:rsid w:val="00B2286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B2286D"/>
    <w:rPr>
      <w:i/>
      <w:iCs/>
    </w:rPr>
  </w:style>
  <w:style w:type="paragraph" w:customStyle="1" w:styleId="Title3">
    <w:name w:val="Title3"/>
    <w:basedOn w:val="Normal"/>
    <w:rsid w:val="00B2286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1.wmf"/><Relationship Id="rId39" Type="http://schemas.openxmlformats.org/officeDocument/2006/relationships/oleObject" Target="embeddings/oleObject20.bin"/><Relationship Id="rId21" Type="http://schemas.openxmlformats.org/officeDocument/2006/relationships/image" Target="media/image9.wmf"/><Relationship Id="rId34" Type="http://schemas.openxmlformats.org/officeDocument/2006/relationships/image" Target="media/image14.wmf"/><Relationship Id="rId42" Type="http://schemas.openxmlformats.org/officeDocument/2006/relationships/oleObject" Target="embeddings/oleObject23.bin"/><Relationship Id="rId47" Type="http://schemas.openxmlformats.org/officeDocument/2006/relationships/image" Target="media/image19.wmf"/><Relationship Id="rId50" Type="http://schemas.openxmlformats.org/officeDocument/2006/relationships/oleObject" Target="embeddings/oleObject26.bin"/><Relationship Id="rId55" Type="http://schemas.openxmlformats.org/officeDocument/2006/relationships/image" Target="media/image22.wmf"/><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3.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3.wmf"/><Relationship Id="rId37" Type="http://schemas.openxmlformats.org/officeDocument/2006/relationships/oleObject" Target="embeddings/oleObject18.bin"/><Relationship Id="rId40" Type="http://schemas.openxmlformats.org/officeDocument/2006/relationships/oleObject" Target="embeddings/oleObject21.bin"/><Relationship Id="rId45" Type="http://schemas.openxmlformats.org/officeDocument/2006/relationships/oleObject" Target="embeddings/oleObject24.bin"/><Relationship Id="rId53" Type="http://schemas.openxmlformats.org/officeDocument/2006/relationships/oleObject" Target="embeddings/oleObject28.bin"/><Relationship Id="rId58" Type="http://schemas.openxmlformats.org/officeDocument/2006/relationships/oleObject" Target="embeddings/oleObject32.bin"/><Relationship Id="rId5" Type="http://schemas.openxmlformats.org/officeDocument/2006/relationships/image" Target="media/image1.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oleObject" Target="embeddings/oleObject17.bin"/><Relationship Id="rId43" Type="http://schemas.openxmlformats.org/officeDocument/2006/relationships/image" Target="media/image16.png"/><Relationship Id="rId48" Type="http://schemas.openxmlformats.org/officeDocument/2006/relationships/oleObject" Target="embeddings/oleObject25.bin"/><Relationship Id="rId56" Type="http://schemas.openxmlformats.org/officeDocument/2006/relationships/oleObject" Target="embeddings/oleObject30.bin"/><Relationship Id="rId8" Type="http://schemas.openxmlformats.org/officeDocument/2006/relationships/oleObject" Target="embeddings/oleObject2.bin"/><Relationship Id="rId51" Type="http://schemas.openxmlformats.org/officeDocument/2006/relationships/image" Target="media/image21.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image" Target="media/image18.png"/><Relationship Id="rId59" Type="http://schemas.openxmlformats.org/officeDocument/2006/relationships/fontTable" Target="fontTable.xml"/><Relationship Id="rId20" Type="http://schemas.openxmlformats.org/officeDocument/2006/relationships/oleObject" Target="embeddings/oleObject8.bin"/><Relationship Id="rId41" Type="http://schemas.openxmlformats.org/officeDocument/2006/relationships/oleObject" Target="embeddings/oleObject22.bin"/><Relationship Id="rId54" Type="http://schemas.openxmlformats.org/officeDocument/2006/relationships/oleObject" Target="embeddings/oleObject29.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5.wmf"/><Relationship Id="rId49" Type="http://schemas.openxmlformats.org/officeDocument/2006/relationships/image" Target="media/image20.wmf"/><Relationship Id="rId57" Type="http://schemas.openxmlformats.org/officeDocument/2006/relationships/oleObject" Target="embeddings/oleObject31.bin"/><Relationship Id="rId10" Type="http://schemas.openxmlformats.org/officeDocument/2006/relationships/oleObject" Target="embeddings/oleObject3.bin"/><Relationship Id="rId31" Type="http://schemas.openxmlformats.org/officeDocument/2006/relationships/oleObject" Target="embeddings/oleObject15.bin"/><Relationship Id="rId44" Type="http://schemas.openxmlformats.org/officeDocument/2006/relationships/image" Target="media/image17.emf"/><Relationship Id="rId52" Type="http://schemas.openxmlformats.org/officeDocument/2006/relationships/oleObject" Target="embeddings/oleObject27.bin"/><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3034</Words>
  <Characters>17298</Characters>
  <Application>Microsoft Office Word</Application>
  <DocSecurity>0</DocSecurity>
  <Lines>144</Lines>
  <Paragraphs>40</Paragraphs>
  <ScaleCrop>false</ScaleCrop>
  <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Dubash, Suraiya</dc:creator>
  <cp:keywords/>
  <dc:description/>
  <cp:lastModifiedBy>Dubash, Suraiya</cp:lastModifiedBy>
  <cp:revision>1</cp:revision>
  <dcterms:created xsi:type="dcterms:W3CDTF">2018-05-19T13:23:00Z</dcterms:created>
  <dcterms:modified xsi:type="dcterms:W3CDTF">2018-05-19T13:24:00Z</dcterms:modified>
</cp:coreProperties>
</file>