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00B" w:rsidRDefault="00BD0FDB">
      <w:pPr>
        <w:jc w:val="center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Supplemental Data</w:t>
      </w:r>
    </w:p>
    <w:p w:rsidR="005C200B" w:rsidRPr="00EF593B" w:rsidRDefault="005C200B">
      <w:pPr>
        <w:rPr>
          <w:rFonts w:ascii="Arial" w:hAnsi="Arial" w:cs="Arial"/>
          <w:b/>
          <w:sz w:val="16"/>
          <w:szCs w:val="16"/>
          <w:lang w:val="en-US"/>
        </w:rPr>
      </w:pPr>
    </w:p>
    <w:p w:rsidR="005C200B" w:rsidRDefault="00BD0FDB">
      <w:pPr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Development and dosimetry of Pb-203 / Pb-212 labeled PSMA ligands – Bringing “the Lead” into PSMA-Targeting Alpha Therapy?</w:t>
      </w:r>
    </w:p>
    <w:p w:rsidR="005C200B" w:rsidRPr="00EF593B" w:rsidRDefault="005C200B">
      <w:pPr>
        <w:rPr>
          <w:rFonts w:ascii="Arial" w:hAnsi="Arial" w:cs="Arial"/>
          <w:sz w:val="16"/>
          <w:szCs w:val="16"/>
          <w:lang w:val="en-US"/>
        </w:rPr>
      </w:pPr>
    </w:p>
    <w:p w:rsidR="005C200B" w:rsidRDefault="00BD0FDB">
      <w:pPr>
        <w:pBdr>
          <w:bottom w:val="single" w:sz="4" w:space="1" w:color="auto"/>
        </w:pBd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Supplemental Table 1</w:t>
      </w:r>
    </w:p>
    <w:p w:rsidR="005C200B" w:rsidRDefault="00BD0FDB">
      <w:pPr>
        <w:pBdr>
          <w:bottom w:val="single" w:sz="4" w:space="1" w:color="auto"/>
        </w:pBd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Analytic Data of the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Pb</w:t>
      </w:r>
      <w:proofErr w:type="spellEnd"/>
      <w:r>
        <w:rPr>
          <w:rFonts w:ascii="Arial" w:hAnsi="Arial" w:cs="Arial"/>
          <w:sz w:val="24"/>
          <w:szCs w:val="24"/>
          <w:lang w:val="en-US"/>
        </w:rPr>
        <w:t>-Ligands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5"/>
        <w:gridCol w:w="2330"/>
        <w:gridCol w:w="2296"/>
        <w:gridCol w:w="2296"/>
      </w:tblGrid>
      <w:tr w:rsidR="005C200B">
        <w:trPr>
          <w:trHeight w:val="622"/>
        </w:trPr>
        <w:tc>
          <w:tcPr>
            <w:tcW w:w="2295" w:type="dxa"/>
            <w:tcBorders>
              <w:bottom w:val="single" w:sz="18" w:space="0" w:color="auto"/>
            </w:tcBorders>
          </w:tcPr>
          <w:p w:rsidR="005C200B" w:rsidRDefault="00BD0FD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Compound</w:t>
            </w:r>
          </w:p>
        </w:tc>
        <w:tc>
          <w:tcPr>
            <w:tcW w:w="2330" w:type="dxa"/>
            <w:tcBorders>
              <w:bottom w:val="single" w:sz="18" w:space="0" w:color="auto"/>
            </w:tcBorders>
          </w:tcPr>
          <w:p w:rsidR="005C200B" w:rsidRDefault="00BD0FD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m/z (calculated)</w:t>
            </w:r>
          </w:p>
        </w:tc>
        <w:tc>
          <w:tcPr>
            <w:tcW w:w="2296" w:type="dxa"/>
            <w:tcBorders>
              <w:bottom w:val="single" w:sz="18" w:space="0" w:color="auto"/>
            </w:tcBorders>
          </w:tcPr>
          <w:p w:rsidR="005C200B" w:rsidRDefault="00BD0FD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203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Pb-Ligand]-HPLC retention time (min)*</w:t>
            </w:r>
          </w:p>
        </w:tc>
        <w:tc>
          <w:tcPr>
            <w:tcW w:w="2296" w:type="dxa"/>
            <w:tcBorders>
              <w:bottom w:val="single" w:sz="18" w:space="0" w:color="auto"/>
            </w:tcBorders>
          </w:tcPr>
          <w:p w:rsidR="005C200B" w:rsidRDefault="00BD0FD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m/z (determined) **</w:t>
            </w:r>
          </w:p>
        </w:tc>
      </w:tr>
      <w:tr w:rsidR="005C200B">
        <w:trPr>
          <w:trHeight w:val="287"/>
        </w:trPr>
        <w:tc>
          <w:tcPr>
            <w:tcW w:w="2295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5C200B" w:rsidRDefault="00BD0FDB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CA008</w:t>
            </w:r>
          </w:p>
        </w:tc>
        <w:tc>
          <w:tcPr>
            <w:tcW w:w="2330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5C200B" w:rsidRDefault="00BD0FDB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1063.49</w:t>
            </w:r>
          </w:p>
        </w:tc>
        <w:tc>
          <w:tcPr>
            <w:tcW w:w="2296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5C200B" w:rsidRDefault="00BD0FDB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2.52</w:t>
            </w:r>
          </w:p>
        </w:tc>
        <w:tc>
          <w:tcPr>
            <w:tcW w:w="2296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5C200B" w:rsidRDefault="00BD0FD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1064.49</w:t>
            </w:r>
          </w:p>
        </w:tc>
      </w:tr>
      <w:tr w:rsidR="005C200B">
        <w:trPr>
          <w:trHeight w:val="287"/>
        </w:trPr>
        <w:tc>
          <w:tcPr>
            <w:tcW w:w="2295" w:type="dxa"/>
            <w:shd w:val="clear" w:color="auto" w:fill="FFFFFF" w:themeFill="background1"/>
          </w:tcPr>
          <w:p w:rsidR="005C200B" w:rsidRDefault="00BD0FDB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CA009</w:t>
            </w:r>
          </w:p>
        </w:tc>
        <w:tc>
          <w:tcPr>
            <w:tcW w:w="2330" w:type="dxa"/>
            <w:shd w:val="clear" w:color="auto" w:fill="FFFFFF" w:themeFill="background1"/>
          </w:tcPr>
          <w:p w:rsidR="005C200B" w:rsidRDefault="00BD0FDB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1202.59</w:t>
            </w:r>
          </w:p>
        </w:tc>
        <w:tc>
          <w:tcPr>
            <w:tcW w:w="2296" w:type="dxa"/>
            <w:shd w:val="clear" w:color="auto" w:fill="FFFFFF" w:themeFill="background1"/>
          </w:tcPr>
          <w:p w:rsidR="005C200B" w:rsidRDefault="00BD0FDB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2.60</w:t>
            </w:r>
          </w:p>
        </w:tc>
        <w:tc>
          <w:tcPr>
            <w:tcW w:w="2296" w:type="dxa"/>
            <w:shd w:val="clear" w:color="auto" w:fill="FFFFFF" w:themeFill="background1"/>
          </w:tcPr>
          <w:p w:rsidR="005C200B" w:rsidRDefault="00BD0FD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1203.59</w:t>
            </w:r>
          </w:p>
        </w:tc>
      </w:tr>
      <w:tr w:rsidR="005C200B">
        <w:trPr>
          <w:trHeight w:val="287"/>
        </w:trPr>
        <w:tc>
          <w:tcPr>
            <w:tcW w:w="2295" w:type="dxa"/>
            <w:shd w:val="clear" w:color="auto" w:fill="F2F2F2" w:themeFill="background1" w:themeFillShade="F2"/>
          </w:tcPr>
          <w:p w:rsidR="005C200B" w:rsidRDefault="00BD0FDB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CA011</w:t>
            </w:r>
          </w:p>
        </w:tc>
        <w:tc>
          <w:tcPr>
            <w:tcW w:w="2330" w:type="dxa"/>
            <w:shd w:val="clear" w:color="auto" w:fill="F2F2F2" w:themeFill="background1" w:themeFillShade="F2"/>
          </w:tcPr>
          <w:p w:rsidR="005C200B" w:rsidRDefault="00BD0FDB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899.45</w:t>
            </w:r>
          </w:p>
        </w:tc>
        <w:tc>
          <w:tcPr>
            <w:tcW w:w="2296" w:type="dxa"/>
            <w:shd w:val="clear" w:color="auto" w:fill="F2F2F2" w:themeFill="background1" w:themeFillShade="F2"/>
          </w:tcPr>
          <w:p w:rsidR="005C200B" w:rsidRDefault="00BD0FDB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2.16</w:t>
            </w:r>
          </w:p>
        </w:tc>
        <w:tc>
          <w:tcPr>
            <w:tcW w:w="2296" w:type="dxa"/>
            <w:shd w:val="clear" w:color="auto" w:fill="F2F2F2" w:themeFill="background1" w:themeFillShade="F2"/>
          </w:tcPr>
          <w:p w:rsidR="005C200B" w:rsidRDefault="00BD0FD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900.45</w:t>
            </w:r>
          </w:p>
        </w:tc>
      </w:tr>
      <w:tr w:rsidR="005C200B">
        <w:trPr>
          <w:trHeight w:val="271"/>
        </w:trPr>
        <w:tc>
          <w:tcPr>
            <w:tcW w:w="229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C200B" w:rsidRDefault="00BD0FDB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CA012</w:t>
            </w:r>
          </w:p>
        </w:tc>
        <w:tc>
          <w:tcPr>
            <w:tcW w:w="2330" w:type="dxa"/>
            <w:shd w:val="clear" w:color="auto" w:fill="FFFFFF" w:themeFill="background1"/>
          </w:tcPr>
          <w:p w:rsidR="005C200B" w:rsidRDefault="00BD0FDB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1038.55</w:t>
            </w:r>
          </w:p>
        </w:tc>
        <w:tc>
          <w:tcPr>
            <w:tcW w:w="2296" w:type="dxa"/>
            <w:shd w:val="clear" w:color="auto" w:fill="FFFFFF" w:themeFill="background1"/>
          </w:tcPr>
          <w:p w:rsidR="005C200B" w:rsidRDefault="00BD0FDB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2.40</w:t>
            </w:r>
          </w:p>
        </w:tc>
        <w:tc>
          <w:tcPr>
            <w:tcW w:w="2296" w:type="dxa"/>
            <w:shd w:val="clear" w:color="auto" w:fill="FFFFFF" w:themeFill="background1"/>
          </w:tcPr>
          <w:p w:rsidR="005C200B" w:rsidRDefault="00BD0FD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1039.55</w:t>
            </w:r>
          </w:p>
        </w:tc>
      </w:tr>
    </w:tbl>
    <w:p w:rsidR="005C200B" w:rsidRDefault="00BD0FDB">
      <w:pPr>
        <w:pStyle w:val="Listenabsatz"/>
        <w:pBdr>
          <w:bottom w:val="single" w:sz="4" w:space="1" w:color="auto"/>
        </w:pBdr>
        <w:ind w:left="0"/>
        <w:rPr>
          <w:rFonts w:ascii="Arial" w:hAnsi="Arial" w:cs="Arial"/>
          <w:sz w:val="18"/>
          <w:szCs w:val="18"/>
          <w:vertAlign w:val="superscript"/>
          <w:lang w:val="en-US"/>
        </w:rPr>
      </w:pPr>
      <w:r>
        <w:rPr>
          <w:rFonts w:ascii="Arial" w:hAnsi="Arial" w:cs="Arial"/>
          <w:sz w:val="18"/>
          <w:szCs w:val="18"/>
          <w:vertAlign w:val="superscript"/>
          <w:lang w:val="en-US"/>
        </w:rPr>
        <w:t xml:space="preserve"> </w:t>
      </w:r>
      <w:r>
        <w:rPr>
          <w:rFonts w:ascii="Arial" w:hAnsi="Arial" w:cs="Arial"/>
          <w:sz w:val="18"/>
          <w:szCs w:val="18"/>
          <w:lang w:val="en-US"/>
        </w:rPr>
        <w:t xml:space="preserve">*HPLC column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Chromolith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Performance RP-18e 100 x 3 mm, 0-100% acetonitrile in water + 0.1%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trifluoroacetic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acid;  **Mass spectrometry of non-labeled ligands detected as [M+H]</w:t>
      </w:r>
      <w:r>
        <w:rPr>
          <w:rFonts w:ascii="Arial" w:hAnsi="Arial" w:cs="Arial"/>
          <w:sz w:val="18"/>
          <w:szCs w:val="18"/>
          <w:vertAlign w:val="superscript"/>
          <w:lang w:val="en-US"/>
        </w:rPr>
        <w:t>+</w:t>
      </w:r>
    </w:p>
    <w:p w:rsidR="005C200B" w:rsidRPr="00EF593B" w:rsidRDefault="005C200B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</w:p>
    <w:p w:rsidR="005C200B" w:rsidRDefault="00BD0FDB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 xml:space="preserve">Supplemental Table 2 </w:t>
      </w:r>
    </w:p>
    <w:p w:rsidR="005C200B" w:rsidRDefault="00BD0FDB">
      <w:pPr>
        <w:pBdr>
          <w:bottom w:val="single" w:sz="4" w:space="1" w:color="auto"/>
        </w:pBd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Organ distribution of 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203</w:t>
      </w:r>
      <w:r>
        <w:rPr>
          <w:rFonts w:ascii="Arial" w:hAnsi="Arial" w:cs="Arial"/>
          <w:sz w:val="20"/>
          <w:szCs w:val="20"/>
          <w:lang w:val="en-US"/>
        </w:rPr>
        <w:t>Pb-PSMA-CA012 in tumor bearing mice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3"/>
        <w:gridCol w:w="1789"/>
        <w:gridCol w:w="2045"/>
        <w:gridCol w:w="1513"/>
        <w:gridCol w:w="81"/>
        <w:gridCol w:w="1517"/>
      </w:tblGrid>
      <w:tr w:rsidR="005C200B">
        <w:trPr>
          <w:trHeight w:val="391"/>
          <w:jc w:val="center"/>
        </w:trPr>
        <w:tc>
          <w:tcPr>
            <w:tcW w:w="2043" w:type="dxa"/>
            <w:tcBorders>
              <w:bottom w:val="single" w:sz="18" w:space="0" w:color="auto"/>
            </w:tcBorders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Tissue</w:t>
            </w:r>
          </w:p>
        </w:tc>
        <w:tc>
          <w:tcPr>
            <w:tcW w:w="178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 min</w:t>
            </w:r>
          </w:p>
        </w:tc>
        <w:tc>
          <w:tcPr>
            <w:tcW w:w="204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 h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 h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24 h</w:t>
            </w:r>
          </w:p>
        </w:tc>
      </w:tr>
      <w:tr w:rsidR="005C200B">
        <w:trPr>
          <w:trHeight w:val="322"/>
          <w:jc w:val="center"/>
        </w:trPr>
        <w:tc>
          <w:tcPr>
            <w:tcW w:w="2043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Blood</w:t>
            </w:r>
          </w:p>
        </w:tc>
        <w:tc>
          <w:tcPr>
            <w:tcW w:w="1789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5.37 ± 1.95</w:t>
            </w:r>
          </w:p>
        </w:tc>
        <w:tc>
          <w:tcPr>
            <w:tcW w:w="2045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0.26 ± 0.10</w:t>
            </w:r>
          </w:p>
        </w:tc>
        <w:tc>
          <w:tcPr>
            <w:tcW w:w="1594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0.05 ± 0.01</w:t>
            </w:r>
          </w:p>
        </w:tc>
        <w:tc>
          <w:tcPr>
            <w:tcW w:w="1517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0.03 ± 0.00</w:t>
            </w:r>
          </w:p>
        </w:tc>
      </w:tr>
      <w:tr w:rsidR="005C200B">
        <w:trPr>
          <w:trHeight w:val="322"/>
          <w:jc w:val="center"/>
        </w:trPr>
        <w:tc>
          <w:tcPr>
            <w:tcW w:w="2043" w:type="dxa"/>
            <w:shd w:val="clear" w:color="auto" w:fill="FFFFFF" w:themeFill="background1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Heart</w:t>
            </w:r>
          </w:p>
        </w:tc>
        <w:tc>
          <w:tcPr>
            <w:tcW w:w="1789" w:type="dxa"/>
            <w:shd w:val="clear" w:color="auto" w:fill="FFFFFF" w:themeFill="background1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1.78 ± 0.66</w:t>
            </w:r>
          </w:p>
        </w:tc>
        <w:tc>
          <w:tcPr>
            <w:tcW w:w="2045" w:type="dxa"/>
            <w:shd w:val="clear" w:color="auto" w:fill="FFFFFF" w:themeFill="background1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0.10 ± 0.03</w:t>
            </w:r>
          </w:p>
        </w:tc>
        <w:tc>
          <w:tcPr>
            <w:tcW w:w="1594" w:type="dxa"/>
            <w:gridSpan w:val="2"/>
            <w:shd w:val="clear" w:color="auto" w:fill="FFFFFF" w:themeFill="background1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0.04 ± 0.02</w:t>
            </w: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0.02 ± 0.00</w:t>
            </w:r>
          </w:p>
        </w:tc>
      </w:tr>
      <w:tr w:rsidR="005C200B">
        <w:trPr>
          <w:trHeight w:val="322"/>
          <w:jc w:val="center"/>
        </w:trPr>
        <w:tc>
          <w:tcPr>
            <w:tcW w:w="2043" w:type="dxa"/>
            <w:shd w:val="clear" w:color="auto" w:fill="F2F2F2" w:themeFill="background1" w:themeFillShade="F2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Lung</w:t>
            </w:r>
          </w:p>
        </w:tc>
        <w:tc>
          <w:tcPr>
            <w:tcW w:w="1789" w:type="dxa"/>
            <w:shd w:val="clear" w:color="auto" w:fill="F2F2F2" w:themeFill="background1" w:themeFillShade="F2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4.31 ± 1.19</w:t>
            </w:r>
          </w:p>
        </w:tc>
        <w:tc>
          <w:tcPr>
            <w:tcW w:w="2045" w:type="dxa"/>
            <w:shd w:val="clear" w:color="auto" w:fill="F2F2F2" w:themeFill="background1" w:themeFillShade="F2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0.33 ± 0.13</w:t>
            </w:r>
          </w:p>
        </w:tc>
        <w:tc>
          <w:tcPr>
            <w:tcW w:w="1594" w:type="dxa"/>
            <w:gridSpan w:val="2"/>
            <w:shd w:val="clear" w:color="auto" w:fill="F2F2F2" w:themeFill="background1" w:themeFillShade="F2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0.10 ±0.03</w:t>
            </w:r>
          </w:p>
        </w:tc>
        <w:tc>
          <w:tcPr>
            <w:tcW w:w="1517" w:type="dxa"/>
            <w:shd w:val="clear" w:color="auto" w:fill="F2F2F2" w:themeFill="background1" w:themeFillShade="F2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0.05 ± 0.01</w:t>
            </w:r>
          </w:p>
        </w:tc>
      </w:tr>
      <w:tr w:rsidR="005C200B">
        <w:trPr>
          <w:trHeight w:val="322"/>
          <w:jc w:val="center"/>
        </w:trPr>
        <w:tc>
          <w:tcPr>
            <w:tcW w:w="2043" w:type="dxa"/>
            <w:shd w:val="clear" w:color="auto" w:fill="FFFFFF" w:themeFill="background1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Spleen</w:t>
            </w:r>
          </w:p>
        </w:tc>
        <w:tc>
          <w:tcPr>
            <w:tcW w:w="1789" w:type="dxa"/>
            <w:shd w:val="clear" w:color="auto" w:fill="FFFFFF" w:themeFill="background1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1.97 ± 1.07</w:t>
            </w:r>
          </w:p>
        </w:tc>
        <w:tc>
          <w:tcPr>
            <w:tcW w:w="2045" w:type="dxa"/>
            <w:shd w:val="clear" w:color="auto" w:fill="FFFFFF" w:themeFill="background1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0.16 ± 0.08</w:t>
            </w:r>
          </w:p>
        </w:tc>
        <w:tc>
          <w:tcPr>
            <w:tcW w:w="1594" w:type="dxa"/>
            <w:gridSpan w:val="2"/>
            <w:shd w:val="clear" w:color="auto" w:fill="FFFFFF" w:themeFill="background1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0.07 ± 0.01</w:t>
            </w: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0.07 ± 0.02</w:t>
            </w:r>
          </w:p>
        </w:tc>
      </w:tr>
      <w:tr w:rsidR="005C200B">
        <w:trPr>
          <w:trHeight w:val="322"/>
          <w:jc w:val="center"/>
        </w:trPr>
        <w:tc>
          <w:tcPr>
            <w:tcW w:w="2043" w:type="dxa"/>
            <w:shd w:val="clear" w:color="auto" w:fill="F2F2F2" w:themeFill="background1" w:themeFillShade="F2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Liver</w:t>
            </w:r>
          </w:p>
        </w:tc>
        <w:tc>
          <w:tcPr>
            <w:tcW w:w="1789" w:type="dxa"/>
            <w:shd w:val="clear" w:color="auto" w:fill="F2F2F2" w:themeFill="background1" w:themeFillShade="F2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1.25 ± 0.43</w:t>
            </w:r>
          </w:p>
        </w:tc>
        <w:tc>
          <w:tcPr>
            <w:tcW w:w="2045" w:type="dxa"/>
            <w:shd w:val="clear" w:color="auto" w:fill="F2F2F2" w:themeFill="background1" w:themeFillShade="F2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0.20 ± 0.10</w:t>
            </w:r>
          </w:p>
        </w:tc>
        <w:tc>
          <w:tcPr>
            <w:tcW w:w="1594" w:type="dxa"/>
            <w:gridSpan w:val="2"/>
            <w:shd w:val="clear" w:color="auto" w:fill="F2F2F2" w:themeFill="background1" w:themeFillShade="F2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0.09 ± 0.01</w:t>
            </w:r>
          </w:p>
        </w:tc>
        <w:tc>
          <w:tcPr>
            <w:tcW w:w="1517" w:type="dxa"/>
            <w:shd w:val="clear" w:color="auto" w:fill="F2F2F2" w:themeFill="background1" w:themeFillShade="F2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0.10 ± 0.02</w:t>
            </w:r>
          </w:p>
        </w:tc>
      </w:tr>
      <w:tr w:rsidR="005C200B">
        <w:trPr>
          <w:trHeight w:val="322"/>
          <w:jc w:val="center"/>
        </w:trPr>
        <w:tc>
          <w:tcPr>
            <w:tcW w:w="2043" w:type="dxa"/>
            <w:shd w:val="clear" w:color="auto" w:fill="FFFFFF" w:themeFill="background1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Kidneys</w:t>
            </w:r>
          </w:p>
        </w:tc>
        <w:tc>
          <w:tcPr>
            <w:tcW w:w="1789" w:type="dxa"/>
            <w:shd w:val="clear" w:color="auto" w:fill="FFFFFF" w:themeFill="background1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26.97 ± 8.74</w:t>
            </w:r>
          </w:p>
        </w:tc>
        <w:tc>
          <w:tcPr>
            <w:tcW w:w="2045" w:type="dxa"/>
            <w:shd w:val="clear" w:color="auto" w:fill="FFFFFF" w:themeFill="background1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5.08 ± 2.45</w:t>
            </w:r>
          </w:p>
        </w:tc>
        <w:tc>
          <w:tcPr>
            <w:tcW w:w="1594" w:type="dxa"/>
            <w:gridSpan w:val="2"/>
            <w:shd w:val="clear" w:color="auto" w:fill="FFFFFF" w:themeFill="background1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1.61 ± 0.28</w:t>
            </w: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0.89 ± 0.14</w:t>
            </w:r>
          </w:p>
        </w:tc>
      </w:tr>
      <w:tr w:rsidR="005C200B">
        <w:trPr>
          <w:trHeight w:val="322"/>
          <w:jc w:val="center"/>
        </w:trPr>
        <w:tc>
          <w:tcPr>
            <w:tcW w:w="2043" w:type="dxa"/>
            <w:shd w:val="clear" w:color="auto" w:fill="F2F2F2" w:themeFill="background1" w:themeFillShade="F2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Muscle</w:t>
            </w:r>
          </w:p>
        </w:tc>
        <w:tc>
          <w:tcPr>
            <w:tcW w:w="1789" w:type="dxa"/>
            <w:shd w:val="clear" w:color="auto" w:fill="F2F2F2" w:themeFill="background1" w:themeFillShade="F2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1.20 ± 0.43</w:t>
            </w:r>
          </w:p>
        </w:tc>
        <w:tc>
          <w:tcPr>
            <w:tcW w:w="2045" w:type="dxa"/>
            <w:shd w:val="clear" w:color="auto" w:fill="F2F2F2" w:themeFill="background1" w:themeFillShade="F2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0.05 ± 0.03</w:t>
            </w:r>
          </w:p>
        </w:tc>
        <w:tc>
          <w:tcPr>
            <w:tcW w:w="1594" w:type="dxa"/>
            <w:gridSpan w:val="2"/>
            <w:shd w:val="clear" w:color="auto" w:fill="F2F2F2" w:themeFill="background1" w:themeFillShade="F2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0.06 ± 0.03</w:t>
            </w:r>
          </w:p>
        </w:tc>
        <w:tc>
          <w:tcPr>
            <w:tcW w:w="1517" w:type="dxa"/>
            <w:shd w:val="clear" w:color="auto" w:fill="F2F2F2" w:themeFill="background1" w:themeFillShade="F2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0.02 ± 0.00</w:t>
            </w:r>
          </w:p>
        </w:tc>
      </w:tr>
      <w:tr w:rsidR="005C200B">
        <w:trPr>
          <w:trHeight w:val="322"/>
          <w:jc w:val="center"/>
        </w:trPr>
        <w:tc>
          <w:tcPr>
            <w:tcW w:w="2043" w:type="dxa"/>
            <w:shd w:val="clear" w:color="auto" w:fill="FFFFFF" w:themeFill="background1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Small intestine</w:t>
            </w:r>
          </w:p>
        </w:tc>
        <w:tc>
          <w:tcPr>
            <w:tcW w:w="1789" w:type="dxa"/>
            <w:shd w:val="clear" w:color="auto" w:fill="FFFFFF" w:themeFill="background1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1.75 ± 0.48</w:t>
            </w:r>
          </w:p>
        </w:tc>
        <w:tc>
          <w:tcPr>
            <w:tcW w:w="2045" w:type="dxa"/>
            <w:shd w:val="clear" w:color="auto" w:fill="FFFFFF" w:themeFill="background1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0.10 ± 0.04</w:t>
            </w:r>
          </w:p>
        </w:tc>
        <w:tc>
          <w:tcPr>
            <w:tcW w:w="1594" w:type="dxa"/>
            <w:gridSpan w:val="2"/>
            <w:shd w:val="clear" w:color="auto" w:fill="FFFFFF" w:themeFill="background1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0.07 ± 0.05</w:t>
            </w: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0.02 ± 0.00</w:t>
            </w:r>
          </w:p>
        </w:tc>
      </w:tr>
      <w:tr w:rsidR="005C200B">
        <w:trPr>
          <w:trHeight w:val="322"/>
          <w:jc w:val="center"/>
        </w:trPr>
        <w:tc>
          <w:tcPr>
            <w:tcW w:w="2043" w:type="dxa"/>
            <w:shd w:val="clear" w:color="auto" w:fill="F2F2F2" w:themeFill="background1" w:themeFillShade="F2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Brain</w:t>
            </w:r>
          </w:p>
        </w:tc>
        <w:tc>
          <w:tcPr>
            <w:tcW w:w="1789" w:type="dxa"/>
            <w:shd w:val="clear" w:color="auto" w:fill="F2F2F2" w:themeFill="background1" w:themeFillShade="F2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0.14 ± 0.04</w:t>
            </w:r>
          </w:p>
        </w:tc>
        <w:tc>
          <w:tcPr>
            <w:tcW w:w="2045" w:type="dxa"/>
            <w:shd w:val="clear" w:color="auto" w:fill="F2F2F2" w:themeFill="background1" w:themeFillShade="F2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0.02 ± 0.00</w:t>
            </w:r>
          </w:p>
        </w:tc>
        <w:tc>
          <w:tcPr>
            <w:tcW w:w="1594" w:type="dxa"/>
            <w:gridSpan w:val="2"/>
            <w:shd w:val="clear" w:color="auto" w:fill="F2F2F2" w:themeFill="background1" w:themeFillShade="F2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0.02 ± 0.01</w:t>
            </w:r>
          </w:p>
        </w:tc>
        <w:tc>
          <w:tcPr>
            <w:tcW w:w="1517" w:type="dxa"/>
            <w:shd w:val="clear" w:color="auto" w:fill="F2F2F2" w:themeFill="background1" w:themeFillShade="F2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0.01 ± 0.00</w:t>
            </w:r>
          </w:p>
        </w:tc>
      </w:tr>
      <w:tr w:rsidR="005C200B">
        <w:trPr>
          <w:trHeight w:val="322"/>
          <w:jc w:val="center"/>
        </w:trPr>
        <w:tc>
          <w:tcPr>
            <w:tcW w:w="20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Tumor</w:t>
            </w:r>
          </w:p>
        </w:tc>
        <w:tc>
          <w:tcPr>
            <w:tcW w:w="1789" w:type="dxa"/>
            <w:shd w:val="clear" w:color="auto" w:fill="FFFFFF" w:themeFill="background1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12.33 ± 1.92</w:t>
            </w:r>
          </w:p>
        </w:tc>
        <w:tc>
          <w:tcPr>
            <w:tcW w:w="2045" w:type="dxa"/>
            <w:shd w:val="clear" w:color="auto" w:fill="FFFFFF" w:themeFill="background1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8.37 ± 3.67</w:t>
            </w:r>
          </w:p>
        </w:tc>
        <w:tc>
          <w:tcPr>
            <w:tcW w:w="1594" w:type="dxa"/>
            <w:gridSpan w:val="2"/>
            <w:shd w:val="clear" w:color="auto" w:fill="FFFFFF" w:themeFill="background1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7.81 ±0.86</w:t>
            </w: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:rsidR="005C200B" w:rsidRDefault="00BD0FDB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3.30 ± 1.60</w:t>
            </w:r>
          </w:p>
        </w:tc>
      </w:tr>
    </w:tbl>
    <w:p w:rsidR="005C200B" w:rsidRDefault="005C200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5C200B" w:rsidRDefault="00BD0FD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proofErr w:type="gramStart"/>
      <w:r>
        <w:rPr>
          <w:rFonts w:ascii="Arial" w:hAnsi="Arial" w:cs="Arial"/>
          <w:sz w:val="18"/>
          <w:szCs w:val="18"/>
          <w:lang w:val="en-US"/>
        </w:rPr>
        <w:t xml:space="preserve">Organ distribution of 0.025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nmol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of </w:t>
      </w:r>
      <w:r>
        <w:rPr>
          <w:rFonts w:ascii="Arial" w:hAnsi="Arial" w:cs="Arial"/>
          <w:sz w:val="18"/>
          <w:szCs w:val="18"/>
          <w:vertAlign w:val="superscript"/>
          <w:lang w:val="en-US"/>
        </w:rPr>
        <w:t>203</w:t>
      </w:r>
      <w:r>
        <w:rPr>
          <w:rFonts w:ascii="Arial" w:hAnsi="Arial" w:cs="Arial"/>
          <w:sz w:val="18"/>
          <w:szCs w:val="18"/>
          <w:lang w:val="en-US"/>
        </w:rPr>
        <w:t>Pb –PSMA CA012.</w:t>
      </w:r>
      <w:proofErr w:type="gramEnd"/>
      <w:r>
        <w:rPr>
          <w:rFonts w:ascii="Arial" w:hAnsi="Arial" w:cs="Arial"/>
          <w:sz w:val="18"/>
          <w:szCs w:val="18"/>
          <w:lang w:val="en-US"/>
        </w:rPr>
        <w:t xml:space="preserve"> Values are expressed in % ID/g of tissue ± standard deviation; n = 3 for all tissues.</w:t>
      </w:r>
    </w:p>
    <w:p w:rsidR="005C200B" w:rsidRDefault="005C200B">
      <w:pPr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</w:p>
    <w:sectPr w:rsidR="005C20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0B"/>
    <w:rsid w:val="005C200B"/>
    <w:rsid w:val="00BD0FDB"/>
    <w:rsid w:val="00EF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table" w:styleId="Tabellenraster">
    <w:name w:val="Table Grid"/>
    <w:basedOn w:val="NormaleTabelle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table" w:styleId="Tabellenraster">
    <w:name w:val="Table Grid"/>
    <w:basedOn w:val="NormaleTabelle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Heidelberg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Kratochwil, Clemens</dc:creator>
  <cp:lastModifiedBy>Clemens</cp:lastModifiedBy>
  <cp:revision>5</cp:revision>
  <dcterms:created xsi:type="dcterms:W3CDTF">2018-07-31T10:17:00Z</dcterms:created>
  <dcterms:modified xsi:type="dcterms:W3CDTF">2018-08-08T18:51:00Z</dcterms:modified>
</cp:coreProperties>
</file>