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3A0" w:rsidRDefault="008473A0" w:rsidP="008473A0">
      <w:r>
        <w:t xml:space="preserve">Supplementary Material </w:t>
      </w:r>
    </w:p>
    <w:p w:rsidR="008473A0" w:rsidRDefault="008473A0" w:rsidP="008473A0">
      <w:pPr>
        <w:rPr>
          <w:i/>
          <w:sz w:val="20"/>
          <w:szCs w:val="20"/>
        </w:rPr>
      </w:pPr>
    </w:p>
    <w:p w:rsidR="008473A0" w:rsidRPr="008473A0" w:rsidRDefault="008473A0" w:rsidP="008473A0">
      <w:pPr>
        <w:rPr>
          <w:i/>
          <w:sz w:val="20"/>
          <w:szCs w:val="20"/>
        </w:rPr>
      </w:pPr>
      <w:r w:rsidRPr="008473A0">
        <w:rPr>
          <w:i/>
          <w:sz w:val="20"/>
          <w:szCs w:val="20"/>
        </w:rPr>
        <w:t>The Impact of Revascularization on Myocardial Blood Flow as Assessed by Positron Emission Tomography</w:t>
      </w:r>
    </w:p>
    <w:p w:rsidR="008473A0" w:rsidRPr="008473A0" w:rsidRDefault="008473A0" w:rsidP="008473A0">
      <w:pPr>
        <w:rPr>
          <w:sz w:val="20"/>
          <w:szCs w:val="20"/>
        </w:rPr>
      </w:pPr>
    </w:p>
    <w:p w:rsidR="008473A0" w:rsidRPr="008473A0" w:rsidRDefault="008473A0" w:rsidP="008473A0">
      <w:pPr>
        <w:rPr>
          <w:sz w:val="20"/>
          <w:szCs w:val="20"/>
        </w:rPr>
      </w:pPr>
      <w:r w:rsidRPr="008473A0">
        <w:rPr>
          <w:sz w:val="20"/>
          <w:szCs w:val="20"/>
        </w:rPr>
        <w:t>European Journal of Nuclear Medicine and Molecular Imaging</w:t>
      </w:r>
    </w:p>
    <w:p w:rsidR="008473A0" w:rsidRPr="008473A0" w:rsidRDefault="008473A0" w:rsidP="008473A0">
      <w:pPr>
        <w:rPr>
          <w:rFonts w:ascii="Times New Roman" w:hAnsi="Times New Roman" w:cs="Times New Roman"/>
          <w:b/>
          <w:sz w:val="20"/>
          <w:szCs w:val="20"/>
        </w:rPr>
      </w:pPr>
    </w:p>
    <w:p w:rsidR="008473A0" w:rsidRPr="008473A0" w:rsidRDefault="008473A0" w:rsidP="008473A0">
      <w:pPr>
        <w:rPr>
          <w:rFonts w:ascii="Times New Roman" w:hAnsi="Times New Roman" w:cs="Times New Roman"/>
          <w:sz w:val="20"/>
          <w:szCs w:val="20"/>
          <w:vertAlign w:val="superscript"/>
        </w:rPr>
      </w:pPr>
      <w:r w:rsidRPr="008473A0">
        <w:rPr>
          <w:rFonts w:ascii="Times New Roman" w:hAnsi="Times New Roman" w:cs="Times New Roman"/>
          <w:sz w:val="20"/>
          <w:szCs w:val="20"/>
        </w:rPr>
        <w:t>Robert M. Bober, MD</w:t>
      </w:r>
      <w:r w:rsidRPr="008473A0">
        <w:rPr>
          <w:rFonts w:ascii="Times New Roman" w:hAnsi="Times New Roman" w:cs="Times New Roman"/>
          <w:sz w:val="20"/>
          <w:szCs w:val="20"/>
          <w:vertAlign w:val="superscript"/>
        </w:rPr>
        <w:t>1,2</w:t>
      </w:r>
      <w:r w:rsidRPr="008473A0">
        <w:rPr>
          <w:rFonts w:ascii="Times New Roman" w:hAnsi="Times New Roman" w:cs="Times New Roman"/>
          <w:sz w:val="20"/>
          <w:szCs w:val="20"/>
        </w:rPr>
        <w:t>, Richard V. Milani, MD</w:t>
      </w:r>
      <w:r w:rsidRPr="008473A0">
        <w:rPr>
          <w:rFonts w:ascii="Times New Roman" w:hAnsi="Times New Roman" w:cs="Times New Roman"/>
          <w:sz w:val="20"/>
          <w:szCs w:val="20"/>
          <w:vertAlign w:val="superscript"/>
        </w:rPr>
        <w:t>1,2</w:t>
      </w:r>
      <w:r w:rsidRPr="008473A0">
        <w:rPr>
          <w:rFonts w:ascii="Times New Roman" w:hAnsi="Times New Roman" w:cs="Times New Roman"/>
          <w:sz w:val="20"/>
          <w:szCs w:val="20"/>
        </w:rPr>
        <w:t>, Ahmet A. Oktay, MD</w:t>
      </w:r>
      <w:r w:rsidRPr="008473A0">
        <w:rPr>
          <w:rFonts w:ascii="Times New Roman" w:hAnsi="Times New Roman" w:cs="Times New Roman"/>
          <w:sz w:val="20"/>
          <w:szCs w:val="20"/>
          <w:vertAlign w:val="superscript"/>
        </w:rPr>
        <w:t>1</w:t>
      </w:r>
      <w:r w:rsidRPr="008473A0">
        <w:rPr>
          <w:rFonts w:ascii="Times New Roman" w:hAnsi="Times New Roman" w:cs="Times New Roman"/>
          <w:sz w:val="20"/>
          <w:szCs w:val="20"/>
        </w:rPr>
        <w:t>, Fahad Javed, MD</w:t>
      </w:r>
      <w:r w:rsidRPr="008473A0">
        <w:rPr>
          <w:rFonts w:ascii="Times New Roman" w:hAnsi="Times New Roman" w:cs="Times New Roman"/>
          <w:sz w:val="20"/>
          <w:szCs w:val="20"/>
          <w:vertAlign w:val="superscript"/>
        </w:rPr>
        <w:t>1</w:t>
      </w:r>
      <w:r w:rsidRPr="008473A0">
        <w:rPr>
          <w:rFonts w:ascii="Times New Roman" w:hAnsi="Times New Roman" w:cs="Times New Roman"/>
          <w:sz w:val="20"/>
          <w:szCs w:val="20"/>
        </w:rPr>
        <w:t>, Nichole M. Polin, MD</w:t>
      </w:r>
      <w:r w:rsidRPr="008473A0">
        <w:rPr>
          <w:rFonts w:ascii="Times New Roman" w:hAnsi="Times New Roman" w:cs="Times New Roman"/>
          <w:sz w:val="20"/>
          <w:szCs w:val="20"/>
          <w:vertAlign w:val="superscript"/>
        </w:rPr>
        <w:t>1,2</w:t>
      </w:r>
      <w:r w:rsidRPr="008473A0">
        <w:rPr>
          <w:rFonts w:ascii="Times New Roman" w:hAnsi="Times New Roman" w:cs="Times New Roman"/>
          <w:sz w:val="20"/>
          <w:szCs w:val="20"/>
        </w:rPr>
        <w:t>, Daniel P. Morin, MD</w:t>
      </w:r>
      <w:r w:rsidRPr="008473A0">
        <w:rPr>
          <w:rFonts w:ascii="Times New Roman" w:hAnsi="Times New Roman" w:cs="Times New Roman"/>
          <w:sz w:val="20"/>
          <w:szCs w:val="20"/>
          <w:vertAlign w:val="superscript"/>
        </w:rPr>
        <w:t>1,2</w:t>
      </w:r>
    </w:p>
    <w:p w:rsidR="008473A0" w:rsidRPr="008473A0" w:rsidRDefault="008473A0" w:rsidP="008473A0">
      <w:pPr>
        <w:rPr>
          <w:rFonts w:ascii="Times New Roman" w:hAnsi="Times New Roman" w:cs="Times New Roman"/>
          <w:sz w:val="20"/>
          <w:szCs w:val="20"/>
        </w:rPr>
      </w:pPr>
    </w:p>
    <w:p w:rsidR="008473A0" w:rsidRPr="008473A0" w:rsidRDefault="008473A0" w:rsidP="008473A0">
      <w:pPr>
        <w:rPr>
          <w:rFonts w:ascii="Times New Roman" w:hAnsi="Times New Roman" w:cs="Times New Roman"/>
          <w:sz w:val="20"/>
          <w:szCs w:val="20"/>
        </w:rPr>
      </w:pPr>
      <w:r w:rsidRPr="008473A0">
        <w:rPr>
          <w:rFonts w:ascii="Times New Roman" w:hAnsi="Times New Roman" w:cs="Times New Roman"/>
          <w:sz w:val="20"/>
          <w:szCs w:val="20"/>
          <w:vertAlign w:val="superscript"/>
        </w:rPr>
        <w:t>1</w:t>
      </w:r>
      <w:r w:rsidRPr="008473A0">
        <w:rPr>
          <w:rFonts w:ascii="Times New Roman" w:hAnsi="Times New Roman" w:cs="Times New Roman"/>
          <w:sz w:val="20"/>
          <w:szCs w:val="20"/>
        </w:rPr>
        <w:t>John Ochsner Heart and Vascular Institute, Department of Cardiovascular Diseases, New Orleans, LA</w:t>
      </w:r>
    </w:p>
    <w:p w:rsidR="008473A0" w:rsidRPr="008473A0" w:rsidRDefault="008473A0" w:rsidP="008473A0">
      <w:pPr>
        <w:rPr>
          <w:rFonts w:ascii="Times New Roman" w:hAnsi="Times New Roman" w:cs="Times New Roman"/>
          <w:sz w:val="20"/>
          <w:szCs w:val="20"/>
        </w:rPr>
      </w:pPr>
      <w:r w:rsidRPr="008473A0">
        <w:rPr>
          <w:rFonts w:ascii="Times New Roman" w:hAnsi="Times New Roman" w:cs="Times New Roman"/>
          <w:sz w:val="20"/>
          <w:szCs w:val="20"/>
        </w:rPr>
        <w:t xml:space="preserve"> </w:t>
      </w:r>
    </w:p>
    <w:p w:rsidR="008473A0" w:rsidRPr="008473A0" w:rsidRDefault="008473A0" w:rsidP="008473A0">
      <w:pPr>
        <w:rPr>
          <w:rFonts w:ascii="Times New Roman" w:hAnsi="Times New Roman" w:cs="Times New Roman"/>
          <w:sz w:val="20"/>
          <w:szCs w:val="20"/>
        </w:rPr>
      </w:pPr>
      <w:proofErr w:type="gramStart"/>
      <w:r w:rsidRPr="008473A0">
        <w:rPr>
          <w:rFonts w:ascii="Times New Roman" w:hAnsi="Times New Roman" w:cs="Times New Roman"/>
          <w:sz w:val="20"/>
          <w:szCs w:val="20"/>
          <w:vertAlign w:val="superscript"/>
        </w:rPr>
        <w:t>2</w:t>
      </w:r>
      <w:proofErr w:type="gramEnd"/>
      <w:r w:rsidRPr="008473A0">
        <w:rPr>
          <w:rFonts w:ascii="Times New Roman" w:hAnsi="Times New Roman" w:cs="Times New Roman"/>
          <w:sz w:val="20"/>
          <w:szCs w:val="20"/>
          <w:vertAlign w:val="superscript"/>
        </w:rPr>
        <w:t xml:space="preserve"> </w:t>
      </w:r>
      <w:r w:rsidRPr="008473A0">
        <w:rPr>
          <w:rFonts w:ascii="Times New Roman" w:hAnsi="Times New Roman" w:cs="Times New Roman"/>
          <w:sz w:val="20"/>
          <w:szCs w:val="20"/>
        </w:rPr>
        <w:t>Ochsner Clinical School, Queensland University School of Medicine, New Orleans, LA</w:t>
      </w:r>
    </w:p>
    <w:p w:rsidR="008473A0" w:rsidRPr="007212CC" w:rsidRDefault="008473A0" w:rsidP="008473A0">
      <w:pPr>
        <w:rPr>
          <w:b/>
          <w:sz w:val="20"/>
          <w:szCs w:val="20"/>
        </w:rPr>
      </w:pPr>
    </w:p>
    <w:p w:rsidR="00DB5EB2" w:rsidRDefault="00DB5EB2"/>
    <w:p w:rsidR="008473A0" w:rsidRPr="007212CC" w:rsidRDefault="008473A0" w:rsidP="008473A0">
      <w:pPr>
        <w:rPr>
          <w:b/>
          <w:color w:val="000000" w:themeColor="text1"/>
          <w:sz w:val="20"/>
          <w:szCs w:val="20"/>
        </w:rPr>
      </w:pPr>
      <w:r w:rsidRPr="007212CC">
        <w:rPr>
          <w:b/>
          <w:color w:val="000000" w:themeColor="text1"/>
          <w:sz w:val="20"/>
          <w:szCs w:val="20"/>
          <w:shd w:val="clear" w:color="auto" w:fill="FFFFFF"/>
        </w:rPr>
        <w:t>Address for correspondence</w:t>
      </w:r>
      <w:r w:rsidRPr="007212CC">
        <w:rPr>
          <w:b/>
          <w:color w:val="000000" w:themeColor="text1"/>
          <w:sz w:val="20"/>
          <w:szCs w:val="20"/>
        </w:rPr>
        <w:t>:</w:t>
      </w:r>
    </w:p>
    <w:p w:rsidR="008473A0" w:rsidRPr="007212CC" w:rsidRDefault="008473A0" w:rsidP="008473A0">
      <w:pPr>
        <w:rPr>
          <w:sz w:val="20"/>
          <w:szCs w:val="20"/>
        </w:rPr>
      </w:pPr>
      <w:r w:rsidRPr="007212CC">
        <w:rPr>
          <w:sz w:val="20"/>
          <w:szCs w:val="20"/>
        </w:rPr>
        <w:t>Robert M. Bober, MD</w:t>
      </w:r>
    </w:p>
    <w:p w:rsidR="008473A0" w:rsidRPr="007212CC" w:rsidRDefault="003A5165" w:rsidP="008473A0">
      <w:pPr>
        <w:rPr>
          <w:rStyle w:val="Hyperlink"/>
          <w:sz w:val="20"/>
          <w:szCs w:val="20"/>
        </w:rPr>
      </w:pPr>
      <w:hyperlink r:id="rId4" w:history="1">
        <w:r w:rsidR="008473A0" w:rsidRPr="007212CC">
          <w:rPr>
            <w:rStyle w:val="Hyperlink"/>
            <w:sz w:val="20"/>
            <w:szCs w:val="20"/>
          </w:rPr>
          <w:t>rbober@ochsner.org</w:t>
        </w:r>
      </w:hyperlink>
    </w:p>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Default="008473A0"/>
    <w:p w:rsidR="008473A0" w:rsidRPr="00691E2E" w:rsidRDefault="00691E2E">
      <w:r w:rsidRPr="00691E2E">
        <w:lastRenderedPageBreak/>
        <w:t xml:space="preserve">Online Resource Figure </w:t>
      </w:r>
      <w:r w:rsidR="008473A0" w:rsidRPr="00691E2E">
        <w:t>1</w:t>
      </w:r>
    </w:p>
    <w:p w:rsidR="00DB5EB2" w:rsidRDefault="00DB5EB2" w:rsidP="00DB5EB2">
      <w:pPr>
        <w:ind w:left="-900"/>
      </w:pPr>
      <w:r>
        <w:rPr>
          <w:noProof/>
        </w:rPr>
        <w:drawing>
          <wp:inline distT="0" distB="0" distL="0" distR="0">
            <wp:extent cx="6907037" cy="5863444"/>
            <wp:effectExtent l="0" t="0" r="190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l case.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19594" cy="5874104"/>
                    </a:xfrm>
                    <a:prstGeom prst="rect">
                      <a:avLst/>
                    </a:prstGeom>
                  </pic:spPr>
                </pic:pic>
              </a:graphicData>
            </a:graphic>
          </wp:inline>
        </w:drawing>
      </w:r>
    </w:p>
    <w:p w:rsidR="00DB5EB2" w:rsidRPr="008473A0" w:rsidRDefault="00DB5EB2" w:rsidP="008473A0">
      <w:pPr>
        <w:spacing w:line="480" w:lineRule="auto"/>
        <w:ind w:left="-900"/>
        <w:rPr>
          <w:sz w:val="20"/>
          <w:szCs w:val="20"/>
        </w:rPr>
      </w:pPr>
      <w:r w:rsidRPr="008473A0">
        <w:rPr>
          <w:rFonts w:ascii="Times New Roman" w:hAnsi="Times New Roman" w:cs="Times New Roman"/>
          <w:sz w:val="20"/>
          <w:szCs w:val="20"/>
        </w:rPr>
        <w:t>This supplemental figure is a representative case from the study</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PET 1 was performed for symptoms of angina and PET 2 was performed 71 days after PCI of the LCX and RCA</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(A) Demonstrates a large, severe stress induced relative perfusion defect in the lateral and inferior quadrants comprising 34% of the myocardium</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These defects are significant as they represent &gt;10% of the myocardium</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There are no significant stress induced perfusion abnormalities in the septal or anterior quadrants. (B) Absolute flow and CFR before and after revascularization with quadrant averages, minimums and maximums. (C)  PET 1 coronary flow capacity maps demonstrate severe reduction in CFC in both the lateral and inferior quadrants comprising a total of 45% of the myocardium</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As the lateral and inferior walls had significant perf</w:t>
      </w:r>
      <w:r w:rsidR="00AD770B" w:rsidRPr="008473A0">
        <w:rPr>
          <w:rFonts w:ascii="Times New Roman" w:hAnsi="Times New Roman" w:cs="Times New Roman"/>
          <w:sz w:val="20"/>
          <w:szCs w:val="20"/>
        </w:rPr>
        <w:t>usion abnormalities and were revascularized</w:t>
      </w:r>
      <w:r w:rsidRPr="008473A0">
        <w:rPr>
          <w:rFonts w:ascii="Times New Roman" w:hAnsi="Times New Roman" w:cs="Times New Roman"/>
          <w:sz w:val="20"/>
          <w:szCs w:val="20"/>
        </w:rPr>
        <w:t xml:space="preserve">, </w:t>
      </w:r>
      <w:r w:rsidRPr="008473A0">
        <w:rPr>
          <w:rFonts w:ascii="Times New Roman" w:hAnsi="Times New Roman" w:cs="Times New Roman"/>
          <w:sz w:val="20"/>
          <w:szCs w:val="20"/>
        </w:rPr>
        <w:lastRenderedPageBreak/>
        <w:t>they are considered “SevereAbn/+Revasc” whereas the septal and anterior walls are considered “Norm/-Revasc”</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 xml:space="preserve">After </w:t>
      </w:r>
      <w:r w:rsidR="00AD770B" w:rsidRPr="008473A0">
        <w:rPr>
          <w:rFonts w:ascii="Times New Roman" w:hAnsi="Times New Roman" w:cs="Times New Roman"/>
          <w:sz w:val="20"/>
          <w:szCs w:val="20"/>
        </w:rPr>
        <w:t>revascularization</w:t>
      </w:r>
      <w:r w:rsidRPr="008473A0">
        <w:rPr>
          <w:rFonts w:ascii="Times New Roman" w:hAnsi="Times New Roman" w:cs="Times New Roman"/>
          <w:sz w:val="20"/>
          <w:szCs w:val="20"/>
        </w:rPr>
        <w:t>, severe reduction in flow capacity significantly decreased from 45% to 3% of the myocardium</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 xml:space="preserve">(D) As a result of </w:t>
      </w:r>
      <w:r w:rsidR="00AD770B" w:rsidRPr="008473A0">
        <w:rPr>
          <w:rFonts w:ascii="Times New Roman" w:hAnsi="Times New Roman" w:cs="Times New Roman"/>
          <w:sz w:val="20"/>
          <w:szCs w:val="20"/>
        </w:rPr>
        <w:t>revascularization</w:t>
      </w:r>
      <w:r w:rsidRPr="008473A0">
        <w:rPr>
          <w:rFonts w:ascii="Times New Roman" w:hAnsi="Times New Roman" w:cs="Times New Roman"/>
          <w:sz w:val="20"/>
          <w:szCs w:val="20"/>
        </w:rPr>
        <w:t xml:space="preserve"> to the lateral and inferior quadrants, rMBF increased 43% and 18% respectively, sMBF increased 110% and 98% respectively and CFR increased 57% and 73% respectively. On a patient level analysis, this patient’s whole heart sMBF increased 46% and rMBF increased 6.8% resulting in an increase in CFR by 36%</w:t>
      </w:r>
      <w:proofErr w:type="gramStart"/>
      <w:r w:rsidRPr="008473A0">
        <w:rPr>
          <w:rFonts w:ascii="Times New Roman" w:hAnsi="Times New Roman" w:cs="Times New Roman"/>
          <w:sz w:val="20"/>
          <w:szCs w:val="20"/>
        </w:rPr>
        <w:t xml:space="preserve">.  </w:t>
      </w:r>
      <w:proofErr w:type="gramEnd"/>
      <w:r w:rsidRPr="008473A0">
        <w:rPr>
          <w:rFonts w:ascii="Times New Roman" w:hAnsi="Times New Roman" w:cs="Times New Roman"/>
          <w:sz w:val="20"/>
          <w:szCs w:val="20"/>
        </w:rPr>
        <w:t>On a regional level analysis, this patient contributed 2 “SevereAbn/+Revasc” quadrants and 2 “Norm/-Revasc” quadrants of the total 200 patient quadrants evaluated</w:t>
      </w:r>
      <w:proofErr w:type="gramStart"/>
      <w:r w:rsidRPr="008473A0">
        <w:rPr>
          <w:rFonts w:ascii="Times New Roman" w:hAnsi="Times New Roman" w:cs="Times New Roman"/>
          <w:sz w:val="20"/>
          <w:szCs w:val="20"/>
        </w:rPr>
        <w:t xml:space="preserve">.  </w:t>
      </w:r>
      <w:proofErr w:type="gramEnd"/>
      <w:r w:rsidR="00BF1A2B" w:rsidRPr="008473A0">
        <w:rPr>
          <w:rFonts w:ascii="Times New Roman" w:hAnsi="Times New Roman" w:cs="Times New Roman"/>
          <w:sz w:val="20"/>
          <w:szCs w:val="20"/>
        </w:rPr>
        <w:t>This case is an example of “completely concordant” as the patient had revascularization only to territories with perfusion abnormalities and/or reduced flow capacity.</w:t>
      </w:r>
    </w:p>
    <w:p w:rsidR="00DB5EB2" w:rsidRDefault="00DB5EB2" w:rsidP="00DB5EB2">
      <w:pPr>
        <w:ind w:left="-900"/>
      </w:pPr>
    </w:p>
    <w:p w:rsidR="001463BC" w:rsidRDefault="001463BC">
      <w:r>
        <w:br w:type="page"/>
      </w:r>
    </w:p>
    <w:p w:rsidR="00DB5EB2" w:rsidRDefault="00DB5EB2" w:rsidP="00DB5EB2">
      <w:pPr>
        <w:ind w:left="-900"/>
      </w:pPr>
    </w:p>
    <w:p w:rsidR="00DB5EB2" w:rsidRDefault="00DB5EB2" w:rsidP="00DB5EB2"/>
    <w:p w:rsidR="00DB5EB2" w:rsidRDefault="00DB5EB2" w:rsidP="00DB5EB2"/>
    <w:p w:rsidR="00DB5EB2" w:rsidRDefault="009B592C" w:rsidP="00DB5EB2">
      <w:r>
        <w:t>Online Figure 2</w:t>
      </w:r>
    </w:p>
    <w:p w:rsidR="00691E2E" w:rsidRDefault="00691E2E" w:rsidP="00DB5EB2"/>
    <w:p w:rsidR="00691E2E" w:rsidRDefault="00DB5EB2" w:rsidP="00691E2E">
      <w:pPr>
        <w:ind w:left="-900"/>
      </w:pPr>
      <w:r>
        <w:rPr>
          <w:noProof/>
        </w:rPr>
        <w:drawing>
          <wp:inline distT="0" distB="0" distL="0" distR="0">
            <wp:extent cx="2713485" cy="4159484"/>
            <wp:effectExtent l="0" t="0" r="444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ateint quadrant constiuents correct pt 33.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2129" cy="4172735"/>
                    </a:xfrm>
                    <a:prstGeom prst="rect">
                      <a:avLst/>
                    </a:prstGeom>
                  </pic:spPr>
                </pic:pic>
              </a:graphicData>
            </a:graphic>
          </wp:inline>
        </w:drawing>
      </w:r>
    </w:p>
    <w:p w:rsidR="00691E2E" w:rsidRDefault="00691E2E" w:rsidP="00691E2E">
      <w:pPr>
        <w:ind w:left="-900"/>
      </w:pPr>
    </w:p>
    <w:p w:rsidR="00DB5EB2" w:rsidRDefault="00DB5EB2" w:rsidP="00691E2E">
      <w:pPr>
        <w:ind w:left="-900"/>
      </w:pPr>
      <w:r>
        <w:t xml:space="preserve">Summary of the quadrant types and revascularization performed in each patient. </w:t>
      </w:r>
    </w:p>
    <w:p w:rsidR="00DB5EB2" w:rsidRPr="004F7D01" w:rsidRDefault="00DB5EB2" w:rsidP="00DB5EB2">
      <w:pPr>
        <w:ind w:left="-900"/>
      </w:pPr>
    </w:p>
    <w:p w:rsidR="00F77A7E" w:rsidRDefault="00F77A7E"/>
    <w:p w:rsidR="00F77A7E" w:rsidRDefault="00F77A7E">
      <w:r>
        <w:br w:type="page"/>
      </w:r>
    </w:p>
    <w:p w:rsidR="00F77A7E" w:rsidRPr="009557F7" w:rsidRDefault="00F77A7E" w:rsidP="00F77A7E">
      <w:pPr>
        <w:rPr>
          <w:rFonts w:ascii="Times New Roman" w:hAnsi="Times New Roman" w:cs="Times New Roman"/>
          <w:sz w:val="20"/>
          <w:szCs w:val="20"/>
        </w:rPr>
      </w:pPr>
      <w:r w:rsidRPr="009557F7">
        <w:rPr>
          <w:rFonts w:ascii="Times New Roman" w:hAnsi="Times New Roman" w:cs="Times New Roman"/>
          <w:sz w:val="20"/>
          <w:szCs w:val="20"/>
        </w:rPr>
        <w:lastRenderedPageBreak/>
        <w:t>Supplemental Table 1</w:t>
      </w:r>
    </w:p>
    <w:p w:rsidR="00F77A7E" w:rsidRPr="009557F7" w:rsidRDefault="00F77A7E" w:rsidP="00F77A7E">
      <w:pPr>
        <w:rPr>
          <w:rFonts w:ascii="Times New Roman" w:hAnsi="Times New Roman" w:cs="Times New Roman"/>
          <w:sz w:val="20"/>
          <w:szCs w:val="20"/>
        </w:rPr>
      </w:pPr>
      <w:r w:rsidRPr="009557F7">
        <w:rPr>
          <w:rFonts w:ascii="Times New Roman" w:hAnsi="Times New Roman" w:cs="Times New Roman"/>
          <w:sz w:val="20"/>
          <w:szCs w:val="20"/>
        </w:rPr>
        <w:t>Regional-level analysis comparing PCI vs. CABG</w:t>
      </w:r>
    </w:p>
    <w:p w:rsidR="00F77A7E" w:rsidRPr="009557F7" w:rsidRDefault="00F77A7E" w:rsidP="00F77A7E">
      <w:pPr>
        <w:rPr>
          <w:rFonts w:ascii="Times New Roman" w:hAnsi="Times New Roman" w:cs="Times New Roman"/>
          <w:sz w:val="20"/>
          <w:szCs w:val="20"/>
        </w:rPr>
      </w:pPr>
    </w:p>
    <w:tbl>
      <w:tblPr>
        <w:tblStyle w:val="TableGrid"/>
        <w:tblW w:w="0" w:type="auto"/>
        <w:tblLook w:val="04A0"/>
      </w:tblPr>
      <w:tblGrid>
        <w:gridCol w:w="1168"/>
        <w:gridCol w:w="1169"/>
        <w:gridCol w:w="2337"/>
        <w:gridCol w:w="2338"/>
        <w:gridCol w:w="2338"/>
      </w:tblGrid>
      <w:tr w:rsidR="00F77A7E" w:rsidRPr="009557F7" w:rsidTr="0045472B">
        <w:tc>
          <w:tcPr>
            <w:tcW w:w="2337" w:type="dxa"/>
            <w:gridSpan w:val="2"/>
          </w:tcPr>
          <w:p w:rsidR="00F77A7E" w:rsidRPr="009557F7" w:rsidRDefault="00F77A7E" w:rsidP="0045472B">
            <w:pPr>
              <w:rPr>
                <w:rFonts w:ascii="Times New Roman" w:hAnsi="Times New Roman" w:cs="Times New Roman"/>
                <w:sz w:val="20"/>
                <w:szCs w:val="20"/>
              </w:rPr>
            </w:pPr>
          </w:p>
        </w:tc>
        <w:tc>
          <w:tcPr>
            <w:tcW w:w="2337" w:type="dxa"/>
          </w:tcPr>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SevereAbn/+Revasc</w:t>
            </w:r>
          </w:p>
        </w:tc>
        <w:tc>
          <w:tcPr>
            <w:tcW w:w="2338" w:type="dxa"/>
          </w:tcPr>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CFCAbn/+Revasc</w:t>
            </w:r>
          </w:p>
        </w:tc>
        <w:tc>
          <w:tcPr>
            <w:tcW w:w="2338" w:type="dxa"/>
          </w:tcPr>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Norm/+Revasc</w:t>
            </w:r>
          </w:p>
        </w:tc>
      </w:tr>
      <w:tr w:rsidR="00F77A7E" w:rsidRPr="009557F7" w:rsidTr="0045472B">
        <w:trPr>
          <w:trHeight w:val="1223"/>
        </w:trPr>
        <w:tc>
          <w:tcPr>
            <w:tcW w:w="1168" w:type="dxa"/>
            <w:vMerge w:val="restart"/>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PCI</w:t>
            </w:r>
          </w:p>
        </w:tc>
        <w:tc>
          <w:tcPr>
            <w:tcW w:w="1169"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ΔrMBF</w:t>
            </w:r>
            <w:r w:rsidRPr="009557F7">
              <w:rPr>
                <w:rFonts w:ascii="Times New Roman" w:hAnsi="Times New Roman" w:cs="Times New Roman"/>
                <w:sz w:val="20"/>
                <w:szCs w:val="20"/>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[IQR]</w:t>
            </w:r>
          </w:p>
          <w:p w:rsidR="00F77A7E" w:rsidRPr="009557F7" w:rsidRDefault="00F77A7E" w:rsidP="0045472B">
            <w:pPr>
              <w:jc w:val="center"/>
              <w:rPr>
                <w:rFonts w:ascii="Times New Roman" w:hAnsi="Times New Roman" w:cs="Times New Roman"/>
                <w:sz w:val="20"/>
                <w:szCs w:val="20"/>
              </w:rPr>
            </w:pPr>
          </w:p>
        </w:tc>
        <w:tc>
          <w:tcPr>
            <w:tcW w:w="2337"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0.05</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[-0.01-0.14]</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p=0.256</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n=24</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0.10</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[-0.05-0.42]</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p=0.86</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n=22</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-0.07</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[-0.17-0.21]</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p=0.716</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n=34</w:t>
            </w:r>
          </w:p>
        </w:tc>
      </w:tr>
      <w:tr w:rsidR="00F77A7E" w:rsidRPr="009557F7" w:rsidTr="0045472B">
        <w:trPr>
          <w:trHeight w:val="935"/>
        </w:trPr>
        <w:tc>
          <w:tcPr>
            <w:tcW w:w="1168" w:type="dxa"/>
            <w:vMerge/>
          </w:tcPr>
          <w:p w:rsidR="00F77A7E" w:rsidRPr="009557F7" w:rsidRDefault="00F77A7E" w:rsidP="0045472B">
            <w:pPr>
              <w:rPr>
                <w:rFonts w:ascii="Times New Roman" w:hAnsi="Times New Roman" w:cs="Times New Roman"/>
                <w:sz w:val="20"/>
                <w:szCs w:val="20"/>
              </w:rPr>
            </w:pPr>
          </w:p>
        </w:tc>
        <w:tc>
          <w:tcPr>
            <w:tcW w:w="1169"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ΔsMBF</w:t>
            </w:r>
            <w:r w:rsidRPr="009557F7">
              <w:rPr>
                <w:rFonts w:ascii="Times New Roman" w:hAnsi="Times New Roman" w:cs="Times New Roman"/>
                <w:sz w:val="20"/>
                <w:szCs w:val="20"/>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 xml:space="preserve">[IQR] </w:t>
            </w:r>
          </w:p>
        </w:tc>
        <w:tc>
          <w:tcPr>
            <w:tcW w:w="2337" w:type="dxa"/>
          </w:tcPr>
          <w:p w:rsidR="00F77A7E" w:rsidRPr="009557F7" w:rsidRDefault="00F77A7E" w:rsidP="0045472B">
            <w:pPr>
              <w:jc w:val="center"/>
              <w:rPr>
                <w:rFonts w:ascii="Times New Roman" w:hAnsi="Times New Roman" w:cs="Times New Roman"/>
                <w:sz w:val="20"/>
                <w:szCs w:val="20"/>
              </w:rPr>
            </w:pPr>
          </w:p>
          <w:p w:rsidR="00F77A7E" w:rsidRPr="004315C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0.52</w:t>
            </w:r>
            <w:r w:rsidRPr="009557F7">
              <w:rPr>
                <w:rFonts w:ascii="Times New Roman" w:hAnsi="Times New Roman" w:cs="Times New Roman"/>
                <w:color w:val="000000" w:themeColor="text1"/>
                <w:sz w:val="20"/>
                <w:szCs w:val="20"/>
                <w:shd w:val="clear" w:color="auto" w:fill="FFFFFF"/>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[0.32-0.78]</w:t>
            </w:r>
          </w:p>
          <w:p w:rsidR="00F77A7E" w:rsidRPr="009557F7" w:rsidRDefault="00F77A7E" w:rsidP="0045472B">
            <w:pPr>
              <w:jc w:val="center"/>
              <w:rPr>
                <w:rFonts w:ascii="Times New Roman" w:hAnsi="Times New Roman" w:cs="Times New Roman"/>
                <w:b/>
                <w:sz w:val="20"/>
                <w:szCs w:val="20"/>
              </w:rPr>
            </w:pPr>
            <w:r w:rsidRPr="009557F7">
              <w:rPr>
                <w:rFonts w:ascii="Times New Roman" w:hAnsi="Times New Roman" w:cs="Times New Roman"/>
                <w:b/>
                <w:sz w:val="20"/>
                <w:szCs w:val="20"/>
              </w:rPr>
              <w:t>p&lt;0.001</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n=24</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0.35</w:t>
            </w:r>
            <w:r w:rsidRPr="009557F7">
              <w:rPr>
                <w:rFonts w:ascii="Times New Roman" w:hAnsi="Times New Roman" w:cs="Times New Roman"/>
                <w:color w:val="000000" w:themeColor="text1"/>
                <w:sz w:val="20"/>
                <w:szCs w:val="20"/>
                <w:shd w:val="clear" w:color="auto" w:fill="FFFFFF"/>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[0.14-0.52]</w:t>
            </w:r>
          </w:p>
          <w:p w:rsidR="00F77A7E" w:rsidRPr="009557F7" w:rsidRDefault="00F77A7E" w:rsidP="0045472B">
            <w:pPr>
              <w:jc w:val="center"/>
              <w:rPr>
                <w:rFonts w:ascii="Times New Roman" w:hAnsi="Times New Roman" w:cs="Times New Roman"/>
                <w:b/>
                <w:sz w:val="20"/>
                <w:szCs w:val="20"/>
              </w:rPr>
            </w:pPr>
            <w:r w:rsidRPr="009557F7">
              <w:rPr>
                <w:rFonts w:ascii="Times New Roman" w:hAnsi="Times New Roman" w:cs="Times New Roman"/>
                <w:b/>
                <w:sz w:val="20"/>
                <w:szCs w:val="20"/>
              </w:rPr>
              <w:t>P&lt;0.001</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n=22</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0.05</w:t>
            </w:r>
            <w:r w:rsidRPr="009557F7">
              <w:rPr>
                <w:rFonts w:ascii="Times New Roman" w:hAnsi="Times New Roman" w:cs="Times New Roman"/>
                <w:color w:val="505050"/>
                <w:sz w:val="20"/>
                <w:szCs w:val="20"/>
                <w:shd w:val="clear" w:color="auto" w:fill="FFFFFF"/>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[-0.31-0.29]</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p=0.889</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n=34</w:t>
            </w:r>
          </w:p>
        </w:tc>
      </w:tr>
      <w:tr w:rsidR="00F77A7E" w:rsidRPr="009557F7" w:rsidTr="0045472B">
        <w:trPr>
          <w:trHeight w:val="1142"/>
        </w:trPr>
        <w:tc>
          <w:tcPr>
            <w:tcW w:w="1168" w:type="dxa"/>
            <w:vMerge w:val="restart"/>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CABG</w:t>
            </w:r>
          </w:p>
        </w:tc>
        <w:tc>
          <w:tcPr>
            <w:tcW w:w="1169"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ΔrMBF</w:t>
            </w:r>
            <w:r w:rsidRPr="009557F7">
              <w:rPr>
                <w:rFonts w:ascii="Times New Roman" w:hAnsi="Times New Roman" w:cs="Times New Roman"/>
                <w:sz w:val="20"/>
                <w:szCs w:val="20"/>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 xml:space="preserve">[IQR] </w:t>
            </w:r>
          </w:p>
        </w:tc>
        <w:tc>
          <w:tcPr>
            <w:tcW w:w="2337"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0.32</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[0.02-0.40]</w:t>
            </w:r>
          </w:p>
          <w:p w:rsidR="00F77A7E" w:rsidRPr="009557F7" w:rsidRDefault="00F77A7E" w:rsidP="0045472B">
            <w:pPr>
              <w:jc w:val="center"/>
              <w:rPr>
                <w:rFonts w:ascii="Times New Roman" w:hAnsi="Times New Roman" w:cs="Times New Roman"/>
                <w:b/>
                <w:sz w:val="20"/>
                <w:szCs w:val="20"/>
              </w:rPr>
            </w:pPr>
            <w:r w:rsidRPr="009557F7">
              <w:rPr>
                <w:rFonts w:ascii="Times New Roman" w:hAnsi="Times New Roman" w:cs="Times New Roman"/>
                <w:b/>
                <w:sz w:val="20"/>
                <w:szCs w:val="20"/>
              </w:rPr>
              <w:t>p=0.038</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n=13</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0.14</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[0.12-0.23]</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P=0.137</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n=4</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0.12</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[0.07-0.29]</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p=0.256</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n=10</w:t>
            </w:r>
          </w:p>
        </w:tc>
      </w:tr>
      <w:tr w:rsidR="00F77A7E" w:rsidRPr="009557F7" w:rsidTr="0045472B">
        <w:trPr>
          <w:trHeight w:val="1241"/>
        </w:trPr>
        <w:tc>
          <w:tcPr>
            <w:tcW w:w="1168" w:type="dxa"/>
            <w:vMerge/>
          </w:tcPr>
          <w:p w:rsidR="00F77A7E" w:rsidRPr="009557F7" w:rsidRDefault="00F77A7E" w:rsidP="0045472B">
            <w:pPr>
              <w:rPr>
                <w:rFonts w:ascii="Times New Roman" w:hAnsi="Times New Roman" w:cs="Times New Roman"/>
                <w:sz w:val="20"/>
                <w:szCs w:val="20"/>
              </w:rPr>
            </w:pPr>
          </w:p>
        </w:tc>
        <w:tc>
          <w:tcPr>
            <w:tcW w:w="1169"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ΔsMBF</w:t>
            </w:r>
            <w:r w:rsidRPr="009557F7">
              <w:rPr>
                <w:rFonts w:ascii="Times New Roman" w:hAnsi="Times New Roman" w:cs="Times New Roman"/>
                <w:sz w:val="20"/>
                <w:szCs w:val="20"/>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 xml:space="preserve">[IQR] </w:t>
            </w:r>
          </w:p>
        </w:tc>
        <w:tc>
          <w:tcPr>
            <w:tcW w:w="2337"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0.50</w:t>
            </w:r>
            <w:r w:rsidRPr="009557F7">
              <w:rPr>
                <w:rFonts w:ascii="Times New Roman" w:hAnsi="Times New Roman" w:cs="Times New Roman"/>
                <w:color w:val="000000" w:themeColor="text1"/>
                <w:sz w:val="20"/>
                <w:szCs w:val="20"/>
                <w:shd w:val="clear" w:color="auto" w:fill="FFFFFF"/>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[0.31-0.58]</w:t>
            </w:r>
          </w:p>
          <w:p w:rsidR="00F77A7E" w:rsidRPr="009557F7" w:rsidRDefault="00F77A7E" w:rsidP="0045472B">
            <w:pPr>
              <w:jc w:val="center"/>
              <w:rPr>
                <w:rFonts w:ascii="Times New Roman" w:hAnsi="Times New Roman" w:cs="Times New Roman"/>
                <w:b/>
                <w:sz w:val="20"/>
                <w:szCs w:val="20"/>
              </w:rPr>
            </w:pPr>
            <w:r w:rsidRPr="009557F7">
              <w:rPr>
                <w:rFonts w:ascii="Times New Roman" w:hAnsi="Times New Roman" w:cs="Times New Roman"/>
                <w:b/>
                <w:sz w:val="20"/>
                <w:szCs w:val="20"/>
              </w:rPr>
              <w:t>p=0.004</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n=13</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0.35</w:t>
            </w:r>
            <w:r w:rsidRPr="009557F7">
              <w:rPr>
                <w:rFonts w:ascii="Times New Roman" w:hAnsi="Times New Roman" w:cs="Times New Roman"/>
                <w:color w:val="000000" w:themeColor="text1"/>
                <w:sz w:val="20"/>
                <w:szCs w:val="20"/>
                <w:shd w:val="clear" w:color="auto" w:fill="FFFFFF"/>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[0.34-0.43]</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P=0.093</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n=4</w:t>
            </w:r>
          </w:p>
        </w:tc>
        <w:tc>
          <w:tcPr>
            <w:tcW w:w="2338" w:type="dxa"/>
          </w:tcPr>
          <w:p w:rsidR="00F77A7E" w:rsidRPr="009557F7" w:rsidRDefault="00F77A7E" w:rsidP="0045472B">
            <w:pPr>
              <w:jc w:val="center"/>
              <w:rPr>
                <w:rFonts w:ascii="Times New Roman" w:hAnsi="Times New Roman" w:cs="Times New Roman"/>
                <w:sz w:val="20"/>
                <w:szCs w:val="20"/>
              </w:rPr>
            </w:pP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0.04</w:t>
            </w:r>
            <w:r w:rsidRPr="009557F7">
              <w:rPr>
                <w:rFonts w:ascii="Times New Roman" w:hAnsi="Times New Roman" w:cs="Times New Roman"/>
                <w:color w:val="505050"/>
                <w:sz w:val="20"/>
                <w:szCs w:val="20"/>
                <w:shd w:val="clear" w:color="auto" w:fill="FFFFFF"/>
                <w:vertAlign w:val="superscript"/>
              </w:rPr>
              <w:t>§</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[-0.32-0.18]</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p=0.756</w:t>
            </w:r>
          </w:p>
          <w:p w:rsidR="00F77A7E" w:rsidRPr="009557F7" w:rsidRDefault="00F77A7E" w:rsidP="0045472B">
            <w:pPr>
              <w:jc w:val="center"/>
              <w:rPr>
                <w:rFonts w:ascii="Times New Roman" w:hAnsi="Times New Roman" w:cs="Times New Roman"/>
                <w:sz w:val="20"/>
                <w:szCs w:val="20"/>
              </w:rPr>
            </w:pPr>
            <w:r w:rsidRPr="009557F7">
              <w:rPr>
                <w:rFonts w:ascii="Times New Roman" w:hAnsi="Times New Roman" w:cs="Times New Roman"/>
                <w:sz w:val="20"/>
                <w:szCs w:val="20"/>
              </w:rPr>
              <w:t>n=10</w:t>
            </w:r>
          </w:p>
        </w:tc>
      </w:tr>
    </w:tbl>
    <w:p w:rsidR="00F77A7E" w:rsidRPr="009557F7" w:rsidRDefault="00F77A7E" w:rsidP="00F77A7E">
      <w:pPr>
        <w:rPr>
          <w:rFonts w:ascii="Times New Roman" w:hAnsi="Times New Roman" w:cs="Times New Roman"/>
          <w:sz w:val="20"/>
          <w:szCs w:val="20"/>
        </w:rPr>
      </w:pPr>
      <w:r w:rsidRPr="009557F7">
        <w:rPr>
          <w:rFonts w:ascii="Times New Roman" w:hAnsi="Times New Roman" w:cs="Times New Roman"/>
          <w:sz w:val="20"/>
          <w:szCs w:val="20"/>
        </w:rPr>
        <w:t>* = indicates change between PET1 and PET2 in cc/min/g</w:t>
      </w:r>
    </w:p>
    <w:p w:rsidR="00F77A7E" w:rsidRPr="009557F7" w:rsidRDefault="00F77A7E" w:rsidP="00F77A7E">
      <w:pPr>
        <w:rPr>
          <w:rFonts w:ascii="Times New Roman" w:eastAsia="Times New Roman" w:hAnsi="Times New Roman" w:cs="Times New Roman"/>
          <w:sz w:val="20"/>
          <w:szCs w:val="20"/>
        </w:rPr>
      </w:pPr>
      <w:r w:rsidRPr="009557F7">
        <w:rPr>
          <w:rFonts w:ascii="Times New Roman" w:hAnsi="Times New Roman" w:cs="Times New Roman"/>
          <w:color w:val="000000" w:themeColor="text1"/>
          <w:sz w:val="20"/>
          <w:szCs w:val="20"/>
          <w:shd w:val="clear" w:color="auto" w:fill="FFFFFF"/>
          <w:vertAlign w:val="superscript"/>
        </w:rPr>
        <w:t>†</w:t>
      </w:r>
      <w:proofErr w:type="gramStart"/>
      <w:r w:rsidRPr="009557F7">
        <w:rPr>
          <w:rFonts w:ascii="Times New Roman" w:hAnsi="Times New Roman" w:cs="Times New Roman"/>
          <w:color w:val="000000" w:themeColor="text1"/>
          <w:sz w:val="20"/>
          <w:szCs w:val="20"/>
          <w:shd w:val="clear" w:color="auto" w:fill="FFFFFF"/>
          <w:vertAlign w:val="superscript"/>
        </w:rPr>
        <w:t>,‡</w:t>
      </w:r>
      <w:proofErr w:type="gramEnd"/>
      <w:r w:rsidRPr="009557F7">
        <w:rPr>
          <w:rFonts w:ascii="Times New Roman" w:hAnsi="Times New Roman" w:cs="Times New Roman"/>
          <w:color w:val="000000" w:themeColor="text1"/>
          <w:sz w:val="20"/>
          <w:szCs w:val="20"/>
          <w:shd w:val="clear" w:color="auto" w:fill="FFFFFF"/>
          <w:vertAlign w:val="superscript"/>
        </w:rPr>
        <w:t xml:space="preserve">, </w:t>
      </w:r>
      <w:r w:rsidRPr="009557F7">
        <w:rPr>
          <w:rFonts w:ascii="Times New Roman" w:eastAsia="Times New Roman" w:hAnsi="Times New Roman" w:cs="Times New Roman"/>
          <w:color w:val="505050"/>
          <w:sz w:val="20"/>
          <w:szCs w:val="20"/>
          <w:shd w:val="clear" w:color="auto" w:fill="FFFFFF"/>
          <w:vertAlign w:val="superscript"/>
        </w:rPr>
        <w:t>§</w:t>
      </w:r>
      <w:r w:rsidRPr="009557F7">
        <w:rPr>
          <w:rFonts w:ascii="Times New Roman" w:hAnsi="Times New Roman" w:cs="Times New Roman"/>
          <w:color w:val="000000" w:themeColor="text1"/>
          <w:sz w:val="20"/>
          <w:szCs w:val="20"/>
          <w:shd w:val="clear" w:color="auto" w:fill="FFFFFF"/>
        </w:rPr>
        <w:t xml:space="preserve">= </w:t>
      </w:r>
      <w:r w:rsidRPr="009557F7">
        <w:rPr>
          <w:rFonts w:ascii="Times New Roman" w:hAnsi="Times New Roman" w:cs="Times New Roman"/>
          <w:sz w:val="20"/>
          <w:szCs w:val="20"/>
        </w:rPr>
        <w:sym w:font="Symbol" w:char="F044"/>
      </w:r>
      <w:r w:rsidRPr="009557F7">
        <w:rPr>
          <w:rFonts w:ascii="Times New Roman" w:hAnsi="Times New Roman" w:cs="Times New Roman"/>
          <w:sz w:val="20"/>
          <w:szCs w:val="20"/>
        </w:rPr>
        <w:t>sMBF between PCI and CABG regions; p= 0.790, 0.627, 0.644 respectively</w:t>
      </w:r>
    </w:p>
    <w:p w:rsidR="00F77A7E" w:rsidRDefault="00F77A7E" w:rsidP="00F77A7E"/>
    <w:p w:rsidR="00DB5EB2" w:rsidRDefault="00DB5EB2"/>
    <w:p w:rsidR="00132C97" w:rsidRDefault="00132C97"/>
    <w:p w:rsidR="00132C97" w:rsidRDefault="00132C97" w:rsidP="00132C97">
      <w:pPr>
        <w:rPr>
          <w:rFonts w:ascii="Times New Roman" w:hAnsi="Times New Roman" w:cs="Times New Roman"/>
          <w:sz w:val="20"/>
          <w:szCs w:val="20"/>
        </w:rPr>
      </w:pPr>
      <w:r w:rsidRPr="007F0957">
        <w:rPr>
          <w:rFonts w:ascii="Times New Roman" w:hAnsi="Times New Roman" w:cs="Times New Roman"/>
          <w:sz w:val="20"/>
          <w:szCs w:val="20"/>
        </w:rPr>
        <w:t xml:space="preserve">Supplemental Table 2 </w:t>
      </w:r>
    </w:p>
    <w:p w:rsidR="00132C97" w:rsidRDefault="00132C97" w:rsidP="00132C97">
      <w:pPr>
        <w:rPr>
          <w:rFonts w:ascii="Times New Roman" w:hAnsi="Times New Roman" w:cs="Times New Roman"/>
          <w:sz w:val="20"/>
          <w:szCs w:val="20"/>
        </w:rPr>
      </w:pPr>
      <w:r w:rsidRPr="007F0957">
        <w:rPr>
          <w:rFonts w:ascii="Times New Roman" w:hAnsi="Times New Roman" w:cs="Times New Roman"/>
          <w:sz w:val="20"/>
          <w:szCs w:val="20"/>
        </w:rPr>
        <w:t>Risk Factors in Patient Concordant Categories</w:t>
      </w:r>
    </w:p>
    <w:p w:rsidR="00132C97" w:rsidRPr="007F0957" w:rsidRDefault="00132C97" w:rsidP="00132C97">
      <w:pPr>
        <w:rPr>
          <w:rFonts w:ascii="Times New Roman" w:hAnsi="Times New Roman" w:cs="Times New Roman"/>
          <w:sz w:val="20"/>
          <w:szCs w:val="20"/>
        </w:rPr>
      </w:pPr>
    </w:p>
    <w:tbl>
      <w:tblPr>
        <w:tblStyle w:val="TableGrid"/>
        <w:tblW w:w="0" w:type="auto"/>
        <w:tblLook w:val="04A0"/>
      </w:tblPr>
      <w:tblGrid>
        <w:gridCol w:w="1975"/>
        <w:gridCol w:w="1765"/>
        <w:gridCol w:w="1870"/>
        <w:gridCol w:w="1870"/>
        <w:gridCol w:w="1870"/>
      </w:tblGrid>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Risk Factor</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Completely Concordant Patients (n=26)</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Mixed Concordant</w:t>
            </w:r>
          </w:p>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Patients (n=12)</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Completely Discordant Patients (n=12)</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P value</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CAD</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20 (76.9%)</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9 (75.0%)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11 (91.7%)</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0.879</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Hypertension</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25 (96.2%)</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11 (91.7%)</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11 (91.7%)</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0.992</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Hyperlipidemia</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22 (84.6%)</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12 (100%)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12 (100%)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0.352</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Diabetes Mellitus</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15 (57.7%)</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6 (50.0%)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9 (75.0%)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0.816</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Tobacco use</w:t>
            </w:r>
          </w:p>
        </w:tc>
        <w:tc>
          <w:tcPr>
            <w:tcW w:w="1765" w:type="dxa"/>
          </w:tcPr>
          <w:p w:rsidR="00132C97" w:rsidRPr="007F0957" w:rsidRDefault="00132C97" w:rsidP="00E35670">
            <w:pPr>
              <w:rPr>
                <w:rFonts w:ascii="Times New Roman" w:hAnsi="Times New Roman" w:cs="Times New Roman"/>
                <w:sz w:val="20"/>
                <w:szCs w:val="20"/>
              </w:rPr>
            </w:pPr>
            <w:proofErr w:type="gramStart"/>
            <w:r w:rsidRPr="007F0957">
              <w:rPr>
                <w:rFonts w:ascii="Times New Roman" w:hAnsi="Times New Roman" w:cs="Times New Roman"/>
                <w:sz w:val="20"/>
                <w:szCs w:val="20"/>
              </w:rPr>
              <w:t>4  (</w:t>
            </w:r>
            <w:proofErr w:type="gramEnd"/>
            <w:r w:rsidRPr="007F0957">
              <w:rPr>
                <w:rFonts w:ascii="Times New Roman" w:hAnsi="Times New Roman" w:cs="Times New Roman"/>
                <w:sz w:val="20"/>
                <w:szCs w:val="20"/>
              </w:rPr>
              <w:t>15.4%)</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4 (33.0%)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3 (25.0%)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0.828</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Prior PCI</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14 (53.8)</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6 (50.0%)</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5 (41.7%)</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0.990</w:t>
            </w:r>
          </w:p>
        </w:tc>
      </w:tr>
      <w:tr w:rsidR="00132C97" w:rsidRPr="007F0957" w:rsidTr="00E35670">
        <w:tc>
          <w:tcPr>
            <w:tcW w:w="197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Prior CABG</w:t>
            </w:r>
          </w:p>
        </w:tc>
        <w:tc>
          <w:tcPr>
            <w:tcW w:w="1765"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(9) 34.6%</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1 (8.3%)</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3 (25%)</w:t>
            </w:r>
          </w:p>
        </w:tc>
        <w:tc>
          <w:tcPr>
            <w:tcW w:w="1870" w:type="dxa"/>
          </w:tcPr>
          <w:p w:rsidR="00132C97" w:rsidRPr="007F0957" w:rsidRDefault="00132C97" w:rsidP="00E35670">
            <w:pPr>
              <w:rPr>
                <w:rFonts w:ascii="Times New Roman" w:hAnsi="Times New Roman" w:cs="Times New Roman"/>
                <w:sz w:val="20"/>
                <w:szCs w:val="20"/>
              </w:rPr>
            </w:pPr>
            <w:r w:rsidRPr="007F0957">
              <w:rPr>
                <w:rFonts w:ascii="Times New Roman" w:hAnsi="Times New Roman" w:cs="Times New Roman"/>
                <w:sz w:val="20"/>
                <w:szCs w:val="20"/>
              </w:rPr>
              <w:t>0.540</w:t>
            </w:r>
          </w:p>
        </w:tc>
      </w:tr>
    </w:tbl>
    <w:p w:rsidR="00132C97" w:rsidRPr="007F0957" w:rsidRDefault="00132C97" w:rsidP="00132C97">
      <w:pPr>
        <w:rPr>
          <w:rFonts w:ascii="Times New Roman" w:hAnsi="Times New Roman" w:cs="Times New Roman"/>
          <w:sz w:val="20"/>
          <w:szCs w:val="20"/>
        </w:rPr>
      </w:pPr>
      <w:r w:rsidRPr="007F0957">
        <w:rPr>
          <w:rFonts w:ascii="Times New Roman" w:hAnsi="Times New Roman" w:cs="Times New Roman"/>
          <w:sz w:val="20"/>
          <w:szCs w:val="20"/>
        </w:rPr>
        <w:t>CAD, coronary artery disease; PCI, percutaneous coronary intervention; CABG, coronary artery bypass graft</w:t>
      </w:r>
    </w:p>
    <w:p w:rsidR="00132C97" w:rsidRDefault="00132C97" w:rsidP="00132C97"/>
    <w:p w:rsidR="00132C97" w:rsidRDefault="00132C97"/>
    <w:p w:rsidR="00132C97" w:rsidRDefault="00132C97"/>
    <w:p w:rsidR="00132C97" w:rsidRDefault="00132C97"/>
    <w:p w:rsidR="00132C97" w:rsidRDefault="00132C97"/>
    <w:p w:rsidR="00132C97" w:rsidRDefault="00132C97"/>
    <w:p w:rsidR="00132C97" w:rsidRDefault="00132C97"/>
    <w:p w:rsidR="00132C97" w:rsidRDefault="00132C97"/>
    <w:p w:rsidR="00132C97" w:rsidRDefault="00132C97" w:rsidP="00132C97">
      <w:pPr>
        <w:ind w:left="-810"/>
        <w:rPr>
          <w:rFonts w:ascii="Times New Roman" w:hAnsi="Times New Roman" w:cs="Times New Roman"/>
          <w:sz w:val="20"/>
          <w:szCs w:val="20"/>
        </w:rPr>
      </w:pPr>
      <w:r w:rsidRPr="00B12B8E">
        <w:rPr>
          <w:rFonts w:ascii="Times New Roman" w:hAnsi="Times New Roman" w:cs="Times New Roman"/>
          <w:sz w:val="20"/>
          <w:szCs w:val="20"/>
        </w:rPr>
        <w:lastRenderedPageBreak/>
        <w:t xml:space="preserve">Supplemental Table </w:t>
      </w:r>
      <w:r>
        <w:rPr>
          <w:rFonts w:ascii="Times New Roman" w:hAnsi="Times New Roman" w:cs="Times New Roman"/>
          <w:sz w:val="20"/>
          <w:szCs w:val="20"/>
        </w:rPr>
        <w:t>3</w:t>
      </w:r>
    </w:p>
    <w:p w:rsidR="00132C97" w:rsidRPr="00B12B8E" w:rsidRDefault="00132C97" w:rsidP="00132C97">
      <w:pPr>
        <w:ind w:left="-810"/>
        <w:rPr>
          <w:rFonts w:ascii="Times New Roman" w:hAnsi="Times New Roman" w:cs="Times New Roman"/>
          <w:sz w:val="20"/>
          <w:szCs w:val="20"/>
        </w:rPr>
      </w:pPr>
      <w:r>
        <w:rPr>
          <w:rFonts w:ascii="Times New Roman" w:hAnsi="Times New Roman" w:cs="Times New Roman"/>
          <w:sz w:val="20"/>
          <w:szCs w:val="20"/>
        </w:rPr>
        <w:t xml:space="preserve">Regression Analysis Identifying Predictors of Improvement in </w:t>
      </w:r>
      <w:r w:rsidR="00FC47F5">
        <w:rPr>
          <w:rFonts w:ascii="Times New Roman" w:hAnsi="Times New Roman" w:cs="Times New Roman"/>
          <w:sz w:val="20"/>
          <w:szCs w:val="20"/>
        </w:rPr>
        <w:t xml:space="preserve">Whole Heart </w:t>
      </w:r>
      <w:r>
        <w:rPr>
          <w:rFonts w:ascii="Times New Roman" w:hAnsi="Times New Roman" w:cs="Times New Roman"/>
          <w:sz w:val="20"/>
          <w:szCs w:val="20"/>
        </w:rPr>
        <w:t xml:space="preserve">Stress MBF </w:t>
      </w:r>
      <w:proofErr w:type="gramStart"/>
      <w:r>
        <w:rPr>
          <w:rFonts w:ascii="Times New Roman" w:hAnsi="Times New Roman" w:cs="Times New Roman"/>
          <w:sz w:val="20"/>
          <w:szCs w:val="20"/>
        </w:rPr>
        <w:t>After</w:t>
      </w:r>
      <w:proofErr w:type="gramEnd"/>
      <w:r>
        <w:rPr>
          <w:rFonts w:ascii="Times New Roman" w:hAnsi="Times New Roman" w:cs="Times New Roman"/>
          <w:sz w:val="20"/>
          <w:szCs w:val="20"/>
        </w:rPr>
        <w:t xml:space="preserve"> Revascularization</w:t>
      </w:r>
    </w:p>
    <w:tbl>
      <w:tblPr>
        <w:tblStyle w:val="TableGrid"/>
        <w:tblW w:w="0" w:type="auto"/>
        <w:tblInd w:w="-815" w:type="dxa"/>
        <w:tblLook w:val="04A0"/>
      </w:tblPr>
      <w:tblGrid>
        <w:gridCol w:w="2353"/>
        <w:gridCol w:w="862"/>
        <w:gridCol w:w="1382"/>
        <w:gridCol w:w="980"/>
        <w:gridCol w:w="852"/>
        <w:gridCol w:w="963"/>
        <w:gridCol w:w="883"/>
        <w:gridCol w:w="995"/>
        <w:gridCol w:w="895"/>
      </w:tblGrid>
      <w:tr w:rsidR="00132C97" w:rsidRPr="00B12B8E" w:rsidTr="00E35670">
        <w:tc>
          <w:tcPr>
            <w:tcW w:w="2353" w:type="dxa"/>
            <w:vMerge w:val="restart"/>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 xml:space="preserve"> </w:t>
            </w:r>
          </w:p>
        </w:tc>
        <w:tc>
          <w:tcPr>
            <w:tcW w:w="7812" w:type="dxa"/>
            <w:gridSpan w:val="8"/>
            <w:shd w:val="clear" w:color="auto" w:fill="AEAAAA" w:themeFill="background2" w:themeFillShade="BF"/>
          </w:tcPr>
          <w:p w:rsidR="00132C97" w:rsidRPr="00B12B8E" w:rsidRDefault="00132C97" w:rsidP="00E35670">
            <w:pPr>
              <w:jc w:val="center"/>
              <w:rPr>
                <w:rFonts w:ascii="Times New Roman" w:hAnsi="Times New Roman" w:cs="Times New Roman"/>
                <w:sz w:val="20"/>
                <w:szCs w:val="20"/>
              </w:rPr>
            </w:pPr>
            <w:r w:rsidRPr="00B12B8E">
              <w:rPr>
                <w:rFonts w:ascii="Times New Roman" w:hAnsi="Times New Roman" w:cs="Times New Roman"/>
                <w:sz w:val="20"/>
                <w:szCs w:val="20"/>
              </w:rPr>
              <w:t>Change in Stress MBF</w:t>
            </w:r>
          </w:p>
        </w:tc>
      </w:tr>
      <w:tr w:rsidR="00132C97" w:rsidRPr="00B12B8E" w:rsidTr="00E35670">
        <w:tc>
          <w:tcPr>
            <w:tcW w:w="2353" w:type="dxa"/>
            <w:vMerge/>
            <w:shd w:val="clear" w:color="auto" w:fill="AEAAAA" w:themeFill="background2" w:themeFillShade="BF"/>
          </w:tcPr>
          <w:p w:rsidR="00132C97" w:rsidRPr="00B12B8E" w:rsidRDefault="00132C97" w:rsidP="00E35670">
            <w:pPr>
              <w:rPr>
                <w:rFonts w:ascii="Times New Roman" w:hAnsi="Times New Roman" w:cs="Times New Roman"/>
                <w:sz w:val="20"/>
                <w:szCs w:val="20"/>
              </w:rPr>
            </w:pPr>
          </w:p>
        </w:tc>
        <w:tc>
          <w:tcPr>
            <w:tcW w:w="2244" w:type="dxa"/>
            <w:gridSpan w:val="2"/>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Univariable Analysis</w:t>
            </w:r>
          </w:p>
        </w:tc>
        <w:tc>
          <w:tcPr>
            <w:tcW w:w="1832" w:type="dxa"/>
            <w:gridSpan w:val="2"/>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Multivariable Analysis 1</w:t>
            </w:r>
          </w:p>
        </w:tc>
        <w:tc>
          <w:tcPr>
            <w:tcW w:w="1846" w:type="dxa"/>
            <w:gridSpan w:val="2"/>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Multivariable Analysis 2</w:t>
            </w:r>
          </w:p>
        </w:tc>
        <w:tc>
          <w:tcPr>
            <w:tcW w:w="1890" w:type="dxa"/>
            <w:gridSpan w:val="2"/>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Multivariable Analysis 3</w:t>
            </w:r>
          </w:p>
        </w:tc>
      </w:tr>
      <w:tr w:rsidR="00132C97" w:rsidRPr="00B12B8E" w:rsidTr="00E35670">
        <w:tc>
          <w:tcPr>
            <w:tcW w:w="2353" w:type="dxa"/>
            <w:vMerge/>
            <w:shd w:val="clear" w:color="auto" w:fill="AEAAAA" w:themeFill="background2" w:themeFillShade="BF"/>
          </w:tcPr>
          <w:p w:rsidR="00132C97" w:rsidRPr="00B12B8E" w:rsidRDefault="00132C97" w:rsidP="00E35670">
            <w:pPr>
              <w:rPr>
                <w:rFonts w:ascii="Times New Roman" w:hAnsi="Times New Roman" w:cs="Times New Roman"/>
                <w:sz w:val="20"/>
                <w:szCs w:val="20"/>
              </w:rPr>
            </w:pPr>
          </w:p>
        </w:tc>
        <w:tc>
          <w:tcPr>
            <w:tcW w:w="862" w:type="dxa"/>
            <w:shd w:val="clear" w:color="auto" w:fill="AEAAAA" w:themeFill="background2" w:themeFillShade="BF"/>
          </w:tcPr>
          <w:p w:rsidR="00132C97" w:rsidRPr="00B12B8E" w:rsidRDefault="00132C97" w:rsidP="00E35670">
            <w:pPr>
              <w:jc w:val="center"/>
              <w:rPr>
                <w:rFonts w:ascii="Times New Roman" w:hAnsi="Times New Roman" w:cs="Times New Roman"/>
                <w:sz w:val="20"/>
                <w:szCs w:val="20"/>
              </w:rPr>
            </w:pPr>
            <w:r w:rsidRPr="00B12B8E">
              <w:rPr>
                <w:rFonts w:ascii="Times New Roman" w:hAnsi="Times New Roman" w:cs="Times New Roman"/>
                <w:sz w:val="20"/>
                <w:szCs w:val="20"/>
              </w:rPr>
              <w:t>β</w:t>
            </w:r>
          </w:p>
        </w:tc>
        <w:tc>
          <w:tcPr>
            <w:tcW w:w="1382" w:type="dxa"/>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P Value</w:t>
            </w:r>
          </w:p>
        </w:tc>
        <w:tc>
          <w:tcPr>
            <w:tcW w:w="980" w:type="dxa"/>
            <w:shd w:val="clear" w:color="auto" w:fill="AEAAAA" w:themeFill="background2" w:themeFillShade="BF"/>
          </w:tcPr>
          <w:p w:rsidR="00132C97" w:rsidRPr="00B12B8E" w:rsidRDefault="00132C97" w:rsidP="00E35670">
            <w:pPr>
              <w:jc w:val="center"/>
              <w:rPr>
                <w:rFonts w:ascii="Times New Roman" w:hAnsi="Times New Roman" w:cs="Times New Roman"/>
                <w:sz w:val="20"/>
                <w:szCs w:val="20"/>
              </w:rPr>
            </w:pPr>
            <w:r w:rsidRPr="00B12B8E">
              <w:rPr>
                <w:rFonts w:ascii="Times New Roman" w:hAnsi="Times New Roman" w:cs="Times New Roman"/>
                <w:sz w:val="20"/>
                <w:szCs w:val="20"/>
              </w:rPr>
              <w:t>β</w:t>
            </w:r>
          </w:p>
        </w:tc>
        <w:tc>
          <w:tcPr>
            <w:tcW w:w="852" w:type="dxa"/>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P Value</w:t>
            </w:r>
          </w:p>
        </w:tc>
        <w:tc>
          <w:tcPr>
            <w:tcW w:w="963" w:type="dxa"/>
            <w:shd w:val="clear" w:color="auto" w:fill="AEAAAA" w:themeFill="background2" w:themeFillShade="BF"/>
          </w:tcPr>
          <w:p w:rsidR="00132C97" w:rsidRPr="00B12B8E" w:rsidRDefault="00132C97" w:rsidP="00E35670">
            <w:pPr>
              <w:jc w:val="center"/>
              <w:rPr>
                <w:rFonts w:ascii="Times New Roman" w:hAnsi="Times New Roman" w:cs="Times New Roman"/>
                <w:sz w:val="20"/>
                <w:szCs w:val="20"/>
              </w:rPr>
            </w:pPr>
            <w:r w:rsidRPr="00B12B8E">
              <w:rPr>
                <w:rFonts w:ascii="Times New Roman" w:hAnsi="Times New Roman" w:cs="Times New Roman"/>
                <w:sz w:val="20"/>
                <w:szCs w:val="20"/>
              </w:rPr>
              <w:t>β</w:t>
            </w:r>
          </w:p>
        </w:tc>
        <w:tc>
          <w:tcPr>
            <w:tcW w:w="883" w:type="dxa"/>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P Value</w:t>
            </w:r>
          </w:p>
        </w:tc>
        <w:tc>
          <w:tcPr>
            <w:tcW w:w="995" w:type="dxa"/>
            <w:shd w:val="clear" w:color="auto" w:fill="AEAAAA" w:themeFill="background2" w:themeFillShade="BF"/>
          </w:tcPr>
          <w:p w:rsidR="00132C97" w:rsidRPr="00B12B8E" w:rsidRDefault="00132C97" w:rsidP="00E35670">
            <w:pPr>
              <w:jc w:val="center"/>
              <w:rPr>
                <w:rFonts w:ascii="Times New Roman" w:hAnsi="Times New Roman" w:cs="Times New Roman"/>
                <w:sz w:val="20"/>
                <w:szCs w:val="20"/>
              </w:rPr>
            </w:pPr>
            <w:r w:rsidRPr="00B12B8E">
              <w:rPr>
                <w:rFonts w:ascii="Times New Roman" w:hAnsi="Times New Roman" w:cs="Times New Roman"/>
                <w:sz w:val="20"/>
                <w:szCs w:val="20"/>
              </w:rPr>
              <w:t>β</w:t>
            </w:r>
          </w:p>
        </w:tc>
        <w:tc>
          <w:tcPr>
            <w:tcW w:w="895" w:type="dxa"/>
            <w:shd w:val="clear" w:color="auto" w:fill="AEAAAA" w:themeFill="background2" w:themeFillShade="BF"/>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P Value</w:t>
            </w:r>
          </w:p>
        </w:tc>
      </w:tr>
      <w:tr w:rsidR="00132C97" w:rsidRPr="00B12B8E" w:rsidTr="00923C7D">
        <w:tc>
          <w:tcPr>
            <w:tcW w:w="10165" w:type="dxa"/>
            <w:gridSpan w:val="9"/>
            <w:shd w:val="clear" w:color="auto" w:fill="D9D9D9" w:themeFill="background1" w:themeFillShade="D9"/>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Risk factors</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Age</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-0.155</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0.283</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Gender</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0.029</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0.840</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Body Mass Index</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-0.205</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0.154*</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-1.281</w:t>
            </w: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0.111</w:t>
            </w:r>
          </w:p>
        </w:tc>
        <w:tc>
          <w:tcPr>
            <w:tcW w:w="96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-1.419</w:t>
            </w:r>
          </w:p>
        </w:tc>
        <w:tc>
          <w:tcPr>
            <w:tcW w:w="88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0.071</w:t>
            </w: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-1.209</w:t>
            </w: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0.110</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Diabetes Mellitus</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-0.318</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0.024*</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-18.191</w:t>
            </w: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0.053</w:t>
            </w:r>
          </w:p>
        </w:tc>
        <w:tc>
          <w:tcPr>
            <w:tcW w:w="96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-17.277</w:t>
            </w:r>
          </w:p>
        </w:tc>
        <w:tc>
          <w:tcPr>
            <w:tcW w:w="88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0.058</w:t>
            </w: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-13.707</w:t>
            </w: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0.121</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Hypertension</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0.096</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0.509</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Hyperlipidemia</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-0.270</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0.058*</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-23.027</w:t>
            </w: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0.175</w:t>
            </w:r>
          </w:p>
        </w:tc>
        <w:tc>
          <w:tcPr>
            <w:tcW w:w="96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-23.698</w:t>
            </w:r>
          </w:p>
        </w:tc>
        <w:tc>
          <w:tcPr>
            <w:tcW w:w="88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0.150</w:t>
            </w: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-16.984</w:t>
            </w: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0.288</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Tobacco use</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0.074</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0.610</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History of PCI</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-1.76</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0.223</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History of CABG</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-2.47</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0.083*</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-13.434</w:t>
            </w: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0.193</w:t>
            </w:r>
          </w:p>
        </w:tc>
        <w:tc>
          <w:tcPr>
            <w:tcW w:w="96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-13.843</w:t>
            </w:r>
          </w:p>
        </w:tc>
        <w:tc>
          <w:tcPr>
            <w:tcW w:w="88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0.167</w:t>
            </w: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-15.817</w:t>
            </w: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0.102</w:t>
            </w:r>
          </w:p>
        </w:tc>
      </w:tr>
      <w:tr w:rsidR="00132C97" w:rsidRPr="00B12B8E" w:rsidTr="00923C7D">
        <w:tc>
          <w:tcPr>
            <w:tcW w:w="10165" w:type="dxa"/>
            <w:gridSpan w:val="9"/>
            <w:shd w:val="clear" w:color="auto" w:fill="D9D9D9" w:themeFill="background1" w:themeFillShade="D9"/>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Medication Use</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Statins</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-0.011</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0.939</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Platelet</w:t>
            </w:r>
            <w:r w:rsidR="003F38F6">
              <w:rPr>
                <w:rFonts w:ascii="Times New Roman" w:hAnsi="Times New Roman" w:cs="Times New Roman"/>
                <w:sz w:val="20"/>
                <w:szCs w:val="20"/>
              </w:rPr>
              <w:t xml:space="preserve"> inhibition</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-0.092</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0.525</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Beta Blockers</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0.06</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0.680</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Ca channel blockers</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-0.039</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0.788</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ACE/ARB</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0.081</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0.575</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r>
      <w:tr w:rsidR="00132C97" w:rsidRPr="00B12B8E" w:rsidTr="00923C7D">
        <w:tc>
          <w:tcPr>
            <w:tcW w:w="10165" w:type="dxa"/>
            <w:gridSpan w:val="9"/>
            <w:shd w:val="clear" w:color="auto" w:fill="D9D9D9" w:themeFill="background1" w:themeFillShade="D9"/>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 xml:space="preserve">PET scan </w:t>
            </w:r>
            <w:r w:rsidR="00923C7D">
              <w:rPr>
                <w:rFonts w:ascii="Times New Roman" w:hAnsi="Times New Roman" w:cs="Times New Roman"/>
                <w:sz w:val="20"/>
                <w:szCs w:val="20"/>
              </w:rPr>
              <w:t>findings</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Severe PA</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0.242</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0.09*</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17.187</w:t>
            </w:r>
          </w:p>
        </w:tc>
        <w:tc>
          <w:tcPr>
            <w:tcW w:w="88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0.050*</w:t>
            </w: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5.445</w:t>
            </w: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0.579</w:t>
            </w:r>
          </w:p>
        </w:tc>
      </w:tr>
      <w:tr w:rsidR="00132C97" w:rsidRPr="00B12B8E" w:rsidTr="00923C7D">
        <w:tc>
          <w:tcPr>
            <w:tcW w:w="2353"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 xml:space="preserve">Severely reduced CFC </w:t>
            </w:r>
          </w:p>
        </w:tc>
        <w:tc>
          <w:tcPr>
            <w:tcW w:w="86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0.443</w:t>
            </w:r>
          </w:p>
        </w:tc>
        <w:tc>
          <w:tcPr>
            <w:tcW w:w="1382" w:type="dxa"/>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0.001*</w:t>
            </w:r>
          </w:p>
        </w:tc>
        <w:tc>
          <w:tcPr>
            <w:tcW w:w="980"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852"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p>
        </w:tc>
        <w:tc>
          <w:tcPr>
            <w:tcW w:w="963" w:type="dxa"/>
          </w:tcPr>
          <w:p w:rsidR="00132C97" w:rsidRPr="00B12B8E" w:rsidRDefault="00132C97" w:rsidP="00E35670">
            <w:pPr>
              <w:rPr>
                <w:rFonts w:ascii="Times New Roman" w:hAnsi="Times New Roman" w:cs="Times New Roman"/>
                <w:sz w:val="20"/>
                <w:szCs w:val="20"/>
              </w:rPr>
            </w:pPr>
          </w:p>
        </w:tc>
        <w:tc>
          <w:tcPr>
            <w:tcW w:w="883" w:type="dxa"/>
          </w:tcPr>
          <w:p w:rsidR="00132C97" w:rsidRPr="00B12B8E" w:rsidRDefault="00132C97" w:rsidP="00E35670">
            <w:pPr>
              <w:rPr>
                <w:rFonts w:ascii="Times New Roman" w:hAnsi="Times New Roman" w:cs="Times New Roman"/>
                <w:sz w:val="20"/>
                <w:szCs w:val="20"/>
              </w:rPr>
            </w:pPr>
          </w:p>
        </w:tc>
        <w:tc>
          <w:tcPr>
            <w:tcW w:w="9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25.338</w:t>
            </w:r>
          </w:p>
        </w:tc>
        <w:tc>
          <w:tcPr>
            <w:tcW w:w="895" w:type="dxa"/>
            <w:shd w:val="clear" w:color="auto" w:fill="F2F2F2" w:themeFill="background1" w:themeFillShade="F2"/>
          </w:tcPr>
          <w:p w:rsidR="00132C97" w:rsidRPr="00B12B8E" w:rsidRDefault="00132C97" w:rsidP="00E35670">
            <w:pPr>
              <w:rPr>
                <w:rFonts w:ascii="Times New Roman" w:hAnsi="Times New Roman" w:cs="Times New Roman"/>
                <w:sz w:val="20"/>
                <w:szCs w:val="20"/>
              </w:rPr>
            </w:pPr>
            <w:r w:rsidRPr="00B12B8E">
              <w:rPr>
                <w:rFonts w:ascii="Times New Roman" w:hAnsi="Times New Roman" w:cs="Times New Roman"/>
                <w:sz w:val="20"/>
                <w:szCs w:val="20"/>
              </w:rPr>
              <w:t>0.032*</w:t>
            </w:r>
          </w:p>
        </w:tc>
      </w:tr>
    </w:tbl>
    <w:p w:rsidR="00132C97" w:rsidRPr="00B12B8E" w:rsidRDefault="00132C97" w:rsidP="00132C97">
      <w:pPr>
        <w:ind w:left="-810"/>
        <w:rPr>
          <w:rFonts w:ascii="Times New Roman" w:hAnsi="Times New Roman" w:cs="Times New Roman"/>
          <w:sz w:val="20"/>
          <w:szCs w:val="20"/>
        </w:rPr>
      </w:pPr>
      <w:r w:rsidRPr="00B12B8E">
        <w:rPr>
          <w:rFonts w:ascii="Times New Roman" w:hAnsi="Times New Roman" w:cs="Times New Roman"/>
          <w:sz w:val="20"/>
          <w:szCs w:val="20"/>
        </w:rPr>
        <w:t>PCI, percutaneous coronary intervention; CABG, coronary artery bypass graft; ACE, angiotensin converting enzyme; ARB, angiotensin receptor blocker; PA, perfusion abnormality; CFC, coronary flow capacity</w:t>
      </w:r>
    </w:p>
    <w:p w:rsidR="00132C97" w:rsidRPr="00B12B8E" w:rsidRDefault="00132C97" w:rsidP="00132C97">
      <w:pPr>
        <w:ind w:left="-810"/>
        <w:rPr>
          <w:rFonts w:ascii="Times New Roman" w:eastAsia="Times New Roman" w:hAnsi="Times New Roman" w:cs="Times New Roman"/>
          <w:sz w:val="20"/>
          <w:szCs w:val="20"/>
        </w:rPr>
      </w:pPr>
      <w:r w:rsidRPr="00B12B8E">
        <w:rPr>
          <w:rFonts w:ascii="Times New Roman" w:eastAsia="Times New Roman" w:hAnsi="Times New Roman" w:cs="Times New Roman"/>
          <w:sz w:val="20"/>
          <w:szCs w:val="20"/>
        </w:rPr>
        <w:t>*Significant coefficients for P&lt;0.20 (univariable analysis) or P&lt;0.05 (multivariable analysis).</w:t>
      </w:r>
    </w:p>
    <w:p w:rsidR="00132C97" w:rsidRDefault="00132C97"/>
    <w:p w:rsidR="0045386E" w:rsidRDefault="0045386E" w:rsidP="0045386E">
      <w:pPr>
        <w:ind w:left="-720"/>
      </w:pPr>
      <w:r>
        <w:t>Supplemental Table 4</w:t>
      </w:r>
    </w:p>
    <w:p w:rsidR="0045386E" w:rsidRDefault="0045386E" w:rsidP="0045386E">
      <w:pPr>
        <w:ind w:left="-720"/>
      </w:pPr>
      <w:r>
        <w:t xml:space="preserve">Regression Analysis to Determine Which PET Flow </w:t>
      </w:r>
      <w:r w:rsidR="000E1AB1">
        <w:t xml:space="preserve">Metric Predicts </w:t>
      </w:r>
      <w:r w:rsidR="00AA5283">
        <w:t xml:space="preserve">Any </w:t>
      </w:r>
      <w:r w:rsidR="000E1AB1">
        <w:t>Improvement in s</w:t>
      </w:r>
      <w:r>
        <w:t>MBF After Revascularization</w:t>
      </w:r>
    </w:p>
    <w:tbl>
      <w:tblPr>
        <w:tblStyle w:val="TableGrid"/>
        <w:tblW w:w="7200" w:type="dxa"/>
        <w:tblInd w:w="-725" w:type="dxa"/>
        <w:tblLook w:val="04A0"/>
      </w:tblPr>
      <w:tblGrid>
        <w:gridCol w:w="2405"/>
        <w:gridCol w:w="1015"/>
        <w:gridCol w:w="1170"/>
        <w:gridCol w:w="1305"/>
        <w:gridCol w:w="1305"/>
      </w:tblGrid>
      <w:tr w:rsidR="00AA5283" w:rsidTr="00AA5283">
        <w:tc>
          <w:tcPr>
            <w:tcW w:w="2405" w:type="dxa"/>
            <w:shd w:val="clear" w:color="auto" w:fill="D0CECE" w:themeFill="background2" w:themeFillShade="E6"/>
          </w:tcPr>
          <w:p w:rsidR="00AA5283" w:rsidRDefault="00AA5283" w:rsidP="00E35670"/>
        </w:tc>
        <w:tc>
          <w:tcPr>
            <w:tcW w:w="2185" w:type="dxa"/>
            <w:gridSpan w:val="2"/>
            <w:shd w:val="clear" w:color="auto" w:fill="D0CECE" w:themeFill="background2" w:themeFillShade="E6"/>
          </w:tcPr>
          <w:p w:rsidR="00AA5283" w:rsidRDefault="00AA5283" w:rsidP="00E35670">
            <w:r>
              <w:t>Univariable analysis</w:t>
            </w:r>
          </w:p>
        </w:tc>
        <w:tc>
          <w:tcPr>
            <w:tcW w:w="2610" w:type="dxa"/>
            <w:gridSpan w:val="2"/>
            <w:shd w:val="clear" w:color="auto" w:fill="D0CECE" w:themeFill="background2" w:themeFillShade="E6"/>
          </w:tcPr>
          <w:p w:rsidR="00AA5283" w:rsidRDefault="00AA5283" w:rsidP="00E35670">
            <w:r>
              <w:t>Multivaria</w:t>
            </w:r>
            <w:r w:rsidR="00205951">
              <w:t>ble</w:t>
            </w:r>
            <w:r>
              <w:t xml:space="preserve"> Analysis </w:t>
            </w:r>
          </w:p>
        </w:tc>
      </w:tr>
      <w:tr w:rsidR="00AA5283" w:rsidTr="00AA5283">
        <w:tc>
          <w:tcPr>
            <w:tcW w:w="2405" w:type="dxa"/>
            <w:shd w:val="clear" w:color="auto" w:fill="E7E6E6" w:themeFill="background2"/>
          </w:tcPr>
          <w:p w:rsidR="00AA5283" w:rsidRDefault="00AA5283" w:rsidP="007F1AFC">
            <w:r>
              <w:t xml:space="preserve">PET Metric </w:t>
            </w:r>
          </w:p>
        </w:tc>
        <w:tc>
          <w:tcPr>
            <w:tcW w:w="1015" w:type="dxa"/>
            <w:shd w:val="clear" w:color="auto" w:fill="E7E6E6" w:themeFill="background2"/>
          </w:tcPr>
          <w:p w:rsidR="00AA5283" w:rsidRDefault="00AA5283" w:rsidP="007F1AFC">
            <w:pPr>
              <w:jc w:val="center"/>
            </w:pPr>
            <w:r w:rsidRPr="00B12B8E">
              <w:rPr>
                <w:rFonts w:ascii="Times New Roman" w:hAnsi="Times New Roman" w:cs="Times New Roman"/>
                <w:sz w:val="20"/>
                <w:szCs w:val="20"/>
              </w:rPr>
              <w:t>β</w:t>
            </w:r>
          </w:p>
        </w:tc>
        <w:tc>
          <w:tcPr>
            <w:tcW w:w="1170" w:type="dxa"/>
            <w:shd w:val="clear" w:color="auto" w:fill="E7E6E6" w:themeFill="background2"/>
          </w:tcPr>
          <w:p w:rsidR="00AA5283" w:rsidRDefault="00AA5283" w:rsidP="007F1AFC">
            <w:r w:rsidRPr="00B12B8E">
              <w:rPr>
                <w:rFonts w:ascii="Times New Roman" w:hAnsi="Times New Roman" w:cs="Times New Roman"/>
                <w:sz w:val="20"/>
                <w:szCs w:val="20"/>
              </w:rPr>
              <w:t>P Value</w:t>
            </w:r>
          </w:p>
        </w:tc>
        <w:tc>
          <w:tcPr>
            <w:tcW w:w="1305" w:type="dxa"/>
            <w:shd w:val="clear" w:color="auto" w:fill="E7E6E6" w:themeFill="background2"/>
          </w:tcPr>
          <w:p w:rsidR="00AA5283" w:rsidRPr="00B12B8E" w:rsidRDefault="00AA5283" w:rsidP="007F1AFC">
            <w:pPr>
              <w:jc w:val="center"/>
              <w:rPr>
                <w:rFonts w:ascii="Times New Roman" w:hAnsi="Times New Roman" w:cs="Times New Roman"/>
                <w:sz w:val="20"/>
                <w:szCs w:val="20"/>
              </w:rPr>
            </w:pPr>
            <w:r w:rsidRPr="00B12B8E">
              <w:rPr>
                <w:rFonts w:ascii="Times New Roman" w:hAnsi="Times New Roman" w:cs="Times New Roman"/>
                <w:sz w:val="20"/>
                <w:szCs w:val="20"/>
              </w:rPr>
              <w:t>β</w:t>
            </w:r>
          </w:p>
        </w:tc>
        <w:tc>
          <w:tcPr>
            <w:tcW w:w="1305" w:type="dxa"/>
            <w:shd w:val="clear" w:color="auto" w:fill="E7E6E6" w:themeFill="background2"/>
          </w:tcPr>
          <w:p w:rsidR="00AA5283" w:rsidRPr="00B12B8E" w:rsidRDefault="00AA5283" w:rsidP="007F1AFC">
            <w:pPr>
              <w:jc w:val="center"/>
              <w:rPr>
                <w:rFonts w:ascii="Times New Roman" w:hAnsi="Times New Roman" w:cs="Times New Roman"/>
                <w:sz w:val="20"/>
                <w:szCs w:val="20"/>
              </w:rPr>
            </w:pPr>
            <w:r w:rsidRPr="00B12B8E">
              <w:rPr>
                <w:rFonts w:ascii="Times New Roman" w:hAnsi="Times New Roman" w:cs="Times New Roman"/>
                <w:sz w:val="20"/>
                <w:szCs w:val="20"/>
              </w:rPr>
              <w:t>P Value</w:t>
            </w:r>
          </w:p>
        </w:tc>
      </w:tr>
      <w:tr w:rsidR="00AA5283" w:rsidTr="00AA5283">
        <w:tc>
          <w:tcPr>
            <w:tcW w:w="2405" w:type="dxa"/>
          </w:tcPr>
          <w:p w:rsidR="00AA5283" w:rsidRDefault="00AA5283" w:rsidP="00E35670">
            <w:r>
              <w:t>Severely reduced CFC</w:t>
            </w:r>
          </w:p>
        </w:tc>
        <w:tc>
          <w:tcPr>
            <w:tcW w:w="1015" w:type="dxa"/>
          </w:tcPr>
          <w:p w:rsidR="00AA5283" w:rsidRDefault="00AA5283" w:rsidP="003E3442">
            <w:pPr>
              <w:jc w:val="center"/>
            </w:pPr>
            <w:r>
              <w:t>0.77</w:t>
            </w:r>
          </w:p>
        </w:tc>
        <w:tc>
          <w:tcPr>
            <w:tcW w:w="1170" w:type="dxa"/>
          </w:tcPr>
          <w:p w:rsidR="00AA5283" w:rsidRDefault="00AA5283" w:rsidP="003E3442">
            <w:pPr>
              <w:jc w:val="center"/>
            </w:pPr>
            <w:r>
              <w:t>&lt;0.001</w:t>
            </w:r>
          </w:p>
        </w:tc>
        <w:tc>
          <w:tcPr>
            <w:tcW w:w="1305" w:type="dxa"/>
          </w:tcPr>
          <w:p w:rsidR="00AA5283" w:rsidRDefault="00AA5283" w:rsidP="003E3442">
            <w:pPr>
              <w:jc w:val="center"/>
            </w:pPr>
            <w:r>
              <w:t>0.948</w:t>
            </w:r>
          </w:p>
        </w:tc>
        <w:tc>
          <w:tcPr>
            <w:tcW w:w="1305" w:type="dxa"/>
          </w:tcPr>
          <w:p w:rsidR="00AA5283" w:rsidRDefault="00AA5283" w:rsidP="003E3442">
            <w:pPr>
              <w:jc w:val="center"/>
            </w:pPr>
            <w:r>
              <w:t>0.004</w:t>
            </w:r>
          </w:p>
        </w:tc>
      </w:tr>
      <w:tr w:rsidR="00AA5283" w:rsidTr="00AA5283">
        <w:tc>
          <w:tcPr>
            <w:tcW w:w="2405" w:type="dxa"/>
          </w:tcPr>
          <w:p w:rsidR="00AA5283" w:rsidRDefault="00AA5283" w:rsidP="00E35670">
            <w:r>
              <w:t>Baseline sMBF</w:t>
            </w:r>
          </w:p>
        </w:tc>
        <w:tc>
          <w:tcPr>
            <w:tcW w:w="1015" w:type="dxa"/>
          </w:tcPr>
          <w:p w:rsidR="00AA5283" w:rsidRDefault="00AA5283" w:rsidP="003E3442">
            <w:pPr>
              <w:jc w:val="center"/>
            </w:pPr>
            <w:r>
              <w:t>-32.66</w:t>
            </w:r>
          </w:p>
        </w:tc>
        <w:tc>
          <w:tcPr>
            <w:tcW w:w="1170" w:type="dxa"/>
          </w:tcPr>
          <w:p w:rsidR="00AA5283" w:rsidRDefault="00AA5283" w:rsidP="003E3442">
            <w:pPr>
              <w:jc w:val="center"/>
            </w:pPr>
            <w:r>
              <w:t>0.01</w:t>
            </w:r>
          </w:p>
        </w:tc>
        <w:tc>
          <w:tcPr>
            <w:tcW w:w="1305" w:type="dxa"/>
          </w:tcPr>
          <w:p w:rsidR="00AA5283" w:rsidRDefault="00AA5283" w:rsidP="003E3442">
            <w:pPr>
              <w:jc w:val="center"/>
            </w:pPr>
            <w:r>
              <w:t>24.15</w:t>
            </w:r>
          </w:p>
        </w:tc>
        <w:tc>
          <w:tcPr>
            <w:tcW w:w="1305" w:type="dxa"/>
          </w:tcPr>
          <w:p w:rsidR="00AA5283" w:rsidRDefault="00AA5283" w:rsidP="003E3442">
            <w:pPr>
              <w:jc w:val="center"/>
            </w:pPr>
            <w:r>
              <w:t>0.221</w:t>
            </w:r>
          </w:p>
        </w:tc>
      </w:tr>
      <w:tr w:rsidR="00AA5283" w:rsidTr="00AA5283">
        <w:tc>
          <w:tcPr>
            <w:tcW w:w="2405" w:type="dxa"/>
          </w:tcPr>
          <w:p w:rsidR="00AA5283" w:rsidRDefault="00AA5283" w:rsidP="00E35670">
            <w:r>
              <w:t>Baseline CFR</w:t>
            </w:r>
          </w:p>
        </w:tc>
        <w:tc>
          <w:tcPr>
            <w:tcW w:w="1015" w:type="dxa"/>
          </w:tcPr>
          <w:p w:rsidR="00AA5283" w:rsidRDefault="00AA5283" w:rsidP="003E3442">
            <w:pPr>
              <w:jc w:val="center"/>
            </w:pPr>
            <w:r>
              <w:t>-31.21</w:t>
            </w:r>
          </w:p>
        </w:tc>
        <w:tc>
          <w:tcPr>
            <w:tcW w:w="1170" w:type="dxa"/>
          </w:tcPr>
          <w:p w:rsidR="00AA5283" w:rsidRDefault="00AA5283" w:rsidP="003E3442">
            <w:pPr>
              <w:jc w:val="center"/>
            </w:pPr>
            <w:r>
              <w:t>0.007</w:t>
            </w:r>
          </w:p>
        </w:tc>
        <w:tc>
          <w:tcPr>
            <w:tcW w:w="1305" w:type="dxa"/>
          </w:tcPr>
          <w:p w:rsidR="00AA5283" w:rsidRDefault="00AA5283" w:rsidP="003E3442">
            <w:pPr>
              <w:jc w:val="center"/>
            </w:pPr>
            <w:r>
              <w:t>-16.84</w:t>
            </w:r>
          </w:p>
        </w:tc>
        <w:tc>
          <w:tcPr>
            <w:tcW w:w="1305" w:type="dxa"/>
          </w:tcPr>
          <w:p w:rsidR="00AA5283" w:rsidRDefault="00AA5283" w:rsidP="003E3442">
            <w:pPr>
              <w:jc w:val="center"/>
            </w:pPr>
            <w:r>
              <w:t>0.162</w:t>
            </w:r>
          </w:p>
        </w:tc>
      </w:tr>
    </w:tbl>
    <w:p w:rsidR="00923C7D" w:rsidRPr="00B12B8E" w:rsidRDefault="00923C7D" w:rsidP="00923C7D">
      <w:pPr>
        <w:ind w:left="-810"/>
        <w:rPr>
          <w:rFonts w:ascii="Times New Roman" w:hAnsi="Times New Roman" w:cs="Times New Roman"/>
          <w:sz w:val="20"/>
          <w:szCs w:val="20"/>
        </w:rPr>
      </w:pPr>
      <w:r w:rsidRPr="00B12B8E">
        <w:rPr>
          <w:rFonts w:ascii="Times New Roman" w:hAnsi="Times New Roman" w:cs="Times New Roman"/>
          <w:sz w:val="20"/>
          <w:szCs w:val="20"/>
        </w:rPr>
        <w:t>CFC, coronary flow capacity</w:t>
      </w:r>
      <w:r>
        <w:rPr>
          <w:rFonts w:ascii="Times New Roman" w:hAnsi="Times New Roman" w:cs="Times New Roman"/>
          <w:sz w:val="20"/>
          <w:szCs w:val="20"/>
        </w:rPr>
        <w:t>; sMBF, stress myocardial blood flow; CFR, coronary flow reserve</w:t>
      </w:r>
    </w:p>
    <w:p w:rsidR="0045386E" w:rsidRDefault="0045386E" w:rsidP="0045386E">
      <w:pPr>
        <w:ind w:left="-810"/>
      </w:pPr>
    </w:p>
    <w:p w:rsidR="00AA5283" w:rsidRDefault="00AA5283" w:rsidP="00AA5283">
      <w:pPr>
        <w:ind w:left="-720"/>
      </w:pPr>
      <w:r>
        <w:t>Supplemental Table 5</w:t>
      </w:r>
    </w:p>
    <w:p w:rsidR="007F1AFC" w:rsidRDefault="00AA5283" w:rsidP="00AA5283">
      <w:pPr>
        <w:ind w:left="-720"/>
      </w:pPr>
      <w:r>
        <w:t>Regression Analysis to Determine Which PET Flow Metric Predicts Improvement &gt;20% in sMBF After Revascularization</w:t>
      </w:r>
    </w:p>
    <w:tbl>
      <w:tblPr>
        <w:tblStyle w:val="TableGrid"/>
        <w:tblW w:w="0" w:type="auto"/>
        <w:tblInd w:w="-810" w:type="dxa"/>
        <w:tblLook w:val="04A0"/>
      </w:tblPr>
      <w:tblGrid>
        <w:gridCol w:w="3116"/>
        <w:gridCol w:w="1558"/>
        <w:gridCol w:w="1559"/>
        <w:gridCol w:w="1558"/>
        <w:gridCol w:w="1559"/>
      </w:tblGrid>
      <w:tr w:rsidR="007F1AFC" w:rsidTr="007F1AFC">
        <w:tc>
          <w:tcPr>
            <w:tcW w:w="3116" w:type="dxa"/>
            <w:shd w:val="clear" w:color="auto" w:fill="D0CECE" w:themeFill="background2" w:themeFillShade="E6"/>
          </w:tcPr>
          <w:p w:rsidR="007F1AFC" w:rsidRDefault="007F1AFC" w:rsidP="0045386E"/>
        </w:tc>
        <w:tc>
          <w:tcPr>
            <w:tcW w:w="3117" w:type="dxa"/>
            <w:gridSpan w:val="2"/>
            <w:shd w:val="clear" w:color="auto" w:fill="D0CECE" w:themeFill="background2" w:themeFillShade="E6"/>
          </w:tcPr>
          <w:p w:rsidR="007F1AFC" w:rsidRDefault="007F1AFC" w:rsidP="007F1AFC">
            <w:pPr>
              <w:jc w:val="center"/>
            </w:pPr>
            <w:r>
              <w:t>Univariable analysis</w:t>
            </w:r>
          </w:p>
        </w:tc>
        <w:tc>
          <w:tcPr>
            <w:tcW w:w="3117" w:type="dxa"/>
            <w:gridSpan w:val="2"/>
            <w:shd w:val="clear" w:color="auto" w:fill="D0CECE" w:themeFill="background2" w:themeFillShade="E6"/>
          </w:tcPr>
          <w:p w:rsidR="007F1AFC" w:rsidRDefault="007F1AFC" w:rsidP="007F1AFC">
            <w:pPr>
              <w:jc w:val="center"/>
            </w:pPr>
            <w:r>
              <w:t>Multivaria</w:t>
            </w:r>
            <w:r w:rsidR="00205951">
              <w:t>ble</w:t>
            </w:r>
            <w:r>
              <w:t xml:space="preserve"> Analysis </w:t>
            </w:r>
          </w:p>
        </w:tc>
      </w:tr>
      <w:tr w:rsidR="007F1AFC" w:rsidTr="00191387">
        <w:tc>
          <w:tcPr>
            <w:tcW w:w="3116" w:type="dxa"/>
          </w:tcPr>
          <w:p w:rsidR="007F1AFC" w:rsidRDefault="007F1AFC" w:rsidP="007F1AFC">
            <w:r>
              <w:t xml:space="preserve">PET Metric </w:t>
            </w:r>
          </w:p>
        </w:tc>
        <w:tc>
          <w:tcPr>
            <w:tcW w:w="1558" w:type="dxa"/>
          </w:tcPr>
          <w:p w:rsidR="007F1AFC" w:rsidRDefault="007F1AFC" w:rsidP="007F1AFC">
            <w:pPr>
              <w:jc w:val="center"/>
            </w:pPr>
            <w:r w:rsidRPr="00B12B8E">
              <w:rPr>
                <w:rFonts w:ascii="Times New Roman" w:hAnsi="Times New Roman" w:cs="Times New Roman"/>
                <w:sz w:val="20"/>
                <w:szCs w:val="20"/>
              </w:rPr>
              <w:t>β</w:t>
            </w:r>
          </w:p>
        </w:tc>
        <w:tc>
          <w:tcPr>
            <w:tcW w:w="1559" w:type="dxa"/>
          </w:tcPr>
          <w:p w:rsidR="007F1AFC" w:rsidRDefault="007F1AFC" w:rsidP="007F1AFC">
            <w:pPr>
              <w:jc w:val="center"/>
            </w:pPr>
            <w:r w:rsidRPr="00B12B8E">
              <w:rPr>
                <w:rFonts w:ascii="Times New Roman" w:hAnsi="Times New Roman" w:cs="Times New Roman"/>
                <w:sz w:val="20"/>
                <w:szCs w:val="20"/>
              </w:rPr>
              <w:t>P Value</w:t>
            </w:r>
          </w:p>
        </w:tc>
        <w:tc>
          <w:tcPr>
            <w:tcW w:w="1558" w:type="dxa"/>
          </w:tcPr>
          <w:p w:rsidR="007F1AFC" w:rsidRDefault="007F1AFC" w:rsidP="007F1AFC">
            <w:pPr>
              <w:jc w:val="center"/>
            </w:pPr>
            <w:r w:rsidRPr="00B12B8E">
              <w:rPr>
                <w:rFonts w:ascii="Times New Roman" w:hAnsi="Times New Roman" w:cs="Times New Roman"/>
                <w:sz w:val="20"/>
                <w:szCs w:val="20"/>
              </w:rPr>
              <w:t>β</w:t>
            </w:r>
          </w:p>
        </w:tc>
        <w:tc>
          <w:tcPr>
            <w:tcW w:w="1559" w:type="dxa"/>
          </w:tcPr>
          <w:p w:rsidR="007F1AFC" w:rsidRDefault="007F1AFC" w:rsidP="007F1AFC">
            <w:pPr>
              <w:jc w:val="center"/>
            </w:pPr>
            <w:r w:rsidRPr="00B12B8E">
              <w:rPr>
                <w:rFonts w:ascii="Times New Roman" w:hAnsi="Times New Roman" w:cs="Times New Roman"/>
                <w:sz w:val="20"/>
                <w:szCs w:val="20"/>
              </w:rPr>
              <w:t>P Value</w:t>
            </w:r>
          </w:p>
        </w:tc>
      </w:tr>
      <w:tr w:rsidR="007F1AFC" w:rsidTr="00160B4A">
        <w:tc>
          <w:tcPr>
            <w:tcW w:w="3116" w:type="dxa"/>
          </w:tcPr>
          <w:p w:rsidR="007F1AFC" w:rsidRDefault="007F1AFC" w:rsidP="007F1AFC">
            <w:r>
              <w:t>Severely reduced CFC</w:t>
            </w:r>
          </w:p>
        </w:tc>
        <w:tc>
          <w:tcPr>
            <w:tcW w:w="1558" w:type="dxa"/>
          </w:tcPr>
          <w:p w:rsidR="007F1AFC" w:rsidRDefault="00AA5283" w:rsidP="007F1AFC">
            <w:pPr>
              <w:jc w:val="center"/>
            </w:pPr>
            <w:r>
              <w:t>0.0</w:t>
            </w:r>
            <w:r w:rsidR="00205951">
              <w:t>10</w:t>
            </w:r>
          </w:p>
        </w:tc>
        <w:tc>
          <w:tcPr>
            <w:tcW w:w="1559" w:type="dxa"/>
          </w:tcPr>
          <w:p w:rsidR="007F1AFC" w:rsidRDefault="00AA5283" w:rsidP="007F1AFC">
            <w:pPr>
              <w:jc w:val="center"/>
            </w:pPr>
            <w:r>
              <w:t>0.00</w:t>
            </w:r>
            <w:r w:rsidR="00205951">
              <w:t>1</w:t>
            </w:r>
          </w:p>
        </w:tc>
        <w:tc>
          <w:tcPr>
            <w:tcW w:w="1558" w:type="dxa"/>
          </w:tcPr>
          <w:p w:rsidR="007F1AFC" w:rsidRDefault="00AA5283" w:rsidP="007F1AFC">
            <w:pPr>
              <w:jc w:val="center"/>
            </w:pPr>
            <w:r>
              <w:t>0.0</w:t>
            </w:r>
            <w:r w:rsidR="00205951">
              <w:t>15</w:t>
            </w:r>
          </w:p>
        </w:tc>
        <w:tc>
          <w:tcPr>
            <w:tcW w:w="1559" w:type="dxa"/>
          </w:tcPr>
          <w:p w:rsidR="007F1AFC" w:rsidRDefault="00205951" w:rsidP="007F1AFC">
            <w:pPr>
              <w:jc w:val="center"/>
            </w:pPr>
            <w:r>
              <w:t>0.004</w:t>
            </w:r>
          </w:p>
        </w:tc>
      </w:tr>
      <w:tr w:rsidR="007F1AFC" w:rsidTr="00366ECB">
        <w:tc>
          <w:tcPr>
            <w:tcW w:w="3116" w:type="dxa"/>
          </w:tcPr>
          <w:p w:rsidR="007F1AFC" w:rsidRDefault="007F1AFC" w:rsidP="007F1AFC">
            <w:r>
              <w:t>Baseline sMBF</w:t>
            </w:r>
          </w:p>
        </w:tc>
        <w:tc>
          <w:tcPr>
            <w:tcW w:w="1558" w:type="dxa"/>
          </w:tcPr>
          <w:p w:rsidR="007F1AFC" w:rsidRDefault="00AA5283" w:rsidP="007F1AFC">
            <w:pPr>
              <w:jc w:val="center"/>
            </w:pPr>
            <w:r>
              <w:t>-</w:t>
            </w:r>
            <w:r w:rsidR="00205951">
              <w:t>0.348</w:t>
            </w:r>
          </w:p>
        </w:tc>
        <w:tc>
          <w:tcPr>
            <w:tcW w:w="1559" w:type="dxa"/>
          </w:tcPr>
          <w:p w:rsidR="007F1AFC" w:rsidRDefault="00AA5283" w:rsidP="007F1AFC">
            <w:pPr>
              <w:jc w:val="center"/>
            </w:pPr>
            <w:r>
              <w:t>0.0</w:t>
            </w:r>
            <w:r w:rsidR="00205951">
              <w:t>63</w:t>
            </w:r>
          </w:p>
        </w:tc>
        <w:tc>
          <w:tcPr>
            <w:tcW w:w="1558" w:type="dxa"/>
          </w:tcPr>
          <w:p w:rsidR="007F1AFC" w:rsidRDefault="00205951" w:rsidP="007F1AFC">
            <w:pPr>
              <w:jc w:val="center"/>
            </w:pPr>
            <w:r>
              <w:t>0.428</w:t>
            </w:r>
          </w:p>
        </w:tc>
        <w:tc>
          <w:tcPr>
            <w:tcW w:w="1559" w:type="dxa"/>
          </w:tcPr>
          <w:p w:rsidR="007F1AFC" w:rsidRDefault="00AA5283" w:rsidP="007F1AFC">
            <w:pPr>
              <w:jc w:val="center"/>
            </w:pPr>
            <w:r>
              <w:t>0.1</w:t>
            </w:r>
            <w:r w:rsidR="00205951">
              <w:t>61</w:t>
            </w:r>
          </w:p>
        </w:tc>
      </w:tr>
      <w:tr w:rsidR="007F1AFC" w:rsidTr="00DD3F2C">
        <w:tc>
          <w:tcPr>
            <w:tcW w:w="3116" w:type="dxa"/>
          </w:tcPr>
          <w:p w:rsidR="007F1AFC" w:rsidRDefault="007F1AFC" w:rsidP="007F1AFC">
            <w:r>
              <w:t>Baseline CFR</w:t>
            </w:r>
          </w:p>
        </w:tc>
        <w:tc>
          <w:tcPr>
            <w:tcW w:w="1558" w:type="dxa"/>
          </w:tcPr>
          <w:p w:rsidR="007F1AFC" w:rsidRDefault="00AA5283" w:rsidP="007F1AFC">
            <w:pPr>
              <w:jc w:val="center"/>
            </w:pPr>
            <w:r>
              <w:t>-</w:t>
            </w:r>
            <w:r w:rsidR="00205951">
              <w:t>0.268</w:t>
            </w:r>
          </w:p>
        </w:tc>
        <w:tc>
          <w:tcPr>
            <w:tcW w:w="1559" w:type="dxa"/>
          </w:tcPr>
          <w:p w:rsidR="007F1AFC" w:rsidRDefault="00AA5283" w:rsidP="007F1AFC">
            <w:pPr>
              <w:jc w:val="center"/>
            </w:pPr>
            <w:r>
              <w:t>0.1</w:t>
            </w:r>
            <w:r w:rsidR="00205951">
              <w:t>2</w:t>
            </w:r>
            <w:r>
              <w:t>3</w:t>
            </w:r>
          </w:p>
        </w:tc>
        <w:tc>
          <w:tcPr>
            <w:tcW w:w="1558" w:type="dxa"/>
          </w:tcPr>
          <w:p w:rsidR="007F1AFC" w:rsidRDefault="00AA5283" w:rsidP="007F1AFC">
            <w:pPr>
              <w:jc w:val="center"/>
            </w:pPr>
            <w:r>
              <w:t>-0.</w:t>
            </w:r>
            <w:r w:rsidR="00205951">
              <w:t>069</w:t>
            </w:r>
          </w:p>
        </w:tc>
        <w:tc>
          <w:tcPr>
            <w:tcW w:w="1559" w:type="dxa"/>
          </w:tcPr>
          <w:p w:rsidR="007F1AFC" w:rsidRDefault="00AA5283" w:rsidP="007F1AFC">
            <w:pPr>
              <w:jc w:val="center"/>
            </w:pPr>
            <w:r>
              <w:t>0.</w:t>
            </w:r>
            <w:r w:rsidR="00205951">
              <w:t>706</w:t>
            </w:r>
          </w:p>
        </w:tc>
      </w:tr>
    </w:tbl>
    <w:p w:rsidR="007F1AFC" w:rsidRPr="00923C7D" w:rsidRDefault="00923C7D" w:rsidP="00923C7D">
      <w:pPr>
        <w:ind w:left="-810"/>
        <w:rPr>
          <w:rFonts w:ascii="Times New Roman" w:hAnsi="Times New Roman" w:cs="Times New Roman"/>
          <w:sz w:val="20"/>
          <w:szCs w:val="20"/>
        </w:rPr>
      </w:pPr>
      <w:r w:rsidRPr="00B12B8E">
        <w:rPr>
          <w:rFonts w:ascii="Times New Roman" w:hAnsi="Times New Roman" w:cs="Times New Roman"/>
          <w:sz w:val="20"/>
          <w:szCs w:val="20"/>
        </w:rPr>
        <w:t>CFC, coronary flow capacity</w:t>
      </w:r>
      <w:r>
        <w:rPr>
          <w:rFonts w:ascii="Times New Roman" w:hAnsi="Times New Roman" w:cs="Times New Roman"/>
          <w:sz w:val="20"/>
          <w:szCs w:val="20"/>
        </w:rPr>
        <w:t>; sMBF, stress myocardial blood flow; CFR, coronary flow reserve</w:t>
      </w:r>
      <w:bookmarkStart w:id="0" w:name="_GoBack"/>
      <w:bookmarkEnd w:id="0"/>
    </w:p>
    <w:sectPr w:rsidR="007F1AFC" w:rsidRPr="00923C7D" w:rsidSect="00256D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docVars>
    <w:docVar w:name="Total_Editing_Time" w:val="32"/>
  </w:docVars>
  <w:rsids>
    <w:rsidRoot w:val="00DB5EB2"/>
    <w:rsid w:val="000E1AB1"/>
    <w:rsid w:val="00132C97"/>
    <w:rsid w:val="001463BC"/>
    <w:rsid w:val="00205951"/>
    <w:rsid w:val="00256DC5"/>
    <w:rsid w:val="003A5165"/>
    <w:rsid w:val="003B1CA9"/>
    <w:rsid w:val="003E3442"/>
    <w:rsid w:val="003F38F6"/>
    <w:rsid w:val="0040024B"/>
    <w:rsid w:val="004315C7"/>
    <w:rsid w:val="0045386E"/>
    <w:rsid w:val="00655CFB"/>
    <w:rsid w:val="00691E2E"/>
    <w:rsid w:val="007F1AFC"/>
    <w:rsid w:val="00800076"/>
    <w:rsid w:val="008473A0"/>
    <w:rsid w:val="00923C7D"/>
    <w:rsid w:val="009B592C"/>
    <w:rsid w:val="00AA5283"/>
    <w:rsid w:val="00AD770B"/>
    <w:rsid w:val="00BB6A77"/>
    <w:rsid w:val="00BF1A2B"/>
    <w:rsid w:val="00DB5EB2"/>
    <w:rsid w:val="00DD1580"/>
    <w:rsid w:val="00F77A7E"/>
    <w:rsid w:val="00FC47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1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3A0"/>
    <w:rPr>
      <w:color w:val="0563C1" w:themeColor="hyperlink"/>
      <w:u w:val="single"/>
    </w:rPr>
  </w:style>
  <w:style w:type="table" w:styleId="TableGrid">
    <w:name w:val="Table Grid"/>
    <w:basedOn w:val="TableNormal"/>
    <w:uiPriority w:val="39"/>
    <w:rsid w:val="00F7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024B"/>
    <w:rPr>
      <w:rFonts w:ascii="Tahoma" w:hAnsi="Tahoma" w:cs="Tahoma"/>
      <w:sz w:val="16"/>
      <w:szCs w:val="16"/>
    </w:rPr>
  </w:style>
  <w:style w:type="character" w:customStyle="1" w:styleId="BalloonTextChar">
    <w:name w:val="Balloon Text Char"/>
    <w:basedOn w:val="DefaultParagraphFont"/>
    <w:link w:val="BalloonText"/>
    <w:uiPriority w:val="99"/>
    <w:semiHidden/>
    <w:rsid w:val="00400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rbober@ochsn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894</Words>
  <Characters>5248</Characters>
  <Application>Microsoft Office Word</Application>
  <DocSecurity>0</DocSecurity>
  <Lines>477</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LSARABIA</cp:lastModifiedBy>
  <cp:revision>16</cp:revision>
  <dcterms:created xsi:type="dcterms:W3CDTF">2018-11-26T18:52:00Z</dcterms:created>
  <dcterms:modified xsi:type="dcterms:W3CDTF">2019-01-26T21:49:00Z</dcterms:modified>
</cp:coreProperties>
</file>