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53"/>
        <w:gridCol w:w="2116"/>
        <w:gridCol w:w="2693"/>
        <w:gridCol w:w="1236"/>
      </w:tblGrid>
      <w:tr w:rsidR="00370F7D" w:rsidRPr="00D75A45" w14:paraId="5C8EC907" w14:textId="77777777" w:rsidTr="005A7C56">
        <w:trPr>
          <w:trHeight w:val="375"/>
        </w:trPr>
        <w:tc>
          <w:tcPr>
            <w:tcW w:w="9282" w:type="dxa"/>
            <w:gridSpan w:val="5"/>
            <w:tcBorders>
              <w:bottom w:val="single" w:sz="4" w:space="0" w:color="auto"/>
            </w:tcBorders>
            <w:vAlign w:val="bottom"/>
          </w:tcPr>
          <w:p w14:paraId="406ACEDD" w14:textId="77777777" w:rsidR="00370F7D" w:rsidRPr="00D75A45" w:rsidRDefault="00370F7D" w:rsidP="00370F7D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u w:val="single"/>
                <w:lang w:val="en-GB" w:eastAsia="nl-NL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Supplementary table 1</w:t>
            </w: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Mean and maximum arterial SUVs per territory</w:t>
            </w:r>
          </w:p>
        </w:tc>
      </w:tr>
      <w:tr w:rsidR="00370F7D" w:rsidRPr="00D75A45" w14:paraId="25A86F12" w14:textId="77777777" w:rsidTr="00A22742">
        <w:trPr>
          <w:trHeight w:val="398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6CC2FC17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/>
              </w:rPr>
            </w:pPr>
          </w:p>
        </w:tc>
        <w:tc>
          <w:tcPr>
            <w:tcW w:w="18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DE370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/>
              </w:rPr>
            </w:pP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1AF483" w14:textId="77777777" w:rsidR="00370F7D" w:rsidRPr="00D75A45" w:rsidRDefault="00370F7D" w:rsidP="00A22742">
            <w:pPr>
              <w:spacing w:line="480" w:lineRule="auto"/>
              <w:jc w:val="left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Hypothyroidism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3219A" w14:textId="77777777" w:rsidR="00370F7D" w:rsidRPr="00D75A45" w:rsidRDefault="00370F7D" w:rsidP="00A22742">
            <w:pPr>
              <w:spacing w:line="480" w:lineRule="auto"/>
              <w:jc w:val="left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TSH suppres</w:t>
            </w:r>
            <w:bookmarkStart w:id="0" w:name="_GoBack"/>
            <w:bookmarkEnd w:id="0"/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sion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CCECE2" w14:textId="77777777" w:rsidR="00370F7D" w:rsidRPr="00D75A45" w:rsidRDefault="00370F7D" w:rsidP="00A22742">
            <w:pPr>
              <w:spacing w:line="480" w:lineRule="auto"/>
              <w:jc w:val="left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P-value</w:t>
            </w:r>
          </w:p>
        </w:tc>
      </w:tr>
      <w:tr w:rsidR="00370F7D" w:rsidRPr="00D75A45" w14:paraId="2DB0CAA2" w14:textId="77777777" w:rsidTr="005A7C56">
        <w:trPr>
          <w:trHeight w:val="375"/>
        </w:trPr>
        <w:tc>
          <w:tcPr>
            <w:tcW w:w="1384" w:type="dxa"/>
            <w:vMerge w:val="restart"/>
            <w:tcBorders>
              <w:top w:val="single" w:sz="4" w:space="0" w:color="auto"/>
            </w:tcBorders>
          </w:tcPr>
          <w:p w14:paraId="49B9DEA1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vertAlign w:val="superscript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Carotids</w:t>
            </w:r>
            <w:r w:rsidRPr="00D75A45">
              <w:rPr>
                <w:rFonts w:cs="Arial"/>
                <w:b/>
                <w:color w:val="000000" w:themeColor="text1"/>
                <w:sz w:val="20"/>
                <w:vertAlign w:val="superscript"/>
                <w:lang w:val="en-GB"/>
              </w:rPr>
              <w:t xml:space="preserve"> a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14:paraId="7A9E9F33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vertAlign w:val="superscript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mean 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14:paraId="324E6A21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1.9 (0.4)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054A3E8C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1.6 (0.3)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0C4E2A13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0.116</w:t>
            </w:r>
          </w:p>
        </w:tc>
      </w:tr>
      <w:tr w:rsidR="00370F7D" w:rsidRPr="00D75A45" w14:paraId="4769C833" w14:textId="77777777" w:rsidTr="005A7C56">
        <w:trPr>
          <w:trHeight w:val="455"/>
        </w:trPr>
        <w:tc>
          <w:tcPr>
            <w:tcW w:w="1384" w:type="dxa"/>
            <w:vMerge/>
          </w:tcPr>
          <w:p w14:paraId="725A7760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 w:eastAsia="nl-NL"/>
              </w:rPr>
            </w:pPr>
          </w:p>
        </w:tc>
        <w:tc>
          <w:tcPr>
            <w:tcW w:w="1853" w:type="dxa"/>
            <w:vAlign w:val="center"/>
          </w:tcPr>
          <w:p w14:paraId="13A28581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max </w:t>
            </w:r>
          </w:p>
        </w:tc>
        <w:tc>
          <w:tcPr>
            <w:tcW w:w="2116" w:type="dxa"/>
            <w:vAlign w:val="center"/>
          </w:tcPr>
          <w:p w14:paraId="5CE8616E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2.3 (0.5)</w:t>
            </w:r>
          </w:p>
        </w:tc>
        <w:tc>
          <w:tcPr>
            <w:tcW w:w="2693" w:type="dxa"/>
            <w:vAlign w:val="center"/>
          </w:tcPr>
          <w:p w14:paraId="59EEA24F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2.1 (0.4)</w:t>
            </w:r>
          </w:p>
        </w:tc>
        <w:tc>
          <w:tcPr>
            <w:tcW w:w="1236" w:type="dxa"/>
            <w:vAlign w:val="center"/>
          </w:tcPr>
          <w:p w14:paraId="32D59960" w14:textId="77777777" w:rsidR="00370F7D" w:rsidRPr="00D75A45" w:rsidRDefault="00370F7D" w:rsidP="005A7C56">
            <w:pPr>
              <w:tabs>
                <w:tab w:val="clear" w:pos="284"/>
                <w:tab w:val="clear" w:pos="1701"/>
              </w:tabs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0.115</w:t>
            </w:r>
          </w:p>
        </w:tc>
      </w:tr>
      <w:tr w:rsidR="00370F7D" w:rsidRPr="00D75A45" w14:paraId="5854DF93" w14:textId="77777777" w:rsidTr="005A7C56">
        <w:trPr>
          <w:trHeight w:val="419"/>
        </w:trPr>
        <w:tc>
          <w:tcPr>
            <w:tcW w:w="1384" w:type="dxa"/>
            <w:vMerge w:val="restart"/>
            <w:tcBorders>
              <w:top w:val="single" w:sz="4" w:space="0" w:color="auto"/>
            </w:tcBorders>
          </w:tcPr>
          <w:p w14:paraId="40321B94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Ascending aorta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14:paraId="5D58C871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mean 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14:paraId="320E826D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2.1 (0.4)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71AE4E3C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1.6 (0.2)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46FC4E4E" w14:textId="77777777" w:rsidR="00370F7D" w:rsidRPr="00FE0406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FE0406">
              <w:rPr>
                <w:rFonts w:cs="Arial"/>
                <w:b/>
                <w:color w:val="000000" w:themeColor="text1"/>
                <w:sz w:val="20"/>
                <w:lang w:val="en-GB"/>
              </w:rPr>
              <w:t>0.013</w:t>
            </w:r>
          </w:p>
        </w:tc>
      </w:tr>
      <w:tr w:rsidR="00370F7D" w:rsidRPr="00D75A45" w14:paraId="3CFC7B68" w14:textId="77777777" w:rsidTr="005A7C56">
        <w:trPr>
          <w:trHeight w:val="419"/>
        </w:trPr>
        <w:tc>
          <w:tcPr>
            <w:tcW w:w="1384" w:type="dxa"/>
            <w:vMerge/>
          </w:tcPr>
          <w:p w14:paraId="4B11F10E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</w:p>
        </w:tc>
        <w:tc>
          <w:tcPr>
            <w:tcW w:w="1853" w:type="dxa"/>
            <w:vAlign w:val="center"/>
          </w:tcPr>
          <w:p w14:paraId="0A597A16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max </w:t>
            </w:r>
          </w:p>
        </w:tc>
        <w:tc>
          <w:tcPr>
            <w:tcW w:w="2116" w:type="dxa"/>
            <w:vAlign w:val="center"/>
          </w:tcPr>
          <w:p w14:paraId="25AD42DC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2.9 (0.4)</w:t>
            </w:r>
          </w:p>
        </w:tc>
        <w:tc>
          <w:tcPr>
            <w:tcW w:w="2693" w:type="dxa"/>
            <w:vAlign w:val="center"/>
          </w:tcPr>
          <w:p w14:paraId="02EAB37D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2.2 (0.3)</w:t>
            </w:r>
          </w:p>
        </w:tc>
        <w:tc>
          <w:tcPr>
            <w:tcW w:w="1236" w:type="dxa"/>
            <w:vAlign w:val="center"/>
          </w:tcPr>
          <w:p w14:paraId="00F4736B" w14:textId="77777777" w:rsidR="00370F7D" w:rsidRPr="00FE0406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FE0406">
              <w:rPr>
                <w:rFonts w:cs="Arial"/>
                <w:b/>
                <w:color w:val="000000" w:themeColor="text1"/>
                <w:sz w:val="20"/>
                <w:lang w:val="en-GB"/>
              </w:rPr>
              <w:t>0.011</w:t>
            </w:r>
          </w:p>
        </w:tc>
      </w:tr>
      <w:tr w:rsidR="00370F7D" w:rsidRPr="00D75A45" w14:paraId="749693D2" w14:textId="77777777" w:rsidTr="005A7C56">
        <w:trPr>
          <w:trHeight w:val="375"/>
        </w:trPr>
        <w:tc>
          <w:tcPr>
            <w:tcW w:w="1384" w:type="dxa"/>
            <w:vMerge w:val="restart"/>
            <w:tcBorders>
              <w:top w:val="single" w:sz="4" w:space="0" w:color="auto"/>
            </w:tcBorders>
          </w:tcPr>
          <w:p w14:paraId="3D1723B6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Aortic arch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14:paraId="3BC1C92C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mean 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14:paraId="144F5E7A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1.9 (0.4)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3E8185B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1.7 (0.3)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39FB3114" w14:textId="77777777" w:rsidR="00370F7D" w:rsidRPr="00FE0406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FE0406">
              <w:rPr>
                <w:rFonts w:cs="Arial"/>
                <w:b/>
                <w:color w:val="000000" w:themeColor="text1"/>
                <w:sz w:val="20"/>
                <w:lang w:val="en-GB"/>
              </w:rPr>
              <w:t>0.035</w:t>
            </w:r>
          </w:p>
        </w:tc>
      </w:tr>
      <w:tr w:rsidR="00370F7D" w:rsidRPr="00D75A45" w14:paraId="5F8D8DB6" w14:textId="77777777" w:rsidTr="005A7C56">
        <w:trPr>
          <w:trHeight w:val="375"/>
        </w:trPr>
        <w:tc>
          <w:tcPr>
            <w:tcW w:w="1384" w:type="dxa"/>
            <w:vMerge/>
          </w:tcPr>
          <w:p w14:paraId="4FB1CB09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 w:eastAsia="nl-NL"/>
              </w:rPr>
            </w:pPr>
          </w:p>
        </w:tc>
        <w:tc>
          <w:tcPr>
            <w:tcW w:w="1853" w:type="dxa"/>
            <w:vAlign w:val="center"/>
          </w:tcPr>
          <w:p w14:paraId="72C6F9E6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max </w:t>
            </w:r>
          </w:p>
        </w:tc>
        <w:tc>
          <w:tcPr>
            <w:tcW w:w="2116" w:type="dxa"/>
            <w:vAlign w:val="center"/>
          </w:tcPr>
          <w:p w14:paraId="566DE065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2.8 (0.5)</w:t>
            </w:r>
          </w:p>
        </w:tc>
        <w:tc>
          <w:tcPr>
            <w:tcW w:w="2693" w:type="dxa"/>
            <w:vAlign w:val="center"/>
          </w:tcPr>
          <w:p w14:paraId="504655A3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2.5 (0.5)</w:t>
            </w:r>
          </w:p>
        </w:tc>
        <w:tc>
          <w:tcPr>
            <w:tcW w:w="1236" w:type="dxa"/>
            <w:vAlign w:val="center"/>
          </w:tcPr>
          <w:p w14:paraId="35502AFA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0.183</w:t>
            </w:r>
          </w:p>
        </w:tc>
      </w:tr>
      <w:tr w:rsidR="00370F7D" w:rsidRPr="00D75A45" w14:paraId="2A43208F" w14:textId="77777777" w:rsidTr="005A7C56">
        <w:trPr>
          <w:trHeight w:val="389"/>
        </w:trPr>
        <w:tc>
          <w:tcPr>
            <w:tcW w:w="1384" w:type="dxa"/>
            <w:vMerge w:val="restart"/>
            <w:tcBorders>
              <w:top w:val="single" w:sz="4" w:space="0" w:color="auto"/>
            </w:tcBorders>
          </w:tcPr>
          <w:p w14:paraId="5482779A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Thoracic aorta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14:paraId="2C332BC8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mean 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14:paraId="42237385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1.9 (0.2)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65138351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1.7 (0.3)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38A197A3" w14:textId="77777777" w:rsidR="00370F7D" w:rsidRPr="00FE0406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FE0406">
              <w:rPr>
                <w:rFonts w:cs="Arial"/>
                <w:b/>
                <w:color w:val="000000" w:themeColor="text1"/>
                <w:sz w:val="20"/>
                <w:lang w:val="en-GB"/>
              </w:rPr>
              <w:t>0.042</w:t>
            </w:r>
          </w:p>
        </w:tc>
      </w:tr>
      <w:tr w:rsidR="00370F7D" w:rsidRPr="00D75A45" w14:paraId="170008BB" w14:textId="77777777" w:rsidTr="005A7C56">
        <w:trPr>
          <w:trHeight w:val="389"/>
        </w:trPr>
        <w:tc>
          <w:tcPr>
            <w:tcW w:w="1384" w:type="dxa"/>
            <w:vMerge/>
          </w:tcPr>
          <w:p w14:paraId="6C44C758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 w:eastAsia="nl-NL"/>
              </w:rPr>
            </w:pPr>
          </w:p>
        </w:tc>
        <w:tc>
          <w:tcPr>
            <w:tcW w:w="1853" w:type="dxa"/>
            <w:vAlign w:val="center"/>
          </w:tcPr>
          <w:p w14:paraId="25A05A0E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max </w:t>
            </w:r>
          </w:p>
        </w:tc>
        <w:tc>
          <w:tcPr>
            <w:tcW w:w="2116" w:type="dxa"/>
            <w:vAlign w:val="center"/>
          </w:tcPr>
          <w:p w14:paraId="13AB91E5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2.6 (0.3)</w:t>
            </w:r>
          </w:p>
        </w:tc>
        <w:tc>
          <w:tcPr>
            <w:tcW w:w="2693" w:type="dxa"/>
            <w:vAlign w:val="center"/>
          </w:tcPr>
          <w:p w14:paraId="3808CA9E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2.4 (0.3)</w:t>
            </w:r>
          </w:p>
        </w:tc>
        <w:tc>
          <w:tcPr>
            <w:tcW w:w="1236" w:type="dxa"/>
            <w:vAlign w:val="center"/>
          </w:tcPr>
          <w:p w14:paraId="4451F3BA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0.160</w:t>
            </w:r>
          </w:p>
        </w:tc>
      </w:tr>
      <w:tr w:rsidR="00370F7D" w:rsidRPr="00D75A45" w14:paraId="2BBA7363" w14:textId="77777777" w:rsidTr="005A7C56">
        <w:trPr>
          <w:trHeight w:val="376"/>
        </w:trPr>
        <w:tc>
          <w:tcPr>
            <w:tcW w:w="1384" w:type="dxa"/>
            <w:vMerge w:val="restart"/>
            <w:tcBorders>
              <w:top w:val="single" w:sz="4" w:space="0" w:color="auto"/>
            </w:tcBorders>
          </w:tcPr>
          <w:p w14:paraId="775B9F75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Abdominal aorta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14:paraId="11014E2F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mean 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14:paraId="7A210C28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1.7 (0.3)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60DC4561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1.5 (0.3)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7D5E74F9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0.284</w:t>
            </w:r>
          </w:p>
        </w:tc>
      </w:tr>
      <w:tr w:rsidR="00370F7D" w:rsidRPr="00D75A45" w14:paraId="1C0A7FF0" w14:textId="77777777" w:rsidTr="005A7C56">
        <w:trPr>
          <w:trHeight w:val="364"/>
        </w:trPr>
        <w:tc>
          <w:tcPr>
            <w:tcW w:w="1384" w:type="dxa"/>
            <w:vMerge/>
          </w:tcPr>
          <w:p w14:paraId="2AE96B6B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 w:eastAsia="nl-NL"/>
              </w:rPr>
            </w:pPr>
          </w:p>
        </w:tc>
        <w:tc>
          <w:tcPr>
            <w:tcW w:w="1853" w:type="dxa"/>
            <w:vAlign w:val="center"/>
          </w:tcPr>
          <w:p w14:paraId="57CAA22A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max </w:t>
            </w:r>
          </w:p>
        </w:tc>
        <w:tc>
          <w:tcPr>
            <w:tcW w:w="2116" w:type="dxa"/>
            <w:vAlign w:val="center"/>
          </w:tcPr>
          <w:p w14:paraId="13BC0B3D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2.3 (0.4)</w:t>
            </w:r>
          </w:p>
        </w:tc>
        <w:tc>
          <w:tcPr>
            <w:tcW w:w="2693" w:type="dxa"/>
            <w:vAlign w:val="center"/>
          </w:tcPr>
          <w:p w14:paraId="3007DECE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2.1 (0.4)</w:t>
            </w:r>
          </w:p>
        </w:tc>
        <w:tc>
          <w:tcPr>
            <w:tcW w:w="1236" w:type="dxa"/>
            <w:vAlign w:val="center"/>
          </w:tcPr>
          <w:p w14:paraId="38FB4ECA" w14:textId="77777777" w:rsidR="00370F7D" w:rsidRPr="00D75A45" w:rsidRDefault="00370F7D" w:rsidP="005A7C56">
            <w:pPr>
              <w:keepNext/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0.234</w:t>
            </w:r>
          </w:p>
        </w:tc>
      </w:tr>
      <w:tr w:rsidR="00370F7D" w:rsidRPr="00D75A45" w14:paraId="7B4B20E5" w14:textId="77777777" w:rsidTr="005A7C56">
        <w:trPr>
          <w:trHeight w:val="404"/>
        </w:trPr>
        <w:tc>
          <w:tcPr>
            <w:tcW w:w="1384" w:type="dxa"/>
            <w:vMerge w:val="restart"/>
            <w:tcBorders>
              <w:top w:val="single" w:sz="4" w:space="0" w:color="auto"/>
            </w:tcBorders>
          </w:tcPr>
          <w:p w14:paraId="59DAEAE2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b/>
                <w:color w:val="000000" w:themeColor="text1"/>
                <w:sz w:val="20"/>
                <w:lang w:val="en-GB"/>
              </w:rPr>
              <w:t>All vessel territories</w:t>
            </w:r>
          </w:p>
        </w:tc>
        <w:tc>
          <w:tcPr>
            <w:tcW w:w="1853" w:type="dxa"/>
            <w:tcBorders>
              <w:top w:val="single" w:sz="4" w:space="0" w:color="auto"/>
            </w:tcBorders>
            <w:vAlign w:val="center"/>
          </w:tcPr>
          <w:p w14:paraId="3E71D1FE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mean </w:t>
            </w:r>
          </w:p>
        </w:tc>
        <w:tc>
          <w:tcPr>
            <w:tcW w:w="2116" w:type="dxa"/>
            <w:tcBorders>
              <w:top w:val="single" w:sz="4" w:space="0" w:color="auto"/>
            </w:tcBorders>
            <w:vAlign w:val="center"/>
          </w:tcPr>
          <w:p w14:paraId="2F91DAB6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1.9 (0.3)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09803F01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1.6 (0.2)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17FDB666" w14:textId="77777777" w:rsidR="00370F7D" w:rsidRPr="00FE0406" w:rsidRDefault="00370F7D" w:rsidP="005A7C56">
            <w:pPr>
              <w:keepNext/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FE0406">
              <w:rPr>
                <w:rFonts w:cs="Arial"/>
                <w:b/>
                <w:color w:val="000000" w:themeColor="text1"/>
                <w:sz w:val="20"/>
                <w:lang w:val="en-GB"/>
              </w:rPr>
              <w:t>0.036</w:t>
            </w:r>
          </w:p>
        </w:tc>
      </w:tr>
      <w:tr w:rsidR="00370F7D" w:rsidRPr="00D75A45" w14:paraId="48E3C406" w14:textId="77777777" w:rsidTr="005A7C56">
        <w:trPr>
          <w:trHeight w:val="364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14:paraId="0C39FA17" w14:textId="77777777" w:rsidR="00370F7D" w:rsidRPr="00D75A45" w:rsidRDefault="00370F7D" w:rsidP="005A7C56">
            <w:pPr>
              <w:spacing w:line="480" w:lineRule="auto"/>
              <w:rPr>
                <w:rFonts w:cs="Arial"/>
                <w:b/>
                <w:bCs/>
                <w:color w:val="000000" w:themeColor="text1"/>
                <w:sz w:val="20"/>
                <w:lang w:val="en-GB" w:eastAsia="nl-NL"/>
              </w:rPr>
            </w:pPr>
          </w:p>
        </w:tc>
        <w:tc>
          <w:tcPr>
            <w:tcW w:w="1853" w:type="dxa"/>
            <w:tcBorders>
              <w:bottom w:val="single" w:sz="4" w:space="0" w:color="auto"/>
            </w:tcBorders>
            <w:vAlign w:val="center"/>
          </w:tcPr>
          <w:p w14:paraId="273BF270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SUV</w:t>
            </w:r>
            <w:r w:rsidRPr="00D75A45">
              <w:rPr>
                <w:rFonts w:cs="Arial"/>
                <w:color w:val="000000" w:themeColor="text1"/>
                <w:sz w:val="20"/>
                <w:vertAlign w:val="subscript"/>
                <w:lang w:val="en-GB"/>
              </w:rPr>
              <w:t xml:space="preserve">max </w:t>
            </w:r>
          </w:p>
        </w:tc>
        <w:tc>
          <w:tcPr>
            <w:tcW w:w="2116" w:type="dxa"/>
            <w:tcBorders>
              <w:bottom w:val="single" w:sz="4" w:space="0" w:color="auto"/>
            </w:tcBorders>
            <w:vAlign w:val="center"/>
          </w:tcPr>
          <w:p w14:paraId="41D0815D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2.6 (0.4)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6FF9BFB" w14:textId="77777777" w:rsidR="00370F7D" w:rsidRPr="00D75A45" w:rsidRDefault="00370F7D" w:rsidP="005A7C56">
            <w:pPr>
              <w:spacing w:line="480" w:lineRule="auto"/>
              <w:rPr>
                <w:rFonts w:cs="Arial"/>
                <w:color w:val="000000" w:themeColor="text1"/>
                <w:sz w:val="20"/>
                <w:lang w:val="en-GB" w:eastAsia="nl-NL"/>
              </w:rPr>
            </w:pPr>
            <w:r w:rsidRPr="00D75A45">
              <w:rPr>
                <w:rFonts w:cs="Arial"/>
                <w:color w:val="000000" w:themeColor="text1"/>
                <w:sz w:val="20"/>
                <w:lang w:val="en-GB"/>
              </w:rPr>
              <w:t>2.3 (0.3)</w:t>
            </w:r>
          </w:p>
        </w:tc>
        <w:tc>
          <w:tcPr>
            <w:tcW w:w="1236" w:type="dxa"/>
            <w:tcBorders>
              <w:bottom w:val="single" w:sz="4" w:space="0" w:color="auto"/>
            </w:tcBorders>
            <w:vAlign w:val="center"/>
          </w:tcPr>
          <w:p w14:paraId="470FEC29" w14:textId="77777777" w:rsidR="00370F7D" w:rsidRPr="00FE0406" w:rsidRDefault="00370F7D" w:rsidP="005A7C56">
            <w:pPr>
              <w:keepNext/>
              <w:spacing w:line="480" w:lineRule="auto"/>
              <w:rPr>
                <w:rFonts w:cs="Arial"/>
                <w:b/>
                <w:color w:val="000000" w:themeColor="text1"/>
                <w:sz w:val="20"/>
                <w:lang w:val="en-GB" w:eastAsia="nl-NL"/>
              </w:rPr>
            </w:pPr>
            <w:r w:rsidRPr="00FE0406">
              <w:rPr>
                <w:rFonts w:cs="Arial"/>
                <w:b/>
                <w:color w:val="000000" w:themeColor="text1"/>
                <w:sz w:val="20"/>
                <w:lang w:val="en-GB"/>
              </w:rPr>
              <w:t>0.042</w:t>
            </w:r>
          </w:p>
        </w:tc>
      </w:tr>
    </w:tbl>
    <w:p w14:paraId="64E3FFEE" w14:textId="77777777" w:rsidR="000824F0" w:rsidRPr="00370F7D" w:rsidRDefault="00A22742">
      <w:proofErr w:type="spellStart"/>
      <w:r>
        <w:t>Supplementary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1. </w:t>
      </w:r>
      <w:proofErr w:type="spellStart"/>
      <w:r w:rsidR="00370F7D">
        <w:t>Mean</w:t>
      </w:r>
      <w:proofErr w:type="spellEnd"/>
      <w:r w:rsidR="00370F7D">
        <w:t xml:space="preserve"> </w:t>
      </w:r>
      <w:proofErr w:type="spellStart"/>
      <w:r w:rsidR="00370F7D">
        <w:t>values</w:t>
      </w:r>
      <w:proofErr w:type="spellEnd"/>
      <w:r w:rsidR="00370F7D">
        <w:t xml:space="preserve"> are </w:t>
      </w:r>
      <w:proofErr w:type="spellStart"/>
      <w:r w:rsidR="00370F7D">
        <w:t>given</w:t>
      </w:r>
      <w:proofErr w:type="spellEnd"/>
      <w:r w:rsidR="00370F7D">
        <w:t xml:space="preserve"> </w:t>
      </w:r>
      <w:proofErr w:type="spellStart"/>
      <w:r w:rsidR="00370F7D">
        <w:t>with</w:t>
      </w:r>
      <w:proofErr w:type="spellEnd"/>
      <w:r w:rsidR="00370F7D">
        <w:t xml:space="preserve"> the standard </w:t>
      </w:r>
      <w:proofErr w:type="spellStart"/>
      <w:r w:rsidR="00370F7D">
        <w:t>deviation</w:t>
      </w:r>
      <w:proofErr w:type="spellEnd"/>
      <w:r w:rsidR="00370F7D">
        <w:t xml:space="preserve"> </w:t>
      </w:r>
      <w:proofErr w:type="spellStart"/>
      <w:r w:rsidR="00370F7D">
        <w:t>between</w:t>
      </w:r>
      <w:proofErr w:type="spellEnd"/>
      <w:r w:rsidR="00370F7D">
        <w:t xml:space="preserve"> </w:t>
      </w:r>
      <w:proofErr w:type="spellStart"/>
      <w:r w:rsidR="00370F7D">
        <w:t>brackets</w:t>
      </w:r>
      <w:proofErr w:type="spellEnd"/>
      <w:r w:rsidR="00370F7D">
        <w:t xml:space="preserve">. </w:t>
      </w:r>
      <w:r w:rsidR="00370F7D" w:rsidRPr="00370F7D">
        <w:rPr>
          <w:vertAlign w:val="superscript"/>
        </w:rPr>
        <w:t>a</w:t>
      </w:r>
      <w:r w:rsidR="00370F7D">
        <w:t xml:space="preserve"> the </w:t>
      </w:r>
      <w:proofErr w:type="spellStart"/>
      <w:r w:rsidR="00370F7D">
        <w:t>highest</w:t>
      </w:r>
      <w:proofErr w:type="spellEnd"/>
      <w:r w:rsidR="00370F7D">
        <w:t xml:space="preserve"> </w:t>
      </w:r>
      <w:proofErr w:type="spellStart"/>
      <w:r w:rsidR="00370F7D">
        <w:t>value</w:t>
      </w:r>
      <w:proofErr w:type="spellEnd"/>
      <w:r w:rsidR="00370F7D">
        <w:t xml:space="preserve"> of </w:t>
      </w:r>
      <w:proofErr w:type="spellStart"/>
      <w:r w:rsidR="00370F7D">
        <w:t>both</w:t>
      </w:r>
      <w:proofErr w:type="spellEnd"/>
      <w:r w:rsidR="00370F7D">
        <w:t xml:space="preserve"> </w:t>
      </w:r>
      <w:proofErr w:type="spellStart"/>
      <w:r w:rsidR="00370F7D">
        <w:t>carotids</w:t>
      </w:r>
      <w:proofErr w:type="spellEnd"/>
      <w:r w:rsidR="00370F7D">
        <w:t xml:space="preserve"> was </w:t>
      </w:r>
      <w:proofErr w:type="spellStart"/>
      <w:r w:rsidR="00370F7D">
        <w:t>used</w:t>
      </w:r>
      <w:proofErr w:type="spellEnd"/>
      <w:r w:rsidR="00370F7D">
        <w:t xml:space="preserve"> </w:t>
      </w:r>
      <w:proofErr w:type="spellStart"/>
      <w:r w:rsidR="00370F7D">
        <w:t>for</w:t>
      </w:r>
      <w:proofErr w:type="spellEnd"/>
      <w:r w:rsidR="00370F7D">
        <w:t xml:space="preserve"> </w:t>
      </w:r>
      <w:proofErr w:type="spellStart"/>
      <w:r w:rsidR="00370F7D">
        <w:t>further</w:t>
      </w:r>
      <w:proofErr w:type="spellEnd"/>
      <w:r w:rsidR="00370F7D">
        <w:t xml:space="preserve"> analysis.</w:t>
      </w:r>
    </w:p>
    <w:sectPr w:rsidR="000824F0" w:rsidRPr="00370F7D" w:rsidSect="007F2F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7D"/>
    <w:rsid w:val="000824F0"/>
    <w:rsid w:val="00370F7D"/>
    <w:rsid w:val="007F2F3E"/>
    <w:rsid w:val="00A2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E6D9A6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70F7D"/>
    <w:pPr>
      <w:tabs>
        <w:tab w:val="left" w:pos="284"/>
        <w:tab w:val="left" w:pos="1701"/>
      </w:tabs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0F7D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Normaal"/>
    <w:link w:val="BallontekstTeken"/>
    <w:uiPriority w:val="99"/>
    <w:semiHidden/>
    <w:unhideWhenUsed/>
    <w:rsid w:val="00A2274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A22742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370F7D"/>
    <w:pPr>
      <w:tabs>
        <w:tab w:val="left" w:pos="284"/>
        <w:tab w:val="left" w:pos="1701"/>
      </w:tabs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0F7D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Normaal"/>
    <w:link w:val="BallontekstTeken"/>
    <w:uiPriority w:val="99"/>
    <w:semiHidden/>
    <w:unhideWhenUsed/>
    <w:rsid w:val="00A2274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A22742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672</Characters>
  <Application>Microsoft Macintosh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dcterms:created xsi:type="dcterms:W3CDTF">2018-12-22T17:48:00Z</dcterms:created>
  <dcterms:modified xsi:type="dcterms:W3CDTF">2018-12-24T13:30:00Z</dcterms:modified>
</cp:coreProperties>
</file>