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EB1" w:rsidRPr="00947EB1" w:rsidRDefault="00947EB1" w:rsidP="00947EB1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MS Mincho" w:hAnsi="Times New Roman" w:cs="Times New Roman"/>
          <w:b/>
          <w:lang w:val="en-US" w:eastAsia="ja-JP"/>
        </w:rPr>
      </w:pPr>
      <w:r w:rsidRPr="00947EB1">
        <w:rPr>
          <w:rFonts w:ascii="Times New Roman" w:eastAsia="MS Mincho" w:hAnsi="Times New Roman" w:cs="Times New Roman"/>
          <w:b/>
          <w:lang w:val="en-US" w:eastAsia="ja-JP"/>
        </w:rPr>
        <w:t xml:space="preserve">Reliable quantification of </w:t>
      </w:r>
      <w:r w:rsidRPr="00947EB1">
        <w:rPr>
          <w:rFonts w:ascii="Times New Roman" w:eastAsia="MS Mincho" w:hAnsi="Times New Roman" w:cs="Times New Roman"/>
          <w:b/>
          <w:vertAlign w:val="superscript"/>
          <w:lang w:val="en-US" w:eastAsia="ja-JP"/>
        </w:rPr>
        <w:t>18</w:t>
      </w:r>
      <w:r w:rsidRPr="00947EB1">
        <w:rPr>
          <w:rFonts w:ascii="Times New Roman" w:eastAsia="MS Mincho" w:hAnsi="Times New Roman" w:cs="Times New Roman"/>
          <w:b/>
          <w:lang w:val="en-US" w:eastAsia="ja-JP"/>
        </w:rPr>
        <w:t xml:space="preserve">F-GE-180 PET </w:t>
      </w:r>
      <w:proofErr w:type="spellStart"/>
      <w:r w:rsidRPr="00947EB1">
        <w:rPr>
          <w:rFonts w:ascii="Times New Roman" w:eastAsia="MS Mincho" w:hAnsi="Times New Roman" w:cs="Times New Roman"/>
          <w:b/>
          <w:lang w:val="en-US" w:eastAsia="ja-JP"/>
        </w:rPr>
        <w:t>neuroinflammation</w:t>
      </w:r>
      <w:proofErr w:type="spellEnd"/>
      <w:r w:rsidRPr="00947EB1">
        <w:rPr>
          <w:rFonts w:ascii="Times New Roman" w:eastAsia="MS Mincho" w:hAnsi="Times New Roman" w:cs="Times New Roman"/>
          <w:b/>
          <w:lang w:val="en-US" w:eastAsia="ja-JP"/>
        </w:rPr>
        <w:t xml:space="preserve"> studies using an individually scaled population-based input function or late tissue-to-blood ratio</w:t>
      </w:r>
    </w:p>
    <w:p w:rsidR="00947EB1" w:rsidRDefault="00947EB1" w:rsidP="00947EB1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MS Mincho" w:hAnsi="Times New Roman" w:cs="Times New Roman"/>
          <w:b/>
          <w:lang w:val="en-US" w:eastAsia="ja-JP"/>
        </w:rPr>
      </w:pPr>
    </w:p>
    <w:p w:rsidR="00947EB1" w:rsidRPr="00947EB1" w:rsidRDefault="00947EB1" w:rsidP="00947EB1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MS Mincho" w:hAnsi="Times New Roman" w:cs="Times New Roman"/>
          <w:b/>
          <w:lang w:val="en-US" w:eastAsia="ja-JP"/>
        </w:rPr>
      </w:pPr>
      <w:r w:rsidRPr="00947EB1">
        <w:rPr>
          <w:rFonts w:ascii="Times New Roman" w:eastAsia="MS Mincho" w:hAnsi="Times New Roman" w:cs="Times New Roman"/>
          <w:b/>
          <w:lang w:val="en-US" w:eastAsia="ja-JP"/>
        </w:rPr>
        <w:t>Supplementary</w:t>
      </w:r>
    </w:p>
    <w:p w:rsidR="00947EB1" w:rsidRDefault="00947EB1" w:rsidP="00947EB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A75F8C" w:rsidRPr="00A75F8C" w:rsidRDefault="00A75F8C" w:rsidP="00A75F8C">
      <w:pPr>
        <w:autoSpaceDE w:val="0"/>
        <w:autoSpaceDN w:val="0"/>
        <w:adjustRightInd w:val="0"/>
        <w:spacing w:line="480" w:lineRule="auto"/>
        <w:rPr>
          <w:rFonts w:ascii="Times New Roman" w:eastAsia="MS Mincho" w:hAnsi="Times New Roman" w:cs="Times New Roman"/>
          <w:b/>
          <w:sz w:val="22"/>
          <w:szCs w:val="22"/>
          <w:lang w:val="en-US" w:eastAsia="ja-JP"/>
        </w:rPr>
      </w:pPr>
      <w:r w:rsidRPr="00A75F8C">
        <w:rPr>
          <w:rFonts w:ascii="Times New Roman" w:eastAsia="MS Mincho" w:hAnsi="Times New Roman" w:cs="Times New Roman"/>
          <w:b/>
          <w:sz w:val="22"/>
          <w:szCs w:val="22"/>
          <w:lang w:val="en-US" w:eastAsia="ja-JP"/>
        </w:rPr>
        <w:t xml:space="preserve">Brain regions of interest </w:t>
      </w:r>
    </w:p>
    <w:p w:rsidR="00A75F8C" w:rsidRPr="004616DE" w:rsidRDefault="00A75F8C" w:rsidP="004616DE">
      <w:pPr>
        <w:pStyle w:val="Correspondence"/>
        <w:tabs>
          <w:tab w:val="left" w:pos="5387"/>
          <w:tab w:val="left" w:pos="6379"/>
        </w:tabs>
        <w:spacing w:after="240" w:line="480" w:lineRule="auto"/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>V</w:t>
      </w:r>
      <w:r w:rsidRPr="007433AD">
        <w:rPr>
          <w:rFonts w:ascii="Times New Roman" w:hAnsi="Times New Roman"/>
          <w:sz w:val="20"/>
          <w:lang w:val="en-GB"/>
        </w:rPr>
        <w:t xml:space="preserve">ersion AAL3 (released 27 August 2019) of the automatic anatomic </w:t>
      </w:r>
      <w:proofErr w:type="spellStart"/>
      <w:r w:rsidRPr="007433AD">
        <w:rPr>
          <w:rFonts w:ascii="Times New Roman" w:hAnsi="Times New Roman"/>
          <w:sz w:val="20"/>
          <w:lang w:val="en-GB"/>
        </w:rPr>
        <w:t>labeling</w:t>
      </w:r>
      <w:proofErr w:type="spellEnd"/>
      <w:r w:rsidRPr="007433AD">
        <w:rPr>
          <w:rFonts w:ascii="Times New Roman" w:hAnsi="Times New Roman"/>
          <w:sz w:val="20"/>
          <w:lang w:val="en-GB"/>
        </w:rPr>
        <w:t xml:space="preserve"> atlas </w:t>
      </w:r>
      <w:r w:rsidR="00702271">
        <w:rPr>
          <w:rFonts w:ascii="Times New Roman" w:hAnsi="Times New Roman"/>
          <w:sz w:val="20"/>
          <w:lang w:val="en-GB"/>
        </w:rPr>
        <w:fldChar w:fldCharType="begin">
          <w:fldData xml:space="preserve">PEVuZE5vdGU+PENpdGU+PEF1dGhvcj5Sb2xsczwvQXV0aG9yPjxZZWFyPjIwMTU8L1llYXI+PFJl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</w:fldData>
        </w:fldChar>
      </w:r>
      <w:r w:rsidR="00702271">
        <w:rPr>
          <w:rFonts w:ascii="Times New Roman" w:hAnsi="Times New Roman"/>
          <w:sz w:val="20"/>
          <w:lang w:val="en-GB"/>
        </w:rPr>
        <w:instrText xml:space="preserve"> ADDIN EN.CITE </w:instrText>
      </w:r>
      <w:r w:rsidR="00702271">
        <w:rPr>
          <w:rFonts w:ascii="Times New Roman" w:hAnsi="Times New Roman"/>
          <w:sz w:val="20"/>
          <w:lang w:val="en-GB"/>
        </w:rPr>
        <w:fldChar w:fldCharType="begin">
          <w:fldData xml:space="preserve">PEVuZE5vdGU+PENpdGU+PEF1dGhvcj5Sb2xsczwvQXV0aG9yPjxZZWFyPjIwMTU8L1llYXI+PFJl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</w:fldData>
        </w:fldChar>
      </w:r>
      <w:r w:rsidR="00702271">
        <w:rPr>
          <w:rFonts w:ascii="Times New Roman" w:hAnsi="Times New Roman"/>
          <w:sz w:val="20"/>
          <w:lang w:val="en-GB"/>
        </w:rPr>
        <w:instrText xml:space="preserve"> ADDIN EN.CITE.DATA </w:instrText>
      </w:r>
      <w:r w:rsidR="00702271">
        <w:rPr>
          <w:rFonts w:ascii="Times New Roman" w:hAnsi="Times New Roman"/>
          <w:sz w:val="20"/>
          <w:lang w:val="en-GB"/>
        </w:rPr>
      </w:r>
      <w:r w:rsidR="00702271">
        <w:rPr>
          <w:rFonts w:ascii="Times New Roman" w:hAnsi="Times New Roman"/>
          <w:sz w:val="20"/>
          <w:lang w:val="en-GB"/>
        </w:rPr>
        <w:fldChar w:fldCharType="end"/>
      </w:r>
      <w:r w:rsidR="00702271">
        <w:rPr>
          <w:rFonts w:ascii="Times New Roman" w:hAnsi="Times New Roman"/>
          <w:sz w:val="20"/>
          <w:lang w:val="en-GB"/>
        </w:rPr>
      </w:r>
      <w:r w:rsidR="00702271">
        <w:rPr>
          <w:rFonts w:ascii="Times New Roman" w:hAnsi="Times New Roman"/>
          <w:sz w:val="20"/>
          <w:lang w:val="en-GB"/>
        </w:rPr>
        <w:fldChar w:fldCharType="separate"/>
      </w:r>
      <w:r w:rsidR="00702271">
        <w:rPr>
          <w:rFonts w:ascii="Times New Roman" w:hAnsi="Times New Roman"/>
          <w:noProof/>
          <w:sz w:val="20"/>
          <w:lang w:val="en-GB"/>
        </w:rPr>
        <w:t>[1, 2]</w:t>
      </w:r>
      <w:r w:rsidR="00702271">
        <w:rPr>
          <w:rFonts w:ascii="Times New Roman" w:hAnsi="Times New Roman"/>
          <w:sz w:val="20"/>
          <w:lang w:val="en-GB"/>
        </w:rPr>
        <w:fldChar w:fldCharType="end"/>
      </w:r>
      <w:r w:rsidR="004616DE">
        <w:rPr>
          <w:rFonts w:ascii="Times New Roman" w:hAnsi="Times New Roman"/>
          <w:sz w:val="20"/>
          <w:lang w:val="en-GB"/>
        </w:rPr>
        <w:t xml:space="preserve"> </w:t>
      </w:r>
      <w:r>
        <w:rPr>
          <w:rFonts w:ascii="Times New Roman" w:hAnsi="Times New Roman"/>
          <w:sz w:val="20"/>
          <w:lang w:val="en-GB"/>
        </w:rPr>
        <w:t xml:space="preserve">was used </w:t>
      </w:r>
      <w:r w:rsidRPr="007433AD">
        <w:rPr>
          <w:rFonts w:ascii="Times New Roman" w:hAnsi="Times New Roman"/>
          <w:sz w:val="20"/>
          <w:lang w:val="en-GB"/>
        </w:rPr>
        <w:t xml:space="preserve">to define the following bilateral </w:t>
      </w:r>
      <w:r>
        <w:rPr>
          <w:rFonts w:ascii="Times New Roman" w:hAnsi="Times New Roman"/>
          <w:sz w:val="20"/>
          <w:lang w:val="en-GB"/>
        </w:rPr>
        <w:t>regions</w:t>
      </w:r>
      <w:r w:rsidRPr="007433AD">
        <w:rPr>
          <w:rFonts w:ascii="Times New Roman" w:hAnsi="Times New Roman"/>
          <w:sz w:val="20"/>
          <w:lang w:val="en-GB"/>
        </w:rPr>
        <w:t xml:space="preserve"> of interest (</w:t>
      </w:r>
      <w:r>
        <w:rPr>
          <w:rFonts w:ascii="Times New Roman" w:hAnsi="Times New Roman"/>
          <w:sz w:val="20"/>
          <w:lang w:val="en-GB"/>
        </w:rPr>
        <w:t>ROI</w:t>
      </w:r>
      <w:r w:rsidRPr="007433AD">
        <w:rPr>
          <w:rFonts w:ascii="Times New Roman" w:hAnsi="Times New Roman"/>
          <w:sz w:val="20"/>
          <w:lang w:val="en-GB"/>
        </w:rPr>
        <w:t>)</w:t>
      </w:r>
      <w:r>
        <w:rPr>
          <w:rFonts w:ascii="Times New Roman" w:hAnsi="Times New Roman"/>
          <w:sz w:val="20"/>
          <w:lang w:val="en-GB"/>
        </w:rPr>
        <w:t xml:space="preserve"> </w:t>
      </w:r>
      <w:r w:rsidRPr="007433AD">
        <w:rPr>
          <w:rFonts w:ascii="Times New Roman" w:hAnsi="Times New Roman"/>
          <w:sz w:val="20"/>
          <w:lang w:val="en-GB"/>
        </w:rPr>
        <w:t>in the anatomical space of the Montre</w:t>
      </w:r>
      <w:r w:rsidR="004616DE">
        <w:rPr>
          <w:rFonts w:ascii="Times New Roman" w:hAnsi="Times New Roman"/>
          <w:sz w:val="20"/>
          <w:lang w:val="en-GB"/>
        </w:rPr>
        <w:t xml:space="preserve">al Neurological Institute (MNI): </w:t>
      </w:r>
      <w:r w:rsidRPr="007433AD">
        <w:rPr>
          <w:rFonts w:ascii="Times New Roman" w:hAnsi="Times New Roman"/>
          <w:sz w:val="20"/>
          <w:lang w:val="en-GB"/>
        </w:rPr>
        <w:t>frontal</w:t>
      </w:r>
      <w:r>
        <w:rPr>
          <w:rFonts w:ascii="Times New Roman" w:hAnsi="Times New Roman"/>
          <w:sz w:val="20"/>
          <w:lang w:val="en-GB"/>
        </w:rPr>
        <w:t xml:space="preserve"> (union of AAL3 R</w:t>
      </w:r>
      <w:r w:rsidRPr="007433AD">
        <w:rPr>
          <w:rFonts w:ascii="Times New Roman" w:hAnsi="Times New Roman"/>
          <w:sz w:val="20"/>
          <w:lang w:val="en-GB"/>
        </w:rPr>
        <w:t xml:space="preserve">OIs 1-32), parietal (63-70), temporal without mesial temporal (85-94), occipital (47-58), cerebellum (95-112), insula (33-34), cingulate (35-40), mesial temporal (41-46), </w:t>
      </w:r>
      <w:proofErr w:type="spellStart"/>
      <w:r w:rsidRPr="007433AD">
        <w:rPr>
          <w:rFonts w:ascii="Times New Roman" w:hAnsi="Times New Roman"/>
          <w:sz w:val="20"/>
          <w:lang w:val="en-GB"/>
        </w:rPr>
        <w:t>precuneus</w:t>
      </w:r>
      <w:proofErr w:type="spellEnd"/>
      <w:r w:rsidRPr="007433AD">
        <w:rPr>
          <w:rFonts w:ascii="Times New Roman" w:hAnsi="Times New Roman"/>
          <w:sz w:val="20"/>
          <w:lang w:val="en-GB"/>
        </w:rPr>
        <w:t xml:space="preserve"> (71-72), striatum (75-78), and thalamus (121-150). A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 of the superior longitudinal fasciculus was taken from the white matter </w:t>
      </w:r>
      <w:proofErr w:type="spellStart"/>
      <w:r w:rsidRPr="007433AD">
        <w:rPr>
          <w:rFonts w:ascii="Times New Roman" w:hAnsi="Times New Roman"/>
          <w:sz w:val="20"/>
          <w:lang w:val="en-GB"/>
        </w:rPr>
        <w:t>tractography</w:t>
      </w:r>
      <w:proofErr w:type="spellEnd"/>
      <w:r w:rsidRPr="007433AD">
        <w:rPr>
          <w:rFonts w:ascii="Times New Roman" w:hAnsi="Times New Roman"/>
          <w:sz w:val="20"/>
          <w:lang w:val="en-GB"/>
        </w:rPr>
        <w:t xml:space="preserve"> atlas of the Johns Hopkins University </w:t>
      </w:r>
      <w:r w:rsidR="00702271">
        <w:rPr>
          <w:rFonts w:ascii="Times New Roman" w:hAnsi="Times New Roman"/>
          <w:sz w:val="20"/>
          <w:lang w:val="en-GB"/>
        </w:rPr>
        <w:fldChar w:fldCharType="begin">
          <w:fldData xml:space="preserve">PEVuZE5vdGU+PENpdGU+PEF1dGhvcj5IdWE8L0F1dGhvcj48WWVhcj4yMDA4PC9ZZWFyPjxSZWNO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</w:fldData>
        </w:fldChar>
      </w:r>
      <w:r w:rsidR="00702271">
        <w:rPr>
          <w:rFonts w:ascii="Times New Roman" w:hAnsi="Times New Roman"/>
          <w:sz w:val="20"/>
          <w:lang w:val="en-GB"/>
        </w:rPr>
        <w:instrText xml:space="preserve"> ADDIN EN.CITE </w:instrText>
      </w:r>
      <w:r w:rsidR="00702271">
        <w:rPr>
          <w:rFonts w:ascii="Times New Roman" w:hAnsi="Times New Roman"/>
          <w:sz w:val="20"/>
          <w:lang w:val="en-GB"/>
        </w:rPr>
        <w:fldChar w:fldCharType="begin">
          <w:fldData xml:space="preserve">PEVuZE5vdGU+PENpdGU+PEF1dGhvcj5IdWE8L0F1dGhvcj48WWVhcj4yMDA4PC9ZZWFyPjxSZWNO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</w:fldData>
        </w:fldChar>
      </w:r>
      <w:r w:rsidR="00702271">
        <w:rPr>
          <w:rFonts w:ascii="Times New Roman" w:hAnsi="Times New Roman"/>
          <w:sz w:val="20"/>
          <w:lang w:val="en-GB"/>
        </w:rPr>
        <w:instrText xml:space="preserve"> ADDIN EN.CITE.DATA </w:instrText>
      </w:r>
      <w:r w:rsidR="00702271">
        <w:rPr>
          <w:rFonts w:ascii="Times New Roman" w:hAnsi="Times New Roman"/>
          <w:sz w:val="20"/>
          <w:lang w:val="en-GB"/>
        </w:rPr>
      </w:r>
      <w:r w:rsidR="00702271">
        <w:rPr>
          <w:rFonts w:ascii="Times New Roman" w:hAnsi="Times New Roman"/>
          <w:sz w:val="20"/>
          <w:lang w:val="en-GB"/>
        </w:rPr>
        <w:fldChar w:fldCharType="end"/>
      </w:r>
      <w:r w:rsidR="00702271">
        <w:rPr>
          <w:rFonts w:ascii="Times New Roman" w:hAnsi="Times New Roman"/>
          <w:sz w:val="20"/>
          <w:lang w:val="en-GB"/>
        </w:rPr>
      </w:r>
      <w:r w:rsidR="00702271">
        <w:rPr>
          <w:rFonts w:ascii="Times New Roman" w:hAnsi="Times New Roman"/>
          <w:sz w:val="20"/>
          <w:lang w:val="en-GB"/>
        </w:rPr>
        <w:fldChar w:fldCharType="separate"/>
      </w:r>
      <w:r w:rsidR="00702271">
        <w:rPr>
          <w:rFonts w:ascii="Times New Roman" w:hAnsi="Times New Roman"/>
          <w:noProof/>
          <w:sz w:val="20"/>
          <w:lang w:val="en-GB"/>
        </w:rPr>
        <w:t>[3]</w:t>
      </w:r>
      <w:r w:rsidR="00702271">
        <w:rPr>
          <w:rFonts w:ascii="Times New Roman" w:hAnsi="Times New Roman"/>
          <w:sz w:val="20"/>
          <w:lang w:val="en-GB"/>
        </w:rPr>
        <w:fldChar w:fldCharType="end"/>
      </w:r>
      <w:r w:rsidRPr="007433AD">
        <w:rPr>
          <w:rFonts w:ascii="Times New Roman" w:hAnsi="Times New Roman"/>
          <w:sz w:val="20"/>
          <w:lang w:val="en-GB"/>
        </w:rPr>
        <w:t xml:space="preserve">, because the AAL3 atlas does not provide white matter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OIs. In order to minimize spill-in from large vessels, a large vessels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 was created by first averaging the globally scaled PET image frame in MNI space with highest tracer concentration in large vessels over all subjects (frame 2 in most subjects, corresponding to 15-30s post injection). The large vessels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 was obtained by thresholding the resulting mean image at 20% of its maximum. Voxels included in the large vessel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 were removed from the tissue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OIs. The resulting tissue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OIs are shown in figure </w:t>
      </w:r>
      <w:r w:rsidR="004616DE">
        <w:rPr>
          <w:rFonts w:ascii="Times New Roman" w:hAnsi="Times New Roman"/>
          <w:sz w:val="20"/>
          <w:lang w:val="en-GB"/>
        </w:rPr>
        <w:t>S1</w:t>
      </w:r>
      <w:r w:rsidRPr="007433AD">
        <w:rPr>
          <w:rFonts w:ascii="Times New Roman" w:hAnsi="Times New Roman"/>
          <w:sz w:val="20"/>
          <w:lang w:val="en-GB"/>
        </w:rPr>
        <w:t xml:space="preserve"> together with the large vessels </w:t>
      </w:r>
      <w:r>
        <w:rPr>
          <w:rFonts w:ascii="Times New Roman" w:hAnsi="Times New Roman"/>
          <w:sz w:val="20"/>
          <w:lang w:val="en-GB"/>
        </w:rPr>
        <w:t>R</w:t>
      </w:r>
      <w:r w:rsidRPr="007433AD">
        <w:rPr>
          <w:rFonts w:ascii="Times New Roman" w:hAnsi="Times New Roman"/>
          <w:sz w:val="20"/>
          <w:lang w:val="en-GB"/>
        </w:rPr>
        <w:t xml:space="preserve">OI. </w:t>
      </w:r>
    </w:p>
    <w:p w:rsidR="001F28D3" w:rsidRPr="00A75F8C" w:rsidRDefault="001F28D3" w:rsidP="004616DE">
      <w:pPr>
        <w:autoSpaceDE w:val="0"/>
        <w:autoSpaceDN w:val="0"/>
        <w:adjustRightInd w:val="0"/>
        <w:spacing w:before="720" w:line="480" w:lineRule="auto"/>
        <w:rPr>
          <w:rFonts w:ascii="Times New Roman" w:eastAsia="MS Mincho" w:hAnsi="Times New Roman" w:cs="Times New Roman"/>
          <w:b/>
          <w:sz w:val="22"/>
          <w:szCs w:val="22"/>
          <w:lang w:val="en-US" w:eastAsia="ja-JP"/>
        </w:rPr>
      </w:pPr>
      <w:r w:rsidRPr="00A75F8C">
        <w:rPr>
          <w:rFonts w:ascii="Times New Roman" w:eastAsia="MS Mincho" w:hAnsi="Times New Roman" w:cs="Times New Roman"/>
          <w:b/>
          <w:sz w:val="22"/>
          <w:szCs w:val="22"/>
          <w:lang w:val="en-US" w:eastAsia="ja-JP"/>
        </w:rPr>
        <w:t xml:space="preserve">Correction for delay and dispersion </w:t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An image-derived TAC of arterial whole-blood was obtained as follows. A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dynamic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series of twenty PET images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each of 3 s duration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was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reconstructed from </w:t>
      </w:r>
      <w:r w:rsidRPr="00947EB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the first minute of the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PET list mode emission data.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In order to eliminate potential reconstruction artefacts at the axial edges of the field-of-view, the first three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transaxial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planes and the last three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transaxial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planes were removed from each image. Then each image was filtered with an isotropic 3-dimensional Gaussian kernel of 6 mm full-width-at-half-maximum</w:t>
      </w:r>
      <w:r w:rsidR="008417E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(FWHM)</w:t>
      </w:r>
      <w:bookmarkStart w:id="0" w:name="_GoBack"/>
      <w:bookmarkEnd w:id="0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. The mean activity concentration of the 6113 hottest voxels (corresponding to 30 ml) was determined separately for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lastRenderedPageBreak/>
        <w:t>each image frame and plotted as a function of the frame number (Figure S</w:t>
      </w:r>
      <w:r w:rsidR="0036491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2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). The frame at which the activity started to increase towards the peak activity was determined visually (frame 6 corresponding to 15-18 s pos</w:t>
      </w:r>
      <w:r w:rsidR="0036491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 injection in most subjects, Figure S2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). A binary mask for arterial whole-blood was defined by the 6113 h</w:t>
      </w:r>
      <w:r w:rsidR="0036491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ottest voxels in this frame (Figure S3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). The resulting mask was checked visually in each subject. In addition to the carotid arteries, the mask included smaller arteries in most subjects (e.g.,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communicans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posterior,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cerebri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posterior, </w:t>
      </w:r>
      <w:proofErr w:type="spell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basilaris</w:t>
      </w:r>
      <w:proofErr w:type="spell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and superior cerebelli arteries, </w:t>
      </w:r>
      <w:r w:rsidR="0036491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Figure S3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). The image-derived whole-blood TAC was obtained by applying the binary whole-blood mask to each frame (mean activity concentration over all voxels in the mask).</w:t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D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elay and dispersion of the whole-blood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TAC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measured with the automatic blood sampler relative to the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image-derived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whole-blood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TAC in the brain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were estimated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and then correct for 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as described in </w: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begin"/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instrText xml:space="preserve"> ADDIN EN.CITE &lt;EndNote&gt;&lt;Cite&gt;&lt;Author&gt;van den Hoff&lt;/Author&gt;&lt;Year&gt;1993&lt;/Year&gt;&lt;RecNum&gt;4&lt;/RecNum&gt;&lt;DisplayText&gt;[4]&lt;/DisplayText&gt;&lt;record&gt;&lt;rec-number&gt;4&lt;/rec-number&gt;&lt;foreign-keys&gt;&lt;key app="EN" db-id="ppr5vf9xyx2t2yeved4pfv2mtf9tfxf2rrpa" timestamp="1567944185"&gt;4&lt;/key&gt;&lt;/foreign-keys&gt;&lt;ref-type name="Journal Article"&gt;17&lt;/ref-type&gt;&lt;contributors&gt;&lt;authors&gt;&lt;author&gt;van den Hoff, J.&lt;/author&gt;&lt;author&gt;Burchert, W.&lt;/author&gt;&lt;author&gt;Muller-Schauenburg, W.&lt;/author&gt;&lt;author&gt;Meyer, G. J.&lt;/author&gt;&lt;author&gt;Hundeshagen, H.&lt;/author&gt;&lt;/authors&gt;&lt;/contributors&gt;&lt;auth-address&gt;Abteilung Nuklearmedizin und spezielle Biophysik, Zentrum Radiologie, Medizinische Hochschule Hannover, Germany.&lt;/auth-address&gt;&lt;titles&gt;&lt;title&gt;Accurate local blood flow measurements with dynamic PET: fast determination of input function delay and dispersion by multilinear minimization&lt;/title&gt;&lt;secondary-title&gt;J Nucl Med&lt;/secondary-title&gt;&lt;/titles&gt;&lt;periodical&gt;&lt;full-title&gt;Journal of Nuclear Medicine&lt;/full-title&gt;&lt;abbr-1&gt;J Nucl Med&lt;/abbr-1&gt;&lt;/periodical&gt;&lt;pages&gt;1770-7&lt;/pages&gt;&lt;volume&gt;34&lt;/volume&gt;&lt;number&gt;10&lt;/number&gt;&lt;keywords&gt;&lt;keyword&gt;*Blood Flow Velocity&lt;/keyword&gt;&lt;keyword&gt;Brain Ischemia/diagnostic imaging/physiopathology&lt;/keyword&gt;&lt;keyword&gt;Cerebrovascular Circulation&lt;/keyword&gt;&lt;keyword&gt;Humans&lt;/keyword&gt;&lt;keyword&gt;Models, Cardiovascular&lt;/keyword&gt;&lt;keyword&gt;Models, Theoretical&lt;/keyword&gt;&lt;keyword&gt;Monte Carlo Method&lt;/keyword&gt;&lt;keyword&gt;Tomography, Emission-Computed/*methods&lt;/keyword&gt;&lt;/keywords&gt;&lt;dates&gt;&lt;year&gt;1993&lt;/year&gt;&lt;pub-dates&gt;&lt;date&gt;Oct&lt;/date&gt;&lt;/pub-dates&gt;&lt;/dates&gt;&lt;isbn&gt;0161-5505 (Print)&amp;#xD;0161-5505 (Linking)&lt;/isbn&gt;&lt;accession-num&gt;8410297&lt;/accession-num&gt;&lt;urls&gt;&lt;related-urls&gt;&lt;url&gt;https://www.ncbi.nlm.nih.gov/pubmed/8410297&lt;/url&gt;&lt;/related-urls&gt;&lt;/urls&gt;&lt;/record&gt;&lt;/Cite&gt;&lt;/EndNote&gt;</w:instrTex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separate"/>
      </w:r>
      <w:r w:rsidR="00702271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[4]</w: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end"/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. More precisely, dispersion was modeled by convolution with the dispersion kernel </w:t>
      </w:r>
      <m:oMath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f>
              <m:fPr>
                <m:type m:val="lin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fPr>
              <m:num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1</m:t>
                </m:r>
              </m:num>
              <m:den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τ</m:t>
                </m:r>
              </m:den>
            </m:f>
          </m:e>
        </m:d>
        <m:sSup>
          <m:sSup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p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e</m:t>
            </m:r>
          </m:e>
          <m:sup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-</m:t>
            </m:r>
            <m:f>
              <m:fPr>
                <m:type m:val="lin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fPr>
              <m:num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t</m:t>
                </m:r>
              </m:num>
              <m:den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τ</m:t>
                </m:r>
              </m:den>
            </m:f>
          </m:sup>
        </m:sSup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begin"/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instrText xml:space="preserve"> ADDIN EN.CITE &lt;EndNote&gt;&lt;Cite&gt;&lt;Author&gt;Iida&lt;/Author&gt;&lt;Year&gt;1986&lt;/Year&gt;&lt;RecNum&gt;75&lt;/RecNum&gt;&lt;DisplayText&gt;[5]&lt;/DisplayText&gt;&lt;record&gt;&lt;rec-number&gt;75&lt;/rec-number&gt;&lt;foreign-keys&gt;&lt;key app="EN" db-id="ppr5vf9xyx2t2yeved4pfv2mtf9tfxf2rrpa" timestamp="1583653273"&gt;75&lt;/key&gt;&lt;/foreign-keys&gt;&lt;ref-type name="Journal Article"&gt;17&lt;/ref-type&gt;&lt;contributors&gt;&lt;authors&gt;&lt;author&gt;Iida, H.&lt;/author&gt;&lt;author&gt;Kanno, I.&lt;/author&gt;&lt;author&gt;Miura, S.&lt;/author&gt;&lt;author&gt;Murakami, M.&lt;/author&gt;&lt;author&gt;Takahashi, K.&lt;/author&gt;&lt;author&gt;Uemura, K.&lt;/author&gt;&lt;/authors&gt;&lt;/contributors&gt;&lt;titles&gt;&lt;title&gt;Error analysis of a quantitative cerebral blood flow measurement using H2(15)O autoradiography and positron emission tomography, with respect to the dispersion of the input function&lt;/title&gt;&lt;secondary-title&gt;J Cereb Blood Flow Metab&lt;/secondary-title&gt;&lt;/titles&gt;&lt;periodical&gt;&lt;full-title&gt;J Cereb Blood Flow Metab&lt;/full-title&gt;&lt;/periodical&gt;&lt;pages&gt;536-45&lt;/pages&gt;&lt;volume&gt;6&lt;/volume&gt;&lt;number&gt;5&lt;/number&gt;&lt;keywords&gt;&lt;keyword&gt;*Autoradiography&lt;/keyword&gt;&lt;keyword&gt;Brain/diagnostic imaging&lt;/keyword&gt;&lt;keyword&gt;*Cerebrovascular Circulation&lt;/keyword&gt;&lt;keyword&gt;Humans&lt;/keyword&gt;&lt;keyword&gt;Hydrogen&lt;/keyword&gt;&lt;keyword&gt;Oxygen Radioisotopes&lt;/keyword&gt;&lt;keyword&gt;*Tomography, Emission-Computed&lt;/keyword&gt;&lt;/keywords&gt;&lt;dates&gt;&lt;year&gt;1986&lt;/year&gt;&lt;pub-dates&gt;&lt;date&gt;Oct&lt;/date&gt;&lt;/pub-dates&gt;&lt;/dates&gt;&lt;isbn&gt;0271-678X (Print)&amp;#xD;0271-678X (Linking)&lt;/isbn&gt;&lt;accession-num&gt;3489723&lt;/accession-num&gt;&lt;urls&gt;&lt;related-urls&gt;&lt;url&gt;https://www.ncbi.nlm.nih.gov/pubmed/3489723&lt;/url&gt;&lt;/related-urls&gt;&lt;/urls&gt;&lt;electronic-resource-num&gt;10.1038/jcbfm.1986.99&lt;/electronic-resource-num&gt;&lt;/record&gt;&lt;/Cite&gt;&lt;/EndNote&gt;</w:instrTex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separate"/>
      </w:r>
      <w:r w:rsidR="00702271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[5]</w: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end"/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, where </w:t>
      </w:r>
      <m:oMath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τ</m:t>
        </m:r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denotes the time constant of dispersion. Delay was modeled by shifting the time scale of the measured whole-blood TAC by the time </w:t>
      </w: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delay </w:t>
      </w:r>
      <w:proofErr w:type="gramEnd"/>
      <m:oMath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∆</m:t>
        </m:r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, that is</w:t>
      </w:r>
    </w:p>
    <w:p w:rsidR="001F28D3" w:rsidRDefault="008417EE" w:rsidP="001F28D3">
      <w:pPr>
        <w:spacing w:after="240" w:line="480" w:lineRule="auto"/>
        <w:ind w:firstLine="708"/>
        <w:jc w:val="right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m:oMath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f>
              <m:fPr>
                <m:type m:val="lin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fPr>
              <m:num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1</m:t>
                </m:r>
              </m:num>
              <m:den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τ</m:t>
                </m:r>
              </m:den>
            </m:f>
          </m:e>
        </m:d>
        <m:sSup>
          <m:sSup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p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e</m:t>
            </m:r>
          </m:e>
          <m:sup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-</m:t>
            </m:r>
            <m:f>
              <m:fPr>
                <m:type m:val="lin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fPr>
              <m:num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t</m:t>
                </m:r>
              </m:num>
              <m:den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τ</m:t>
                </m:r>
              </m:den>
            </m:f>
          </m:sup>
        </m:sSup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*a </m:t>
        </m:r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image derived whole blood TAC</m:t>
            </m:r>
          </m:e>
        </m:d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= </m:t>
        </m:r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t+∆</m:t>
            </m:r>
          </m:e>
        </m:d>
      </m:oMath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,</w:t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  <w:t>(S1)</w:t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where</w:t>
      </w:r>
      <w:proofErr w:type="gram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“*” denotes convolution, </w:t>
      </w:r>
      <w:r w:rsidRPr="00EB7E72">
        <w:rPr>
          <w:rFonts w:ascii="Times New Roman" w:eastAsia="MS Mincho" w:hAnsi="Times New Roman" w:cs="Times New Roman"/>
          <w:i/>
          <w:sz w:val="20"/>
          <w:szCs w:val="20"/>
          <w:lang w:val="en-US" w:eastAsia="ja-JP"/>
        </w:rPr>
        <w:t>a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is a scale factor to adjust the amplitude of the image-derived whole-blood TAC (to account for partial volume effects), and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is the whole-blood TAC measured by the blood sampler. The parameters </w:t>
      </w:r>
      <w:r w:rsidRPr="00EB7E72">
        <w:rPr>
          <w:rFonts w:ascii="Times New Roman" w:eastAsia="MS Mincho" w:hAnsi="Times New Roman" w:cs="Times New Roman"/>
          <w:i/>
          <w:sz w:val="20"/>
          <w:szCs w:val="20"/>
          <w:lang w:val="en-US" w:eastAsia="ja-JP"/>
        </w:rPr>
        <w:t>a</w:t>
      </w:r>
      <w:proofErr w:type="gramStart"/>
      <w:r>
        <w:rPr>
          <w:rFonts w:ascii="Times New Roman" w:eastAsia="MS Mincho" w:hAnsi="Times New Roman" w:cs="Times New Roman"/>
          <w:i/>
          <w:sz w:val="20"/>
          <w:szCs w:val="20"/>
          <w:lang w:val="en-US" w:eastAsia="ja-JP"/>
        </w:rPr>
        <w:t xml:space="preserve">, </w:t>
      </w:r>
      <w:proofErr w:type="gramEnd"/>
      <m:oMath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τ</m:t>
        </m:r>
      </m:oMath>
      <w:r>
        <w:rPr>
          <w:rFonts w:ascii="Times New Roman" w:eastAsia="MS Mincho" w:hAnsi="Times New Roman" w:cs="Times New Roman"/>
          <w:i/>
          <w:sz w:val="20"/>
          <w:szCs w:val="20"/>
          <w:lang w:val="en-US" w:eastAsia="ja-JP"/>
        </w:rPr>
        <w:t xml:space="preserve">, </w:t>
      </w:r>
      <w:r w:rsidRPr="00EB7E72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and </w:t>
      </w:r>
      <m:oMath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∆</m:t>
        </m:r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were determined by minimizing the sum of squared residuals using the MATLAB function fminsearch.</w:t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The whole-blood TAC was corrected for the estimated delay and dispersion using the formula </w: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begin"/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instrText xml:space="preserve"> ADDIN EN.CITE &lt;EndNote&gt;&lt;Cite&gt;&lt;Author&gt;van den Hoff&lt;/Author&gt;&lt;Year&gt;1993&lt;/Year&gt;&lt;RecNum&gt;4&lt;/RecNum&gt;&lt;DisplayText&gt;[4]&lt;/DisplayText&gt;&lt;record&gt;&lt;rec-number&gt;4&lt;/rec-number&gt;&lt;foreign-keys&gt;&lt;key app="EN" db-id="ppr5vf9xyx2t2yeved4pfv2mtf9tfxf2rrpa" timestamp="1567944185"&gt;4&lt;/key&gt;&lt;/foreign-keys&gt;&lt;ref-type name="Journal Article"&gt;17&lt;/ref-type&gt;&lt;contributors&gt;&lt;authors&gt;&lt;author&gt;van den Hoff, J.&lt;/author&gt;&lt;author&gt;Burchert, W.&lt;/author&gt;&lt;author&gt;Muller-Schauenburg, W.&lt;/author&gt;&lt;author&gt;Meyer, G. J.&lt;/author&gt;&lt;author&gt;Hundeshagen, H.&lt;/author&gt;&lt;/authors&gt;&lt;/contributors&gt;&lt;auth-address&gt;Abteilung Nuklearmedizin und spezielle Biophysik, Zentrum Radiologie, Medizinische Hochschule Hannover, Germany.&lt;/auth-address&gt;&lt;titles&gt;&lt;title&gt;Accurate local blood flow measurements with dynamic PET: fast determination of input function delay and dispersion by multilinear minimization&lt;/title&gt;&lt;secondary-title&gt;J Nucl Med&lt;/secondary-title&gt;&lt;/titles&gt;&lt;periodical&gt;&lt;full-title&gt;Journal of Nuclear Medicine&lt;/full-title&gt;&lt;abbr-1&gt;J Nucl Med&lt;/abbr-1&gt;&lt;/periodical&gt;&lt;pages&gt;1770-7&lt;/pages&gt;&lt;volume&gt;34&lt;/volume&gt;&lt;number&gt;10&lt;/number&gt;&lt;keywords&gt;&lt;keyword&gt;*Blood Flow Velocity&lt;/keyword&gt;&lt;keyword&gt;Brain Ischemia/diagnostic imaging/physiopathology&lt;/keyword&gt;&lt;keyword&gt;Cerebrovascular Circulation&lt;/keyword&gt;&lt;keyword&gt;Humans&lt;/keyword&gt;&lt;keyword&gt;Models, Cardiovascular&lt;/keyword&gt;&lt;keyword&gt;Models, Theoretical&lt;/keyword&gt;&lt;keyword&gt;Monte Carlo Method&lt;/keyword&gt;&lt;keyword&gt;Tomography, Emission-Computed/*methods&lt;/keyword&gt;&lt;/keywords&gt;&lt;dates&gt;&lt;year&gt;1993&lt;/year&gt;&lt;pub-dates&gt;&lt;date&gt;Oct&lt;/date&gt;&lt;/pub-dates&gt;&lt;/dates&gt;&lt;isbn&gt;0161-5505 (Print)&amp;#xD;0161-5505 (Linking)&lt;/isbn&gt;&lt;accession-num&gt;8410297&lt;/accession-num&gt;&lt;urls&gt;&lt;related-urls&gt;&lt;url&gt;https://www.ncbi.nlm.nih.gov/pubmed/8410297&lt;/url&gt;&lt;/related-urls&gt;&lt;/urls&gt;&lt;/record&gt;&lt;/Cite&gt;&lt;/EndNote&gt;</w:instrTex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separate"/>
      </w:r>
      <w:r w:rsidR="00702271">
        <w:rPr>
          <w:rFonts w:ascii="Times New Roman" w:eastAsia="MS Mincho" w:hAnsi="Times New Roman" w:cs="Times New Roman"/>
          <w:noProof/>
          <w:sz w:val="20"/>
          <w:szCs w:val="20"/>
          <w:lang w:val="en-US" w:eastAsia="ja-JP"/>
        </w:rPr>
        <w:t>[4]</w:t>
      </w:r>
      <w:r w:rsid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end"/>
      </w:r>
    </w:p>
    <w:p w:rsidR="001F28D3" w:rsidRDefault="008417EE" w:rsidP="001F28D3">
      <w:pPr>
        <w:spacing w:after="240" w:line="480" w:lineRule="auto"/>
        <w:jc w:val="right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corr</m:t>
            </m:r>
          </m:sub>
        </m:sSub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</m:t>
            </m:r>
          </m:e>
        </m:d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= </m:t>
        </m:r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t+∆</m:t>
            </m:r>
          </m:e>
        </m:d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+τ</m:t>
        </m:r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acc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C</m:t>
                </m:r>
              </m:e>
            </m:acc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t+∆</m:t>
            </m:r>
          </m:e>
        </m:d>
      </m:oMath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,</w:t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  <w:t>(S2)</w:t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where</w:t>
      </w:r>
      <w:proofErr w:type="gramEnd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corr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is the corrected whole-blood TAC and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acc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C</m:t>
                </m:r>
              </m:e>
            </m:acc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is the time derivative of the measured whole-blood TAC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. In order to reduce amplification of noise by estimating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acc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C</m:t>
                </m:r>
              </m:e>
            </m:acc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from the </w:t>
      </w: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noisy </w:t>
      </w:r>
      <w:proofErr w:type="gramEnd"/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,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was fitted by the model</w:t>
      </w:r>
    </w:p>
    <w:p w:rsidR="001F28D3" w:rsidRPr="003B76A4" w:rsidRDefault="008417EE" w:rsidP="001F28D3">
      <w:pPr>
        <w:spacing w:after="240" w:line="480" w:lineRule="auto"/>
        <w:jc w:val="right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  <m:d>
          <m:d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</m:t>
            </m:r>
          </m:e>
        </m:d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>=</m:t>
        </m:r>
        <m:d>
          <m:dPr>
            <m:begChr m:val="{"/>
            <m:endChr m:val=""/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sSub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d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t</m:t>
                      </m:r>
                    </m:e>
                  </m:d>
                  <m:r>
                    <w:rPr>
                      <w:rFonts w:ascii="Cambria Math" w:eastAsia="MS Mincho" w:hAnsi="Cambria Math" w:cs="Times New Roman"/>
                      <w:sz w:val="20"/>
                      <w:szCs w:val="20"/>
                      <w:lang w:val="en-US" w:eastAsia="ja-JP"/>
                    </w:rPr>
                    <m:t>=</m:t>
                  </m:r>
                </m:e>
                <m:e>
                  <m:r>
                    <w:rPr>
                      <w:rFonts w:ascii="Cambria Math" w:eastAsia="MS Mincho" w:hAnsi="Cambria Math" w:cs="Times New Roman"/>
                      <w:sz w:val="20"/>
                      <w:szCs w:val="20"/>
                      <w:lang w:val="en-US" w:eastAsia="ja-JP"/>
                    </w:rPr>
                    <m:t>0,</m:t>
                  </m:r>
                </m:e>
                <m:e>
                  <m:r>
                    <w:rPr>
                      <w:rFonts w:ascii="Cambria Math" w:eastAsia="MS Mincho" w:hAnsi="Cambria Math" w:cs="Times New Roman"/>
                      <w:sz w:val="20"/>
                      <w:szCs w:val="20"/>
                      <w:lang w:val="en-US" w:eastAsia="ja-JP"/>
                    </w:rPr>
                    <m:t xml:space="preserve"> t≤</m:t>
                  </m:r>
                  <m:sSub>
                    <m:sSub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sSub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0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sSub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d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t</m:t>
                      </m:r>
                    </m:e>
                  </m:d>
                  <m:r>
                    <w:rPr>
                      <w:rFonts w:ascii="Cambria Math" w:eastAsia="MS Mincho" w:hAnsi="Cambria Math" w:cs="Times New Roman"/>
                      <w:sz w:val="20"/>
                      <w:szCs w:val="20"/>
                      <w:lang w:val="en-US" w:eastAsia="ja-JP"/>
                    </w:rPr>
                    <m:t>=</m:t>
                  </m:r>
                </m:e>
                <m:e>
                  <m:d>
                    <m:d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d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t-</m:t>
                      </m:r>
                      <m:sSub>
                        <m:sSubPr>
                          <m:ctrlPr>
                            <w:rPr>
                              <w:rFonts w:ascii="Cambria Math" w:eastAsia="MS Mincho" w:hAnsi="Cambria Math" w:cs="Times New Roman"/>
                              <w:i/>
                              <w:sz w:val="20"/>
                              <w:szCs w:val="20"/>
                              <w:lang w:val="en-US" w:eastAsia="ja-JP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0</m:t>
                          </m:r>
                        </m:sub>
                      </m:sSub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MS Mincho" w:hAnsi="Cambria Math" w:cs="Times New Roman"/>
                              <w:i/>
                              <w:sz w:val="20"/>
                              <w:szCs w:val="20"/>
                              <w:lang w:val="en-US" w:eastAsia="ja-JP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1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eastAsia="MS Mincho" w:hAnsi="Cambria Math" w:cs="Times New Roman"/>
                              <w:i/>
                              <w:sz w:val="20"/>
                              <w:szCs w:val="20"/>
                              <w:lang w:val="en-US" w:eastAsia="ja-JP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="MS Mincho" w:hAnsi="Cambria Math" w:cs="Times New Roman"/>
                                  <w:i/>
                                  <w:sz w:val="20"/>
                                  <w:szCs w:val="20"/>
                                  <w:lang w:val="en-US" w:eastAsia="ja-JP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MS Mincho" w:hAnsi="Cambria Math" w:cs="Times New Roman"/>
                                  <w:sz w:val="20"/>
                                  <w:szCs w:val="20"/>
                                  <w:lang w:val="en-US" w:eastAsia="ja-JP"/>
                                </w:rPr>
                                <m:t>µ</m:t>
                              </m:r>
                            </m:e>
                            <m:sub>
                              <m:r>
                                <w:rPr>
                                  <w:rFonts w:ascii="Cambria Math" w:eastAsia="MS Mincho" w:hAnsi="Cambria Math" w:cs="Times New Roman"/>
                                  <w:sz w:val="20"/>
                                  <w:szCs w:val="20"/>
                                  <w:lang w:val="en-US" w:eastAsia="ja-JP"/>
                                </w:rPr>
                                <m:t>1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eastAsia="MS Mincho" w:hAnsi="Cambria Math" w:cs="Times New Roman"/>
                                  <w:i/>
                                  <w:sz w:val="20"/>
                                  <w:szCs w:val="20"/>
                                  <w:lang w:val="en-US" w:eastAsia="ja-JP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MS Mincho" w:hAnsi="Cambria Math" w:cs="Times New Roman"/>
                                  <w:sz w:val="20"/>
                                  <w:szCs w:val="20"/>
                                  <w:lang w:val="en-US" w:eastAsia="ja-JP"/>
                                </w:rPr>
                                <m:t>t-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MS Mincho" w:hAnsi="Cambria Math" w:cs="Times New Roman"/>
                                      <w:i/>
                                      <w:sz w:val="20"/>
                                      <w:szCs w:val="20"/>
                                      <w:lang w:val="en-US" w:eastAsia="ja-JP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MS Mincho" w:hAnsi="Cambria Math" w:cs="Times New Roman"/>
                                      <w:sz w:val="20"/>
                                      <w:szCs w:val="20"/>
                                      <w:lang w:val="en-US" w:eastAsia="ja-JP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MS Mincho" w:hAnsi="Cambria Math" w:cs="Times New Roman"/>
                                      <w:sz w:val="20"/>
                                      <w:szCs w:val="20"/>
                                      <w:lang w:val="en-US" w:eastAsia="ja-JP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sup>
                      </m:sSup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MS Mincho" w:hAnsi="Cambria Math" w:cs="Times New Roman"/>
                              <w:i/>
                              <w:sz w:val="20"/>
                              <w:szCs w:val="20"/>
                              <w:lang w:val="en-US" w:eastAsia="ja-JP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2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eastAsia="MS Mincho" w:hAnsi="Cambria Math" w:cs="Times New Roman"/>
                              <w:i/>
                              <w:sz w:val="20"/>
                              <w:szCs w:val="20"/>
                              <w:lang w:val="en-US" w:eastAsia="ja-JP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MS Mincho" w:hAnsi="Cambria Math" w:cs="Times New Roman"/>
                              <w:sz w:val="20"/>
                              <w:szCs w:val="20"/>
                              <w:lang w:val="en-US" w:eastAsia="ja-JP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="MS Mincho" w:hAnsi="Cambria Math" w:cs="Times New Roman"/>
                                  <w:i/>
                                  <w:sz w:val="20"/>
                                  <w:szCs w:val="20"/>
                                  <w:lang w:val="en-US" w:eastAsia="ja-JP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MS Mincho" w:hAnsi="Cambria Math" w:cs="Times New Roman"/>
                                  <w:sz w:val="20"/>
                                  <w:szCs w:val="20"/>
                                  <w:lang w:val="en-US" w:eastAsia="ja-JP"/>
                                </w:rPr>
                                <m:t>µ</m:t>
                              </m:r>
                            </m:e>
                            <m:sub>
                              <m:r>
                                <w:rPr>
                                  <w:rFonts w:ascii="Cambria Math" w:eastAsia="MS Mincho" w:hAnsi="Cambria Math" w:cs="Times New Roman"/>
                                  <w:sz w:val="20"/>
                                  <w:szCs w:val="20"/>
                                  <w:lang w:val="en-US" w:eastAsia="ja-JP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eastAsia="MS Mincho" w:hAnsi="Cambria Math" w:cs="Times New Roman"/>
                                  <w:i/>
                                  <w:sz w:val="20"/>
                                  <w:szCs w:val="20"/>
                                  <w:lang w:val="en-US" w:eastAsia="ja-JP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MS Mincho" w:hAnsi="Cambria Math" w:cs="Times New Roman"/>
                                  <w:sz w:val="20"/>
                                  <w:szCs w:val="20"/>
                                  <w:lang w:val="en-US" w:eastAsia="ja-JP"/>
                                </w:rPr>
                                <m:t>t-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MS Mincho" w:hAnsi="Cambria Math" w:cs="Times New Roman"/>
                                      <w:i/>
                                      <w:sz w:val="20"/>
                                      <w:szCs w:val="20"/>
                                      <w:lang w:val="en-US" w:eastAsia="ja-JP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MS Mincho" w:hAnsi="Cambria Math" w:cs="Times New Roman"/>
                                      <w:sz w:val="20"/>
                                      <w:szCs w:val="20"/>
                                      <w:lang w:val="en-US" w:eastAsia="ja-JP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MS Mincho" w:hAnsi="Cambria Math" w:cs="Times New Roman"/>
                                      <w:sz w:val="20"/>
                                      <w:szCs w:val="20"/>
                                      <w:lang w:val="en-US" w:eastAsia="ja-JP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sup>
                      </m:sSup>
                    </m:e>
                  </m:d>
                  <m:r>
                    <w:rPr>
                      <w:rFonts w:ascii="Cambria Math" w:eastAsia="MS Mincho" w:hAnsi="Cambria Math" w:cs="Times New Roman"/>
                      <w:sz w:val="20"/>
                      <w:szCs w:val="20"/>
                      <w:lang w:val="en-US" w:eastAsia="ja-JP"/>
                    </w:rPr>
                    <m:t>,</m:t>
                  </m:r>
                </m:e>
                <m:e>
                  <m:sSub>
                    <m:sSub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sSub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0</m:t>
                      </m:r>
                    </m:sub>
                  </m:sSub>
                  <m:r>
                    <w:rPr>
                      <w:rFonts w:ascii="Cambria Math" w:eastAsia="MS Mincho" w:hAnsi="Cambria Math" w:cs="Times New Roman"/>
                      <w:sz w:val="20"/>
                      <w:szCs w:val="20"/>
                      <w:lang w:val="en-US" w:eastAsia="ja-JP"/>
                    </w:rPr>
                    <m:t>≤t&lt;</m:t>
                  </m:r>
                  <m:sSub>
                    <m:sSubPr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sSubPr>
                    <m:e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MS Mincho" w:hAnsi="Cambria Math" w:cs="Times New Roman"/>
                          <w:sz w:val="20"/>
                          <w:szCs w:val="20"/>
                          <w:lang w:val="en-US" w:eastAsia="ja-JP"/>
                        </w:rPr>
                        <m:t>1</m:t>
                      </m:r>
                    </m:sub>
                  </m:sSub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3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=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4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=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3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µ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3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t-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MS Mincho" w:hAnsi="Cambria Math" w:cs="Times New Roman"/>
                                        <w:i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</m:sup>
                        </m:sSup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+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2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MS Mincho" w:hAnsi="Cambria Math" w:cs="Times New Roman"/>
                                        <w:i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-a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µ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4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t-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MS Mincho" w:hAnsi="Cambria Math" w:cs="Times New Roman"/>
                                        <w:i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</m:sup>
                        </m:sSup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,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4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µ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5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t-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MS Mincho" w:hAnsi="Cambria Math" w:cs="Times New Roman"/>
                                        <w:i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</m:sup>
                        </m:sSup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+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3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MS Mincho" w:hAnsi="Cambria Math" w:cs="Times New Roman"/>
                                        <w:i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-a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4</m:t>
                                </m:r>
                              </m:sub>
                            </m:sSub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µ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6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="MS Mincho" w:hAnsi="Cambria Math" w:cs="Times New Roman"/>
                                    <w:i/>
                                    <w:sz w:val="20"/>
                                    <w:szCs w:val="20"/>
                                    <w:lang w:val="en-US" w:eastAsia="ja-JP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="MS Mincho" w:hAnsi="Cambria Math" w:cs="Times New Roman"/>
                                    <w:sz w:val="20"/>
                                    <w:szCs w:val="20"/>
                                    <w:lang w:val="en-US" w:eastAsia="ja-JP"/>
                                  </w:rPr>
                                  <m:t>t-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MS Mincho" w:hAnsi="Cambria Math" w:cs="Times New Roman"/>
                                        <w:i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MS Mincho" w:hAnsi="Cambria Math" w:cs="Times New Roman"/>
                                        <w:sz w:val="20"/>
                                        <w:szCs w:val="20"/>
                                        <w:lang w:val="en-US" w:eastAsia="ja-JP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</m:sup>
                        </m:sSup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,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MS Mincho" w:hAnsi="Cambria Math" w:cs="Times New Roman"/>
                          <w:i/>
                          <w:sz w:val="20"/>
                          <w:szCs w:val="20"/>
                          <w:lang w:val="en-US" w:eastAsia="ja-JP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≤t&lt;</m:t>
                        </m:r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eastAsia="MS Mincho" w:hAnsi="Cambria Math" w:cs="Times New Roman"/>
                            <w:sz w:val="20"/>
                            <w:szCs w:val="20"/>
                            <w:lang w:val="en-US" w:eastAsia="ja-JP"/>
                          </w:rPr>
                          <m:t>t≥</m:t>
                        </m:r>
                        <m:sSub>
                          <m:sSubPr>
                            <m:ctrlPr>
                              <w:rPr>
                                <w:rFonts w:ascii="Cambria Math" w:eastAsia="MS Mincho" w:hAnsi="Cambria Math" w:cs="Times New Roman"/>
                                <w:i/>
                                <w:sz w:val="20"/>
                                <w:szCs w:val="20"/>
                                <w:lang w:val="en-US" w:eastAsia="ja-JP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MS Mincho" w:hAnsi="Cambria Math" w:cs="Times New Roman"/>
                                <w:sz w:val="20"/>
                                <w:szCs w:val="20"/>
                                <w:lang w:val="en-US" w:eastAsia="ja-JP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</m:mr>
            </m:m>
          </m:e>
        </m:d>
      </m:oMath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</w:r>
      <w:r w:rsidR="001F28D3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ab/>
        <w:t>(S3)</w:t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The quality of the fit was checked visually and was found to be adequate in all cases (</w:t>
      </w:r>
      <w:r w:rsidR="0036491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Figure S4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). An estimate of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acc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C</m:t>
                </m:r>
              </m:e>
            </m:acc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was obtained using difference quotients computed from the model fit. The resulting curve was filtered with a 1-dimensional Gaussian kernel with 0.25 s FWHM in order to avoid artefacts at the separation points </w:t>
      </w:r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0</m:t>
            </m:r>
          </m:sub>
        </m:sSub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, </m:t>
        </m:r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1</m:t>
            </m:r>
          </m:sub>
        </m:sSub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, </m:t>
        </m:r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t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2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of the piecewise model (S3). The model was only used to </w:t>
      </w: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estimate </w:t>
      </w:r>
      <w:proofErr w:type="gramEnd"/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MS Mincho" w:hAnsi="Cambria Math" w:cs="Times New Roman"/>
                    <w:i/>
                    <w:sz w:val="20"/>
                    <w:szCs w:val="20"/>
                    <w:lang w:val="en-US" w:eastAsia="ja-JP"/>
                  </w:rPr>
                </m:ctrlPr>
              </m:accPr>
              <m:e>
                <m:r>
                  <w:rPr>
                    <w:rFonts w:ascii="Cambria Math" w:eastAsia="MS Mincho" w:hAnsi="Cambria Math" w:cs="Times New Roman"/>
                    <w:sz w:val="20"/>
                    <w:szCs w:val="20"/>
                    <w:lang w:val="en-US" w:eastAsia="ja-JP"/>
                  </w:rPr>
                  <m:t>C</m:t>
                </m:r>
              </m:e>
            </m:acc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. The first term on the right hand side of formula (S2) was obtained from the measured (noisy</w:t>
      </w: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) </w:t>
      </w:r>
      <w:proofErr w:type="gramEnd"/>
      <m:oMath>
        <m:sSub>
          <m:sSubPr>
            <m:ctrlPr>
              <w:rPr>
                <w:rFonts w:ascii="Cambria Math" w:eastAsia="MS Mincho" w:hAnsi="Cambria Math" w:cs="Times New Roman"/>
                <w:i/>
                <w:sz w:val="20"/>
                <w:szCs w:val="20"/>
                <w:lang w:val="en-US" w:eastAsia="ja-JP"/>
              </w:rPr>
            </m:ctrlPr>
          </m:sSubPr>
          <m:e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C</m:t>
            </m:r>
          </m:e>
          <m:sub>
            <m:r>
              <w:rPr>
                <w:rFonts w:ascii="Cambria Math" w:eastAsia="MS Mincho" w:hAnsi="Cambria Math" w:cs="Times New Roman"/>
                <w:sz w:val="20"/>
                <w:szCs w:val="20"/>
                <w:lang w:val="en-US" w:eastAsia="ja-JP"/>
              </w:rPr>
              <m:t>m</m:t>
            </m:r>
          </m:sub>
        </m:sSub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. A representative example of the corrected whole-blood TAC is </w:t>
      </w:r>
      <w:r w:rsidR="0036491E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shown in Figure S5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.</w:t>
      </w:r>
    </w:p>
    <w:p w:rsidR="00947EB1" w:rsidRDefault="00947EB1">
      <w:pPr>
        <w:spacing w:after="160" w:line="259" w:lineRule="auto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br w:type="page"/>
      </w:r>
    </w:p>
    <w:p w:rsidR="00947EB1" w:rsidRPr="00947EB1" w:rsidRDefault="00947EB1" w:rsidP="00947EB1">
      <w:pPr>
        <w:autoSpaceDE w:val="0"/>
        <w:autoSpaceDN w:val="0"/>
        <w:adjustRightInd w:val="0"/>
        <w:spacing w:line="480" w:lineRule="auto"/>
        <w:rPr>
          <w:rFonts w:ascii="Times New Roman" w:eastAsia="MS Mincho" w:hAnsi="Times New Roman" w:cs="Times New Roman"/>
          <w:b/>
          <w:lang w:val="en-US" w:eastAsia="ja-JP"/>
        </w:rPr>
      </w:pPr>
      <w:r w:rsidRPr="00947EB1">
        <w:rPr>
          <w:rFonts w:ascii="Times New Roman" w:eastAsia="MS Mincho" w:hAnsi="Times New Roman" w:cs="Times New Roman"/>
          <w:b/>
          <w:lang w:val="en-US" w:eastAsia="ja-JP"/>
        </w:rPr>
        <w:lastRenderedPageBreak/>
        <w:t>References</w:t>
      </w:r>
    </w:p>
    <w:p w:rsidR="00702271" w:rsidRPr="00702271" w:rsidRDefault="00702271" w:rsidP="0070227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begin"/>
      </w: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instrText xml:space="preserve"> ADDIN EN.REFLIST </w:instrTex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separate"/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1. </w:t>
      </w: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Rolls ET, Joliot M, Tzourio-Mazoyer N. Implementation of a new parcellation of the orbitofrontal cortex in the automated anatomical labeling atlas. Neuroimage. 2015;122:1-5. doi:10.1016/j.neuroimage.2015.07.075.</w:t>
      </w:r>
    </w:p>
    <w:p w:rsidR="00702271" w:rsidRPr="00702271" w:rsidRDefault="00702271" w:rsidP="0070227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2. </w:t>
      </w: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Tzourio-Mazoyer N, Landeau B, Papathanassiou D, Crivello F, Etard O, Delcroix N, et al. Automated anatomical labeling of activations in SPM using a macroscopic anatomical parcellation of the MNI MRI single-subject brain. Neuroimage. 2002;15:273-89. doi:10.1006/nimg.2001.0978.</w:t>
      </w:r>
    </w:p>
    <w:p w:rsidR="00702271" w:rsidRPr="00702271" w:rsidRDefault="00702271" w:rsidP="0070227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 w:rsidRPr="008963E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3. Hua K, Zhang JY, Wakana S, Jiang HY, Li X, Reich DS, et al. </w:t>
      </w: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Tract probability maps in stereotaxic spaces: Analyses of white matter anatomy and tract-specific quantification. Neuroimage. 2008;39:336-47. doi:10.1016/j.neuroimage.2007.07.053.</w:t>
      </w:r>
    </w:p>
    <w:p w:rsidR="00702271" w:rsidRPr="00702271" w:rsidRDefault="00702271" w:rsidP="0070227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4. </w:t>
      </w: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van den Hoff J, Burchert W, Muller-Schauenburg W, Meyer GJ, Hundeshagen H. Accurate local blood flow measurements with dynamic PET: fast determination of input function delay and dispersion by multilinear minimization. J Nucl Med. 1993;34:1770-7.</w:t>
      </w:r>
    </w:p>
    <w:p w:rsidR="00702271" w:rsidRPr="00702271" w:rsidRDefault="00702271" w:rsidP="0070227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5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. </w:t>
      </w:r>
      <w:r w:rsidRPr="00702271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Iida H, Kanno I, Miura S, Murakami M, Takahashi K, Uemura K. Error analysis of a quantitative cerebral blood flow measurement using H2(15)O autoradiography and positron emission tomography, with respect to the dispersion of the input function. J Cereb Blood Flow Metab. 1986;6:536-45. doi:10.1038/jcbfm.1986.99.</w:t>
      </w:r>
    </w:p>
    <w:p w:rsidR="00702271" w:rsidRDefault="00702271" w:rsidP="00702271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fldChar w:fldCharType="end"/>
      </w:r>
    </w:p>
    <w:p w:rsidR="00861AA1" w:rsidRPr="008B08E0" w:rsidRDefault="00861AA1" w:rsidP="008B08E0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947EB1" w:rsidRDefault="00947EB1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1F28D3">
      <w:pPr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br w:type="page"/>
      </w:r>
    </w:p>
    <w:p w:rsidR="001F28D3" w:rsidRPr="00AA13FD" w:rsidRDefault="001F28D3" w:rsidP="001F28D3">
      <w:pPr>
        <w:pageBreakBefore/>
        <w:autoSpaceDE w:val="0"/>
        <w:autoSpaceDN w:val="0"/>
        <w:adjustRightInd w:val="0"/>
        <w:spacing w:before="960" w:line="480" w:lineRule="auto"/>
        <w:rPr>
          <w:rFonts w:ascii="Times New Roman" w:eastAsia="MS Mincho" w:hAnsi="Times New Roman" w:cs="Times New Roman"/>
          <w:b/>
          <w:lang w:val="en-US" w:eastAsia="ja-JP"/>
        </w:rPr>
      </w:pPr>
      <w:r w:rsidRPr="00947EB1">
        <w:rPr>
          <w:rFonts w:ascii="Times New Roman" w:eastAsia="MS Mincho" w:hAnsi="Times New Roman" w:cs="Times New Roman"/>
          <w:b/>
          <w:lang w:val="en-US" w:eastAsia="ja-JP"/>
        </w:rPr>
        <w:lastRenderedPageBreak/>
        <w:t>Supplementary figures</w:t>
      </w:r>
      <w:r w:rsidRPr="00AA13FD">
        <w:rPr>
          <w:rFonts w:ascii="Times New Roman" w:eastAsia="MS Mincho" w:hAnsi="Times New Roman" w:cs="Times New Roman"/>
          <w:b/>
          <w:lang w:val="en-US" w:eastAsia="ja-JP"/>
        </w:rPr>
        <w:t xml:space="preserve"> </w:t>
      </w:r>
    </w:p>
    <w:p w:rsidR="0036491E" w:rsidRDefault="0036491E">
      <w:pPr>
        <w:spacing w:after="160" w:line="259" w:lineRule="auto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36491E" w:rsidRDefault="0036491E">
      <w:pPr>
        <w:spacing w:after="160" w:line="259" w:lineRule="auto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36491E" w:rsidRPr="007433AD" w:rsidRDefault="0036491E" w:rsidP="0036491E">
      <w:pPr>
        <w:pStyle w:val="Correspondence"/>
        <w:tabs>
          <w:tab w:val="left" w:pos="5387"/>
          <w:tab w:val="left" w:pos="6379"/>
        </w:tabs>
        <w:spacing w:after="240" w:line="480" w:lineRule="auto"/>
        <w:rPr>
          <w:rFonts w:ascii="Times New Roman" w:hAnsi="Times New Roman"/>
          <w:b/>
          <w:sz w:val="20"/>
          <w:lang w:val="en-GB"/>
        </w:rPr>
      </w:pPr>
      <w:r w:rsidRPr="007433AD">
        <w:rPr>
          <w:rFonts w:ascii="Times New Roman" w:hAnsi="Times New Roman"/>
          <w:b/>
          <w:noProof/>
          <w:sz w:val="20"/>
        </w:rPr>
        <w:drawing>
          <wp:inline distT="0" distB="0" distL="0" distR="0" wp14:anchorId="4DC068AF" wp14:editId="697CD74A">
            <wp:extent cx="5768340" cy="4326255"/>
            <wp:effectExtent l="0" t="0" r="381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180_AAL_ROIs_wo_large_vessel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91E" w:rsidRPr="007433AD" w:rsidRDefault="0036491E" w:rsidP="0036491E">
      <w:pPr>
        <w:pStyle w:val="Correspondence"/>
        <w:tabs>
          <w:tab w:val="left" w:pos="5387"/>
          <w:tab w:val="left" w:pos="6379"/>
        </w:tabs>
        <w:spacing w:after="240" w:line="480" w:lineRule="auto"/>
        <w:rPr>
          <w:rFonts w:ascii="Times New Roman" w:hAnsi="Times New Roman"/>
          <w:sz w:val="20"/>
          <w:lang w:val="en-GB"/>
        </w:rPr>
      </w:pPr>
      <w:r w:rsidRPr="007433AD">
        <w:rPr>
          <w:rFonts w:ascii="Times New Roman" w:hAnsi="Times New Roman"/>
          <w:b/>
          <w:sz w:val="20"/>
          <w:lang w:val="en-GB"/>
        </w:rPr>
        <w:t xml:space="preserve">Fig. </w:t>
      </w:r>
      <w:r>
        <w:rPr>
          <w:rFonts w:ascii="Times New Roman" w:hAnsi="Times New Roman"/>
          <w:b/>
          <w:sz w:val="20"/>
          <w:lang w:val="en-GB"/>
        </w:rPr>
        <w:t>S1</w:t>
      </w:r>
      <w:r w:rsidRPr="007433AD">
        <w:rPr>
          <w:rFonts w:ascii="Times New Roman" w:hAnsi="Times New Roman"/>
          <w:b/>
          <w:sz w:val="20"/>
          <w:lang w:val="en-GB"/>
        </w:rPr>
        <w:t xml:space="preserve"> </w:t>
      </w:r>
      <w:r w:rsidRPr="007433AD">
        <w:rPr>
          <w:rFonts w:ascii="Times New Roman" w:hAnsi="Times New Roman"/>
          <w:sz w:val="20"/>
          <w:lang w:val="en-GB"/>
        </w:rPr>
        <w:t>Regions of interest in MNI space</w:t>
      </w:r>
    </w:p>
    <w:p w:rsidR="0036491E" w:rsidRDefault="0036491E">
      <w:pPr>
        <w:spacing w:after="160" w:line="259" w:lineRule="auto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br w:type="page"/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5B6BCE">
      <w:pPr>
        <w:spacing w:after="240" w:line="480" w:lineRule="auto"/>
        <w:jc w:val="center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noProof/>
          <w:sz w:val="20"/>
          <w:szCs w:val="20"/>
          <w:lang w:eastAsia="de-DE"/>
        </w:rPr>
        <w:drawing>
          <wp:inline distT="0" distB="0" distL="0" distR="0" wp14:anchorId="0D0E9ADA" wp14:editId="0457674E">
            <wp:extent cx="5361940" cy="3331845"/>
            <wp:effectExtent l="0" t="0" r="0" b="190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94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3E1" w:rsidRDefault="001F28D3" w:rsidP="008963E1">
      <w:pPr>
        <w:spacing w:after="240" w:line="480" w:lineRule="auto"/>
        <w:jc w:val="both"/>
        <w:rPr>
          <w:rFonts w:ascii="Times New Roman" w:eastAsia="MS Mincho" w:hAnsi="Times New Roman"/>
          <w:sz w:val="20"/>
          <w:lang w:val="en-US" w:eastAsia="ja-JP"/>
        </w:rPr>
      </w:pPr>
      <w:r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Fig.</w:t>
      </w:r>
      <w:r w:rsidRPr="003B76A4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 xml:space="preserve"> </w:t>
      </w:r>
      <w:r w:rsidR="00947EB1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S</w:t>
      </w:r>
      <w:r w:rsidR="0036491E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2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="008963E1">
        <w:rPr>
          <w:rFonts w:ascii="Times New Roman" w:eastAsia="MS Mincho" w:hAnsi="Times New Roman"/>
          <w:sz w:val="20"/>
          <w:lang w:val="en-US" w:eastAsia="ja-JP"/>
        </w:rPr>
        <w:t xml:space="preserve">Mean activity concentration of the 6113 hottest voxels (corresponding to 30 ml) in 20 consecutive PET images </w:t>
      </w:r>
      <w:r w:rsidR="008963E1" w:rsidRPr="003B76A4">
        <w:rPr>
          <w:rFonts w:ascii="Times New Roman" w:eastAsia="MS Mincho" w:hAnsi="Times New Roman"/>
          <w:sz w:val="20"/>
          <w:lang w:val="en-US" w:eastAsia="ja-JP"/>
        </w:rPr>
        <w:t xml:space="preserve">of 3 s duration reconstructed from </w:t>
      </w:r>
      <w:r w:rsidR="008963E1" w:rsidRPr="005923ED">
        <w:rPr>
          <w:rFonts w:ascii="Times New Roman" w:eastAsia="MS Mincho" w:hAnsi="Times New Roman"/>
          <w:sz w:val="20"/>
          <w:lang w:val="en-US" w:eastAsia="ja-JP"/>
        </w:rPr>
        <w:t>the first minute of the</w:t>
      </w:r>
      <w:r w:rsidR="008963E1" w:rsidRPr="003B76A4">
        <w:rPr>
          <w:rFonts w:ascii="Times New Roman" w:eastAsia="MS Mincho" w:hAnsi="Times New Roman"/>
          <w:sz w:val="20"/>
          <w:lang w:val="en-US" w:eastAsia="ja-JP"/>
        </w:rPr>
        <w:t xml:space="preserve"> PET list mode emission data</w:t>
      </w:r>
      <w:r w:rsidR="008963E1">
        <w:rPr>
          <w:rFonts w:ascii="Times New Roman" w:eastAsia="MS Mincho" w:hAnsi="Times New Roman"/>
          <w:sz w:val="20"/>
          <w:lang w:val="en-US" w:eastAsia="ja-JP"/>
        </w:rPr>
        <w:t xml:space="preserve"> of a representative subject</w:t>
      </w:r>
      <w:r w:rsidR="008963E1" w:rsidRPr="003B76A4">
        <w:rPr>
          <w:rFonts w:ascii="Times New Roman" w:eastAsia="MS Mincho" w:hAnsi="Times New Roman"/>
          <w:sz w:val="20"/>
          <w:lang w:val="en-US" w:eastAsia="ja-JP"/>
        </w:rPr>
        <w:t xml:space="preserve">. </w:t>
      </w:r>
      <w:r w:rsidR="008963E1">
        <w:rPr>
          <w:rFonts w:ascii="Times New Roman" w:eastAsia="MS Mincho" w:hAnsi="Times New Roman"/>
          <w:sz w:val="20"/>
          <w:lang w:val="en-US" w:eastAsia="ja-JP"/>
        </w:rPr>
        <w:t>The hottest voxels were determined separately for each frame. The frame at which the activity started to increase towards the peak activity was determined visually (here frame 6, red circle)</w:t>
      </w:r>
    </w:p>
    <w:p w:rsidR="008963E1" w:rsidRDefault="008963E1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br w:type="page"/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5B6BCE">
      <w:pPr>
        <w:spacing w:after="240" w:line="480" w:lineRule="auto"/>
        <w:jc w:val="center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noProof/>
          <w:sz w:val="20"/>
          <w:szCs w:val="20"/>
          <w:lang w:eastAsia="de-DE"/>
        </w:rPr>
        <w:drawing>
          <wp:inline distT="0" distB="0" distL="0" distR="0" wp14:anchorId="2822C11A" wp14:editId="5856CAE6">
            <wp:extent cx="5361940" cy="402145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S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940" cy="402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22D" w:rsidRDefault="001F28D3" w:rsidP="0096722D">
      <w:pPr>
        <w:spacing w:after="240" w:line="480" w:lineRule="auto"/>
        <w:jc w:val="both"/>
        <w:rPr>
          <w:rFonts w:ascii="Times New Roman" w:eastAsia="MS Mincho" w:hAnsi="Times New Roman"/>
          <w:sz w:val="20"/>
          <w:lang w:val="en-US" w:eastAsia="ja-JP"/>
        </w:rPr>
      </w:pPr>
      <w:r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 xml:space="preserve">Fig. </w:t>
      </w:r>
      <w:r w:rsidR="00947EB1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S</w:t>
      </w:r>
      <w:r w:rsidR="0036491E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3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 w:rsidR="0096722D">
        <w:rPr>
          <w:rFonts w:ascii="Times New Roman" w:eastAsia="MS Mincho" w:hAnsi="Times New Roman"/>
          <w:sz w:val="20"/>
          <w:lang w:val="en-US" w:eastAsia="ja-JP"/>
        </w:rPr>
        <w:t xml:space="preserve">Binary arterial whole-blood mask in a representative subject. The mask is overlaid to the subject’s T1w-MRI </w:t>
      </w:r>
    </w:p>
    <w:p w:rsidR="0096722D" w:rsidRDefault="0096722D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1F28D3">
      <w:pPr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br w:type="page"/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5B6BCE">
      <w:pPr>
        <w:spacing w:after="240" w:line="480" w:lineRule="auto"/>
        <w:jc w:val="center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noProof/>
          <w:sz w:val="20"/>
          <w:szCs w:val="20"/>
          <w:lang w:eastAsia="de-DE"/>
        </w:rPr>
        <w:drawing>
          <wp:inline distT="0" distB="0" distL="0" distR="0" wp14:anchorId="14B2CC33" wp14:editId="2A50708F">
            <wp:extent cx="5361940" cy="2682240"/>
            <wp:effectExtent l="0" t="0" r="0" b="381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S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94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 xml:space="preserve">Fig. </w:t>
      </w:r>
      <w:r w:rsidR="00947EB1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S</w:t>
      </w:r>
      <w:r w:rsidR="0036491E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4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Model fit of the whole-blood TAC measured with the automatic blood sampler</w:t>
      </w:r>
    </w:p>
    <w:p w:rsidR="001F28D3" w:rsidRDefault="001F28D3" w:rsidP="001F28D3">
      <w:pPr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br w:type="page"/>
      </w:r>
    </w:p>
    <w:p w:rsidR="001F28D3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</w:p>
    <w:p w:rsidR="001F28D3" w:rsidRDefault="001F28D3" w:rsidP="005B6BCE">
      <w:pPr>
        <w:spacing w:after="240" w:line="480" w:lineRule="auto"/>
        <w:jc w:val="center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noProof/>
          <w:sz w:val="20"/>
          <w:szCs w:val="20"/>
          <w:lang w:eastAsia="de-DE"/>
        </w:rPr>
        <w:drawing>
          <wp:inline distT="0" distB="0" distL="0" distR="0" wp14:anchorId="6AFAE1FB" wp14:editId="35BC57B0">
            <wp:extent cx="5361940" cy="3441700"/>
            <wp:effectExtent l="0" t="0" r="0" b="635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S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94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271" w:rsidRDefault="001F28D3" w:rsidP="001F28D3">
      <w:pPr>
        <w:spacing w:after="240" w:line="480" w:lineRule="auto"/>
        <w:jc w:val="both"/>
        <w:rPr>
          <w:rFonts w:ascii="Times New Roman" w:eastAsia="MS Mincho" w:hAnsi="Times New Roman" w:cs="Times New Roman"/>
          <w:sz w:val="20"/>
          <w:szCs w:val="20"/>
          <w:lang w:val="en-US" w:eastAsia="ja-JP"/>
        </w:rPr>
      </w:pPr>
      <w:r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 xml:space="preserve">Fig. </w:t>
      </w:r>
      <w:r w:rsidR="00947EB1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S</w:t>
      </w:r>
      <w:r w:rsidR="0036491E">
        <w:rPr>
          <w:rFonts w:ascii="Times New Roman" w:eastAsia="MS Mincho" w:hAnsi="Times New Roman" w:cs="Times New Roman"/>
          <w:b/>
          <w:sz w:val="20"/>
          <w:szCs w:val="20"/>
          <w:lang w:val="en-US" w:eastAsia="ja-JP"/>
        </w:rPr>
        <w:t>5</w:t>
      </w:r>
      <w:r w:rsidRPr="003B76A4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Representative whole-blood TAC measured with the automatic blood sampler corrected for delay and dispersion based on an image-derived whole-blood TAC. </w:t>
      </w:r>
      <w:r w:rsidR="001E7A3C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D</w:t>
      </w:r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elay and dispersion time constant were estimated to </w:t>
      </w:r>
      <m:oMath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∆ = </m:t>
        </m:r>
      </m:oMath>
      <w:r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 xml:space="preserve">12.3 s and </w:t>
      </w:r>
      <m:oMath>
        <m:r>
          <w:rPr>
            <w:rFonts w:ascii="Cambria Math" w:eastAsia="MS Mincho" w:hAnsi="Cambria Math" w:cs="Times New Roman"/>
            <w:sz w:val="20"/>
            <w:szCs w:val="20"/>
            <w:lang w:val="en-US" w:eastAsia="ja-JP"/>
          </w:rPr>
          <m:t xml:space="preserve">τ= </m:t>
        </m:r>
      </m:oMath>
      <w:r w:rsidR="001E7A3C">
        <w:rPr>
          <w:rFonts w:ascii="Times New Roman" w:eastAsia="MS Mincho" w:hAnsi="Times New Roman" w:cs="Times New Roman"/>
          <w:sz w:val="20"/>
          <w:szCs w:val="20"/>
          <w:lang w:val="en-US" w:eastAsia="ja-JP"/>
        </w:rPr>
        <w:t>5.7 s in this case</w:t>
      </w:r>
    </w:p>
    <w:sectPr w:rsidR="00702271" w:rsidSect="00BF3EF1">
      <w:pgSz w:w="11906" w:h="16838"/>
      <w:pgMar w:top="1872" w:right="1584" w:bottom="1872" w:left="158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57E9B"/>
    <w:multiLevelType w:val="hybridMultilevel"/>
    <w:tmpl w:val="1DFCB8D4"/>
    <w:lvl w:ilvl="0" w:tplc="961895A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Nuc Med Molec Imaging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r5vf9xyx2t2yeved4pfv2mtf9tfxf2rrpa&quot;&gt;refs_GE180&lt;record-ids&gt;&lt;item&gt;4&lt;/item&gt;&lt;item&gt;8&lt;/item&gt;&lt;item&gt;61&lt;/item&gt;&lt;item&gt;62&lt;/item&gt;&lt;item&gt;75&lt;/item&gt;&lt;/record-ids&gt;&lt;/item&gt;&lt;/Libraries&gt;"/>
  </w:docVars>
  <w:rsids>
    <w:rsidRoot w:val="00A665CC"/>
    <w:rsid w:val="000F5A91"/>
    <w:rsid w:val="001E7A3C"/>
    <w:rsid w:val="001F28D3"/>
    <w:rsid w:val="0036491E"/>
    <w:rsid w:val="004616DE"/>
    <w:rsid w:val="005B6BCE"/>
    <w:rsid w:val="00702271"/>
    <w:rsid w:val="008417EE"/>
    <w:rsid w:val="00861AA1"/>
    <w:rsid w:val="008963E1"/>
    <w:rsid w:val="008B08E0"/>
    <w:rsid w:val="00947EB1"/>
    <w:rsid w:val="0096722D"/>
    <w:rsid w:val="00A665CC"/>
    <w:rsid w:val="00A75F8C"/>
    <w:rsid w:val="00B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19CAE7-FD9C-44F1-BD86-4880476F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F28D3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47EB1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861AA1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61AA1"/>
    <w:rPr>
      <w:rFonts w:ascii="Calibri" w:hAnsi="Calibri" w:cs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61AA1"/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61AA1"/>
    <w:rPr>
      <w:rFonts w:ascii="Calibri" w:hAnsi="Calibri" w:cs="Calibri"/>
      <w:noProof/>
      <w:sz w:val="24"/>
      <w:szCs w:val="24"/>
      <w:lang w:val="en-US"/>
    </w:rPr>
  </w:style>
  <w:style w:type="paragraph" w:customStyle="1" w:styleId="Correspondence">
    <w:name w:val="Correspondence"/>
    <w:basedOn w:val="Standard"/>
    <w:link w:val="CorrespondenceZchn"/>
    <w:rsid w:val="00A75F8C"/>
    <w:pPr>
      <w:tabs>
        <w:tab w:val="left" w:pos="851"/>
      </w:tabs>
      <w:spacing w:line="360" w:lineRule="atLeast"/>
      <w:jc w:val="both"/>
    </w:pPr>
    <w:rPr>
      <w:rFonts w:ascii="Times" w:eastAsia="Times New Roman" w:hAnsi="Times" w:cs="Times New Roman"/>
      <w:szCs w:val="20"/>
      <w:lang w:eastAsia="de-DE"/>
    </w:rPr>
  </w:style>
  <w:style w:type="character" w:customStyle="1" w:styleId="CorrespondenceZchn">
    <w:name w:val="Correspondence Zchn"/>
    <w:basedOn w:val="Absatz-Standardschriftart"/>
    <w:link w:val="Correspondence"/>
    <w:rsid w:val="00A75F8C"/>
    <w:rPr>
      <w:rFonts w:ascii="Times" w:eastAsia="Times New Roman" w:hAnsi="Times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1721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Buchert</dc:creator>
  <cp:keywords/>
  <dc:description/>
  <cp:lastModifiedBy>Ralph Buchert</cp:lastModifiedBy>
  <cp:revision>14</cp:revision>
  <dcterms:created xsi:type="dcterms:W3CDTF">2020-03-17T09:33:00Z</dcterms:created>
  <dcterms:modified xsi:type="dcterms:W3CDTF">2020-03-18T12:27:00Z</dcterms:modified>
</cp:coreProperties>
</file>