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chtelijst-accent1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452"/>
        <w:gridCol w:w="1453"/>
        <w:gridCol w:w="1453"/>
        <w:gridCol w:w="1453"/>
        <w:gridCol w:w="1276"/>
      </w:tblGrid>
      <w:tr w:rsidR="008211F6" w:rsidRPr="00DA5F16" w:rsidTr="00D317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5" w:type="dxa"/>
            <w:gridSpan w:val="6"/>
          </w:tcPr>
          <w:p w:rsidR="008211F6" w:rsidRDefault="008211F6" w:rsidP="00D3178A">
            <w:pPr>
              <w:spacing w:line="276" w:lineRule="auto"/>
              <w:rPr>
                <w:b w:val="0"/>
                <w:lang w:val="en-US"/>
              </w:rPr>
            </w:pPr>
            <w:bookmarkStart w:id="0" w:name="_GoBack"/>
            <w:r>
              <w:rPr>
                <w:lang w:val="en-US"/>
              </w:rPr>
              <w:t>Table S1. Percentage change in mean absorbed dose (</w:t>
            </w:r>
            <w:proofErr w:type="spellStart"/>
            <w:r>
              <w:rPr>
                <w:lang w:val="en-US"/>
              </w:rPr>
              <w:t>Gy</w:t>
            </w:r>
            <w:proofErr w:type="spellEnd"/>
            <w:r>
              <w:rPr>
                <w:lang w:val="en-US"/>
              </w:rPr>
              <w:t>) per response category (95%CI)</w:t>
            </w:r>
          </w:p>
        </w:tc>
      </w:tr>
      <w:tr w:rsidR="008211F6" w:rsidTr="00D31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8211F6" w:rsidRDefault="008211F6" w:rsidP="00D3178A">
            <w:pPr>
              <w:spacing w:line="276" w:lineRule="auto"/>
              <w:rPr>
                <w:lang w:val="en-US"/>
              </w:rPr>
            </w:pPr>
          </w:p>
        </w:tc>
        <w:tc>
          <w:tcPr>
            <w:tcW w:w="1452" w:type="dxa"/>
          </w:tcPr>
          <w:p w:rsidR="008211F6" w:rsidRDefault="008211F6" w:rsidP="00D3178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Progressive disease</w:t>
            </w:r>
          </w:p>
        </w:tc>
        <w:tc>
          <w:tcPr>
            <w:tcW w:w="1453" w:type="dxa"/>
            <w:hideMark/>
          </w:tcPr>
          <w:p w:rsidR="008211F6" w:rsidRDefault="008211F6" w:rsidP="00D3178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Stable disease</w:t>
            </w:r>
          </w:p>
        </w:tc>
        <w:tc>
          <w:tcPr>
            <w:tcW w:w="1453" w:type="dxa"/>
            <w:hideMark/>
          </w:tcPr>
          <w:p w:rsidR="008211F6" w:rsidRDefault="008211F6" w:rsidP="00D3178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Partial response</w:t>
            </w:r>
          </w:p>
        </w:tc>
        <w:tc>
          <w:tcPr>
            <w:tcW w:w="1453" w:type="dxa"/>
            <w:hideMark/>
          </w:tcPr>
          <w:p w:rsidR="008211F6" w:rsidRDefault="008211F6" w:rsidP="00D3178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Complete response</w:t>
            </w:r>
          </w:p>
        </w:tc>
        <w:tc>
          <w:tcPr>
            <w:tcW w:w="1276" w:type="dxa"/>
          </w:tcPr>
          <w:p w:rsidR="008211F6" w:rsidRDefault="008211F6" w:rsidP="00D3178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8211F6" w:rsidTr="00D31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8211F6" w:rsidRPr="004A5EC1" w:rsidRDefault="008211F6" w:rsidP="00D3178A">
            <w:pPr>
              <w:spacing w:line="276" w:lineRule="auto"/>
              <w:rPr>
                <w:i/>
                <w:lang w:val="en-US"/>
              </w:rPr>
            </w:pPr>
            <w:r w:rsidRPr="004A5EC1">
              <w:rPr>
                <w:i/>
                <w:lang w:val="en-US"/>
              </w:rPr>
              <w:t>Patient-level</w:t>
            </w:r>
          </w:p>
        </w:tc>
        <w:tc>
          <w:tcPr>
            <w:tcW w:w="1452" w:type="dxa"/>
          </w:tcPr>
          <w:p w:rsidR="008211F6" w:rsidRDefault="008211F6" w:rsidP="00D3178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n=2</w:t>
            </w:r>
          </w:p>
        </w:tc>
        <w:tc>
          <w:tcPr>
            <w:tcW w:w="1453" w:type="dxa"/>
          </w:tcPr>
          <w:p w:rsidR="008211F6" w:rsidRDefault="00DA5F16" w:rsidP="00D3178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n=11</w:t>
            </w:r>
          </w:p>
        </w:tc>
        <w:tc>
          <w:tcPr>
            <w:tcW w:w="1453" w:type="dxa"/>
          </w:tcPr>
          <w:p w:rsidR="008211F6" w:rsidRDefault="00DA5F16" w:rsidP="00D317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n=4</w:t>
            </w:r>
          </w:p>
        </w:tc>
        <w:tc>
          <w:tcPr>
            <w:tcW w:w="1453" w:type="dxa"/>
          </w:tcPr>
          <w:p w:rsidR="008211F6" w:rsidRDefault="008211F6" w:rsidP="00D317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n=0</w:t>
            </w:r>
          </w:p>
        </w:tc>
        <w:tc>
          <w:tcPr>
            <w:tcW w:w="1276" w:type="dxa"/>
          </w:tcPr>
          <w:p w:rsidR="008211F6" w:rsidRDefault="008211F6" w:rsidP="00D317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</w:p>
        </w:tc>
      </w:tr>
      <w:tr w:rsidR="008211F6" w:rsidTr="00D31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8211F6" w:rsidRPr="00A90830" w:rsidRDefault="008211F6" w:rsidP="00D3178A">
            <w:pPr>
              <w:rPr>
                <w:color w:val="548DD4" w:themeColor="text2" w:themeTint="99"/>
                <w:lang w:val="en-US"/>
              </w:rPr>
            </w:pPr>
            <w:r w:rsidRPr="00A90830">
              <w:rPr>
                <w:b w:val="0"/>
                <w:i/>
                <w:color w:val="548DD4" w:themeColor="text2" w:themeTint="99"/>
                <w:lang w:val="en-US"/>
              </w:rPr>
              <w:t>Mean dose (</w:t>
            </w:r>
            <w:proofErr w:type="spellStart"/>
            <w:r w:rsidRPr="00A90830">
              <w:rPr>
                <w:b w:val="0"/>
                <w:i/>
                <w:color w:val="548DD4" w:themeColor="text2" w:themeTint="99"/>
                <w:lang w:val="en-US"/>
              </w:rPr>
              <w:t>Gy</w:t>
            </w:r>
            <w:proofErr w:type="spellEnd"/>
            <w:r w:rsidRPr="00A90830">
              <w:rPr>
                <w:b w:val="0"/>
                <w:i/>
                <w:color w:val="548DD4" w:themeColor="text2" w:themeTint="99"/>
                <w:lang w:val="en-US"/>
              </w:rPr>
              <w:t>)</w:t>
            </w:r>
          </w:p>
        </w:tc>
        <w:tc>
          <w:tcPr>
            <w:tcW w:w="1452" w:type="dxa"/>
          </w:tcPr>
          <w:p w:rsidR="008211F6" w:rsidRPr="00A90830" w:rsidRDefault="008211F6" w:rsidP="00D317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48DD4" w:themeColor="text2" w:themeTint="99"/>
                <w:lang w:val="en-US"/>
              </w:rPr>
            </w:pPr>
            <w:r>
              <w:rPr>
                <w:i/>
                <w:color w:val="548DD4" w:themeColor="text2" w:themeTint="99"/>
                <w:lang w:val="en-US"/>
              </w:rPr>
              <w:t>61</w:t>
            </w:r>
            <w:r w:rsidRPr="00A90830">
              <w:rPr>
                <w:i/>
                <w:color w:val="548DD4" w:themeColor="text2" w:themeTint="99"/>
                <w:lang w:val="en-US"/>
              </w:rPr>
              <w:t xml:space="preserve"> (</w:t>
            </w:r>
            <w:r>
              <w:rPr>
                <w:i/>
                <w:color w:val="548DD4" w:themeColor="text2" w:themeTint="99"/>
                <w:lang w:val="en-US"/>
              </w:rPr>
              <w:t>29</w:t>
            </w:r>
            <w:r w:rsidRPr="00A90830">
              <w:rPr>
                <w:i/>
                <w:color w:val="548DD4" w:themeColor="text2" w:themeTint="99"/>
                <w:lang w:val="en-US"/>
              </w:rPr>
              <w:t>;</w:t>
            </w:r>
            <w:r>
              <w:rPr>
                <w:i/>
                <w:color w:val="548DD4" w:themeColor="text2" w:themeTint="99"/>
                <w:lang w:val="en-US"/>
              </w:rPr>
              <w:t>129</w:t>
            </w:r>
            <w:r w:rsidRPr="00A90830">
              <w:rPr>
                <w:i/>
                <w:color w:val="548DD4" w:themeColor="text2" w:themeTint="99"/>
                <w:lang w:val="en-US"/>
              </w:rPr>
              <w:t>)</w:t>
            </w:r>
          </w:p>
        </w:tc>
        <w:tc>
          <w:tcPr>
            <w:tcW w:w="1453" w:type="dxa"/>
          </w:tcPr>
          <w:p w:rsidR="008211F6" w:rsidRPr="00A90830" w:rsidRDefault="008211F6" w:rsidP="00D317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48DD4" w:themeColor="text2" w:themeTint="99"/>
                <w:lang w:val="en-US"/>
              </w:rPr>
            </w:pPr>
            <w:r w:rsidRPr="00A90830">
              <w:rPr>
                <w:i/>
                <w:color w:val="548DD4" w:themeColor="text2" w:themeTint="99"/>
                <w:lang w:val="en-US"/>
              </w:rPr>
              <w:t>1</w:t>
            </w:r>
            <w:r>
              <w:rPr>
                <w:i/>
                <w:color w:val="548DD4" w:themeColor="text2" w:themeTint="99"/>
                <w:lang w:val="en-US"/>
              </w:rPr>
              <w:t>28</w:t>
            </w:r>
            <w:r w:rsidRPr="00A90830">
              <w:rPr>
                <w:i/>
                <w:color w:val="548DD4" w:themeColor="text2" w:themeTint="99"/>
                <w:lang w:val="en-US"/>
              </w:rPr>
              <w:t xml:space="preserve"> (</w:t>
            </w:r>
            <w:r>
              <w:rPr>
                <w:i/>
                <w:color w:val="548DD4" w:themeColor="text2" w:themeTint="99"/>
                <w:lang w:val="en-US"/>
              </w:rPr>
              <w:t>100</w:t>
            </w:r>
            <w:r w:rsidRPr="00A90830">
              <w:rPr>
                <w:i/>
                <w:color w:val="548DD4" w:themeColor="text2" w:themeTint="99"/>
                <w:lang w:val="en-US"/>
              </w:rPr>
              <w:t>;</w:t>
            </w:r>
            <w:r>
              <w:rPr>
                <w:i/>
                <w:color w:val="548DD4" w:themeColor="text2" w:themeTint="99"/>
                <w:lang w:val="en-US"/>
              </w:rPr>
              <w:t>164</w:t>
            </w:r>
            <w:r w:rsidRPr="00A90830">
              <w:rPr>
                <w:i/>
                <w:color w:val="548DD4" w:themeColor="text2" w:themeTint="99"/>
                <w:lang w:val="en-US"/>
              </w:rPr>
              <w:t>)</w:t>
            </w:r>
          </w:p>
        </w:tc>
        <w:tc>
          <w:tcPr>
            <w:tcW w:w="1453" w:type="dxa"/>
          </w:tcPr>
          <w:p w:rsidR="008211F6" w:rsidRPr="00A90830" w:rsidRDefault="008211F6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48DD4" w:themeColor="text2" w:themeTint="99"/>
                <w:lang w:val="en-US"/>
              </w:rPr>
            </w:pPr>
            <w:r w:rsidRPr="00A90830">
              <w:rPr>
                <w:i/>
                <w:color w:val="548DD4" w:themeColor="text2" w:themeTint="99"/>
                <w:lang w:val="en-US"/>
              </w:rPr>
              <w:t>1</w:t>
            </w:r>
            <w:r>
              <w:rPr>
                <w:i/>
                <w:color w:val="548DD4" w:themeColor="text2" w:themeTint="99"/>
                <w:lang w:val="en-US"/>
              </w:rPr>
              <w:t>50</w:t>
            </w:r>
            <w:r w:rsidRPr="00A90830">
              <w:rPr>
                <w:i/>
                <w:color w:val="548DD4" w:themeColor="text2" w:themeTint="99"/>
                <w:lang w:val="en-US"/>
              </w:rPr>
              <w:t xml:space="preserve"> (</w:t>
            </w:r>
            <w:r>
              <w:rPr>
                <w:i/>
                <w:color w:val="548DD4" w:themeColor="text2" w:themeTint="99"/>
                <w:lang w:val="en-US"/>
              </w:rPr>
              <w:t>102</w:t>
            </w:r>
            <w:r w:rsidRPr="00A90830">
              <w:rPr>
                <w:i/>
                <w:color w:val="548DD4" w:themeColor="text2" w:themeTint="99"/>
                <w:lang w:val="en-US"/>
              </w:rPr>
              <w:t>;2</w:t>
            </w:r>
            <w:r>
              <w:rPr>
                <w:i/>
                <w:color w:val="548DD4" w:themeColor="text2" w:themeTint="99"/>
                <w:lang w:val="en-US"/>
              </w:rPr>
              <w:t>19</w:t>
            </w:r>
            <w:r w:rsidRPr="00A90830">
              <w:rPr>
                <w:i/>
                <w:color w:val="548DD4" w:themeColor="text2" w:themeTint="99"/>
                <w:lang w:val="en-US"/>
              </w:rPr>
              <w:t>)</w:t>
            </w:r>
          </w:p>
        </w:tc>
        <w:tc>
          <w:tcPr>
            <w:tcW w:w="1453" w:type="dxa"/>
          </w:tcPr>
          <w:p w:rsidR="008211F6" w:rsidRPr="00A90830" w:rsidRDefault="008211F6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  <w:lang w:val="en-US"/>
              </w:rPr>
            </w:pPr>
            <w:r w:rsidRPr="00A90830">
              <w:rPr>
                <w:color w:val="548DD4" w:themeColor="text2" w:themeTint="99"/>
                <w:lang w:val="en-US"/>
              </w:rPr>
              <w:t>-</w:t>
            </w:r>
          </w:p>
        </w:tc>
        <w:tc>
          <w:tcPr>
            <w:tcW w:w="1276" w:type="dxa"/>
          </w:tcPr>
          <w:p w:rsidR="008211F6" w:rsidRDefault="008211F6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</w:p>
        </w:tc>
      </w:tr>
      <w:tr w:rsidR="008211F6" w:rsidTr="00D31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8211F6" w:rsidRDefault="008211F6" w:rsidP="00D3178A">
            <w:pPr>
              <w:spacing w:line="276" w:lineRule="auto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Unadjusted</w:t>
            </w:r>
          </w:p>
        </w:tc>
        <w:tc>
          <w:tcPr>
            <w:tcW w:w="1452" w:type="dxa"/>
          </w:tcPr>
          <w:p w:rsidR="008211F6" w:rsidRDefault="008211F6" w:rsidP="00D3178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i/>
                <w:lang w:val="en-US"/>
              </w:rPr>
              <w:t>reference</w:t>
            </w:r>
          </w:p>
        </w:tc>
        <w:tc>
          <w:tcPr>
            <w:tcW w:w="1453" w:type="dxa"/>
            <w:hideMark/>
          </w:tcPr>
          <w:p w:rsidR="008211F6" w:rsidRDefault="008211F6" w:rsidP="00D3178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110 0.1;344)</w:t>
            </w:r>
          </w:p>
        </w:tc>
        <w:tc>
          <w:tcPr>
            <w:tcW w:w="1453" w:type="dxa"/>
          </w:tcPr>
          <w:p w:rsidR="008211F6" w:rsidRDefault="008211F6" w:rsidP="00D317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146 (-14;433)</w:t>
            </w:r>
          </w:p>
        </w:tc>
        <w:tc>
          <w:tcPr>
            <w:tcW w:w="1453" w:type="dxa"/>
          </w:tcPr>
          <w:p w:rsidR="008211F6" w:rsidRPr="008970D6" w:rsidRDefault="008211F6" w:rsidP="00D317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:rsidR="008211F6" w:rsidRDefault="008211F6" w:rsidP="00D317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proofErr w:type="spellStart"/>
            <w:r>
              <w:rPr>
                <w:i/>
                <w:lang w:val="en-US"/>
              </w:rPr>
              <w:t>P</w:t>
            </w:r>
            <w:r>
              <w:rPr>
                <w:i/>
                <w:vertAlign w:val="subscript"/>
                <w:lang w:val="en-US"/>
              </w:rPr>
              <w:t>trend</w:t>
            </w:r>
            <w:proofErr w:type="spellEnd"/>
            <w:r>
              <w:rPr>
                <w:i/>
                <w:lang w:val="en-US"/>
              </w:rPr>
              <w:t>=0.094</w:t>
            </w:r>
          </w:p>
        </w:tc>
      </w:tr>
      <w:tr w:rsidR="008211F6" w:rsidTr="00D31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8211F6" w:rsidRPr="004A5EC1" w:rsidRDefault="008211F6" w:rsidP="00D3178A">
            <w:pPr>
              <w:spacing w:line="276" w:lineRule="auto"/>
              <w:rPr>
                <w:i/>
                <w:lang w:val="en-US"/>
              </w:rPr>
            </w:pPr>
            <w:r w:rsidRPr="004A5EC1">
              <w:rPr>
                <w:i/>
                <w:lang w:val="en-US"/>
              </w:rPr>
              <w:t>Tumor-level</w:t>
            </w:r>
          </w:p>
        </w:tc>
        <w:tc>
          <w:tcPr>
            <w:tcW w:w="1452" w:type="dxa"/>
          </w:tcPr>
          <w:p w:rsidR="008211F6" w:rsidRDefault="008211F6" w:rsidP="00D3178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n=14</w:t>
            </w:r>
          </w:p>
        </w:tc>
        <w:tc>
          <w:tcPr>
            <w:tcW w:w="1453" w:type="dxa"/>
          </w:tcPr>
          <w:p w:rsidR="008211F6" w:rsidRDefault="008211F6" w:rsidP="00D3178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n=25</w:t>
            </w:r>
          </w:p>
        </w:tc>
        <w:tc>
          <w:tcPr>
            <w:tcW w:w="1453" w:type="dxa"/>
          </w:tcPr>
          <w:p w:rsidR="008211F6" w:rsidRDefault="008211F6" w:rsidP="00D3178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n=8</w:t>
            </w:r>
          </w:p>
        </w:tc>
        <w:tc>
          <w:tcPr>
            <w:tcW w:w="1453" w:type="dxa"/>
          </w:tcPr>
          <w:p w:rsidR="008211F6" w:rsidRDefault="008211F6" w:rsidP="00D3178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n=5</w:t>
            </w:r>
          </w:p>
        </w:tc>
        <w:tc>
          <w:tcPr>
            <w:tcW w:w="1276" w:type="dxa"/>
          </w:tcPr>
          <w:p w:rsidR="008211F6" w:rsidRDefault="008211F6" w:rsidP="00D3178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</w:p>
        </w:tc>
      </w:tr>
      <w:tr w:rsidR="008211F6" w:rsidTr="00D31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8211F6" w:rsidRPr="00A90830" w:rsidRDefault="008211F6" w:rsidP="00D3178A">
            <w:pPr>
              <w:rPr>
                <w:b w:val="0"/>
                <w:i/>
                <w:color w:val="548DD4" w:themeColor="text2" w:themeTint="99"/>
                <w:lang w:val="en-US"/>
              </w:rPr>
            </w:pPr>
            <w:r w:rsidRPr="00A90830">
              <w:rPr>
                <w:b w:val="0"/>
                <w:i/>
                <w:color w:val="548DD4" w:themeColor="text2" w:themeTint="99"/>
                <w:lang w:val="en-US"/>
              </w:rPr>
              <w:t>Mean dose (</w:t>
            </w:r>
            <w:proofErr w:type="spellStart"/>
            <w:r w:rsidRPr="00A90830">
              <w:rPr>
                <w:b w:val="0"/>
                <w:i/>
                <w:color w:val="548DD4" w:themeColor="text2" w:themeTint="99"/>
                <w:lang w:val="en-US"/>
              </w:rPr>
              <w:t>Gy</w:t>
            </w:r>
            <w:proofErr w:type="spellEnd"/>
            <w:r w:rsidRPr="00A90830">
              <w:rPr>
                <w:b w:val="0"/>
                <w:i/>
                <w:color w:val="548DD4" w:themeColor="text2" w:themeTint="99"/>
                <w:lang w:val="en-US"/>
              </w:rPr>
              <w:t>)</w:t>
            </w:r>
          </w:p>
        </w:tc>
        <w:tc>
          <w:tcPr>
            <w:tcW w:w="1452" w:type="dxa"/>
          </w:tcPr>
          <w:p w:rsidR="008211F6" w:rsidRPr="00A90830" w:rsidRDefault="008211F6" w:rsidP="00D317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548DD4" w:themeColor="text2" w:themeTint="99"/>
                <w:lang w:val="en-US"/>
              </w:rPr>
            </w:pPr>
            <w:r w:rsidRPr="00A90830">
              <w:rPr>
                <w:i/>
                <w:color w:val="548DD4" w:themeColor="text2" w:themeTint="99"/>
                <w:lang w:val="en-US"/>
              </w:rPr>
              <w:t>10</w:t>
            </w:r>
            <w:r>
              <w:rPr>
                <w:i/>
                <w:color w:val="548DD4" w:themeColor="text2" w:themeTint="99"/>
                <w:lang w:val="en-US"/>
              </w:rPr>
              <w:t>3</w:t>
            </w:r>
            <w:r w:rsidRPr="00A90830">
              <w:rPr>
                <w:i/>
                <w:color w:val="548DD4" w:themeColor="text2" w:themeTint="99"/>
                <w:lang w:val="en-US"/>
              </w:rPr>
              <w:t xml:space="preserve"> (</w:t>
            </w:r>
            <w:r>
              <w:rPr>
                <w:i/>
                <w:color w:val="548DD4" w:themeColor="text2" w:themeTint="99"/>
                <w:lang w:val="en-US"/>
              </w:rPr>
              <w:t>72</w:t>
            </w:r>
            <w:r w:rsidRPr="00A90830">
              <w:rPr>
                <w:i/>
                <w:color w:val="548DD4" w:themeColor="text2" w:themeTint="99"/>
                <w:lang w:val="en-US"/>
              </w:rPr>
              <w:t>;14</w:t>
            </w:r>
            <w:r>
              <w:rPr>
                <w:i/>
                <w:color w:val="548DD4" w:themeColor="text2" w:themeTint="99"/>
                <w:lang w:val="en-US"/>
              </w:rPr>
              <w:t>6</w:t>
            </w:r>
            <w:r w:rsidRPr="00A90830">
              <w:rPr>
                <w:i/>
                <w:color w:val="548DD4" w:themeColor="text2" w:themeTint="99"/>
                <w:lang w:val="en-US"/>
              </w:rPr>
              <w:t>)</w:t>
            </w:r>
          </w:p>
        </w:tc>
        <w:tc>
          <w:tcPr>
            <w:tcW w:w="1453" w:type="dxa"/>
          </w:tcPr>
          <w:p w:rsidR="008211F6" w:rsidRPr="00A90830" w:rsidRDefault="008211F6" w:rsidP="00D317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548DD4" w:themeColor="text2" w:themeTint="99"/>
                <w:lang w:val="en-US"/>
              </w:rPr>
            </w:pPr>
            <w:r w:rsidRPr="00A90830">
              <w:rPr>
                <w:i/>
                <w:color w:val="548DD4" w:themeColor="text2" w:themeTint="99"/>
                <w:lang w:val="en-US"/>
              </w:rPr>
              <w:t>12</w:t>
            </w:r>
            <w:r>
              <w:rPr>
                <w:i/>
                <w:color w:val="548DD4" w:themeColor="text2" w:themeTint="99"/>
                <w:lang w:val="en-US"/>
              </w:rPr>
              <w:t>1</w:t>
            </w:r>
            <w:r w:rsidRPr="00A90830">
              <w:rPr>
                <w:i/>
                <w:color w:val="548DD4" w:themeColor="text2" w:themeTint="99"/>
                <w:lang w:val="en-US"/>
              </w:rPr>
              <w:t xml:space="preserve"> (9</w:t>
            </w:r>
            <w:r>
              <w:rPr>
                <w:i/>
                <w:color w:val="548DD4" w:themeColor="text2" w:themeTint="99"/>
                <w:lang w:val="en-US"/>
              </w:rPr>
              <w:t>4</w:t>
            </w:r>
            <w:r w:rsidRPr="00A90830">
              <w:rPr>
                <w:i/>
                <w:color w:val="548DD4" w:themeColor="text2" w:themeTint="99"/>
                <w:lang w:val="en-US"/>
              </w:rPr>
              <w:t>;1</w:t>
            </w:r>
            <w:r>
              <w:rPr>
                <w:i/>
                <w:color w:val="548DD4" w:themeColor="text2" w:themeTint="99"/>
                <w:lang w:val="en-US"/>
              </w:rPr>
              <w:t>56</w:t>
            </w:r>
            <w:r w:rsidRPr="00A90830">
              <w:rPr>
                <w:i/>
                <w:color w:val="548DD4" w:themeColor="text2" w:themeTint="99"/>
                <w:lang w:val="en-US"/>
              </w:rPr>
              <w:t>)</w:t>
            </w:r>
          </w:p>
        </w:tc>
        <w:tc>
          <w:tcPr>
            <w:tcW w:w="1453" w:type="dxa"/>
          </w:tcPr>
          <w:p w:rsidR="008211F6" w:rsidRPr="00A90830" w:rsidRDefault="008211F6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548DD4" w:themeColor="text2" w:themeTint="99"/>
                <w:lang w:val="en-US"/>
              </w:rPr>
            </w:pPr>
            <w:r w:rsidRPr="00A90830">
              <w:rPr>
                <w:i/>
                <w:color w:val="548DD4" w:themeColor="text2" w:themeTint="99"/>
                <w:lang w:val="en-US"/>
              </w:rPr>
              <w:t>1</w:t>
            </w:r>
            <w:r>
              <w:rPr>
                <w:i/>
                <w:color w:val="548DD4" w:themeColor="text2" w:themeTint="99"/>
                <w:lang w:val="en-US"/>
              </w:rPr>
              <w:t>63</w:t>
            </w:r>
            <w:r w:rsidRPr="00A90830">
              <w:rPr>
                <w:i/>
                <w:color w:val="548DD4" w:themeColor="text2" w:themeTint="99"/>
                <w:lang w:val="en-US"/>
              </w:rPr>
              <w:t xml:space="preserve"> (10</w:t>
            </w:r>
            <w:r>
              <w:rPr>
                <w:i/>
                <w:color w:val="548DD4" w:themeColor="text2" w:themeTint="99"/>
                <w:lang w:val="en-US"/>
              </w:rPr>
              <w:t>9</w:t>
            </w:r>
            <w:r w:rsidRPr="00A90830">
              <w:rPr>
                <w:i/>
                <w:color w:val="548DD4" w:themeColor="text2" w:themeTint="99"/>
                <w:lang w:val="en-US"/>
              </w:rPr>
              <w:t>;</w:t>
            </w:r>
            <w:r>
              <w:rPr>
                <w:i/>
                <w:color w:val="548DD4" w:themeColor="text2" w:themeTint="99"/>
                <w:lang w:val="en-US"/>
              </w:rPr>
              <w:t>243</w:t>
            </w:r>
            <w:r w:rsidRPr="00A90830">
              <w:rPr>
                <w:i/>
                <w:color w:val="548DD4" w:themeColor="text2" w:themeTint="99"/>
                <w:lang w:val="en-US"/>
              </w:rPr>
              <w:t>)</w:t>
            </w:r>
          </w:p>
        </w:tc>
        <w:tc>
          <w:tcPr>
            <w:tcW w:w="1453" w:type="dxa"/>
          </w:tcPr>
          <w:p w:rsidR="008211F6" w:rsidRPr="00A90830" w:rsidRDefault="008211F6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548DD4" w:themeColor="text2" w:themeTint="99"/>
                <w:lang w:val="en-US"/>
              </w:rPr>
            </w:pPr>
            <w:r w:rsidRPr="00A90830">
              <w:rPr>
                <w:i/>
                <w:color w:val="548DD4" w:themeColor="text2" w:themeTint="99"/>
                <w:lang w:val="en-US"/>
              </w:rPr>
              <w:t>2</w:t>
            </w:r>
            <w:r>
              <w:rPr>
                <w:i/>
                <w:color w:val="548DD4" w:themeColor="text2" w:themeTint="99"/>
                <w:lang w:val="en-US"/>
              </w:rPr>
              <w:t>22</w:t>
            </w:r>
            <w:r w:rsidRPr="00A90830">
              <w:rPr>
                <w:i/>
                <w:color w:val="548DD4" w:themeColor="text2" w:themeTint="99"/>
                <w:lang w:val="en-US"/>
              </w:rPr>
              <w:t xml:space="preserve"> (11</w:t>
            </w:r>
            <w:r>
              <w:rPr>
                <w:i/>
                <w:color w:val="548DD4" w:themeColor="text2" w:themeTint="99"/>
                <w:lang w:val="en-US"/>
              </w:rPr>
              <w:t>8</w:t>
            </w:r>
            <w:r w:rsidRPr="00A90830">
              <w:rPr>
                <w:i/>
                <w:color w:val="548DD4" w:themeColor="text2" w:themeTint="99"/>
                <w:lang w:val="en-US"/>
              </w:rPr>
              <w:t>;4</w:t>
            </w:r>
            <w:r>
              <w:rPr>
                <w:i/>
                <w:color w:val="548DD4" w:themeColor="text2" w:themeTint="99"/>
                <w:lang w:val="en-US"/>
              </w:rPr>
              <w:t>18</w:t>
            </w:r>
            <w:r w:rsidRPr="00A90830">
              <w:rPr>
                <w:i/>
                <w:color w:val="548DD4" w:themeColor="text2" w:themeTint="99"/>
                <w:lang w:val="en-US"/>
              </w:rPr>
              <w:t>)</w:t>
            </w:r>
          </w:p>
        </w:tc>
        <w:tc>
          <w:tcPr>
            <w:tcW w:w="1276" w:type="dxa"/>
          </w:tcPr>
          <w:p w:rsidR="008211F6" w:rsidRDefault="008211F6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</w:p>
        </w:tc>
      </w:tr>
      <w:tr w:rsidR="008211F6" w:rsidRPr="00C4074C" w:rsidTr="00D31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8211F6" w:rsidRDefault="008211F6" w:rsidP="00D3178A">
            <w:pPr>
              <w:spacing w:line="276" w:lineRule="auto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Unadjusted</w:t>
            </w:r>
          </w:p>
        </w:tc>
        <w:tc>
          <w:tcPr>
            <w:tcW w:w="1452" w:type="dxa"/>
          </w:tcPr>
          <w:p w:rsidR="008211F6" w:rsidRDefault="008211F6" w:rsidP="00D3178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i/>
                <w:lang w:val="en-US"/>
              </w:rPr>
              <w:t>reference</w:t>
            </w:r>
          </w:p>
        </w:tc>
        <w:tc>
          <w:tcPr>
            <w:tcW w:w="1453" w:type="dxa"/>
          </w:tcPr>
          <w:p w:rsidR="008211F6" w:rsidRDefault="008211F6" w:rsidP="00D3178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18 (-19;173)</w:t>
            </w:r>
          </w:p>
        </w:tc>
        <w:tc>
          <w:tcPr>
            <w:tcW w:w="1453" w:type="dxa"/>
          </w:tcPr>
          <w:p w:rsidR="008211F6" w:rsidRDefault="008211F6" w:rsidP="00D3178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58 (-4;161)</w:t>
            </w:r>
          </w:p>
        </w:tc>
        <w:tc>
          <w:tcPr>
            <w:tcW w:w="1453" w:type="dxa"/>
          </w:tcPr>
          <w:p w:rsidR="008211F6" w:rsidRPr="00C75C40" w:rsidRDefault="008211F6" w:rsidP="00D3178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116 (8;330)</w:t>
            </w:r>
          </w:p>
        </w:tc>
        <w:tc>
          <w:tcPr>
            <w:tcW w:w="1276" w:type="dxa"/>
          </w:tcPr>
          <w:p w:rsidR="008211F6" w:rsidRDefault="008211F6" w:rsidP="00D3178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proofErr w:type="spellStart"/>
            <w:r>
              <w:rPr>
                <w:i/>
                <w:lang w:val="en-US"/>
              </w:rPr>
              <w:t>P</w:t>
            </w:r>
            <w:r>
              <w:rPr>
                <w:i/>
                <w:vertAlign w:val="subscript"/>
                <w:lang w:val="en-US"/>
              </w:rPr>
              <w:t>trend</w:t>
            </w:r>
            <w:proofErr w:type="spellEnd"/>
            <w:r>
              <w:rPr>
                <w:i/>
                <w:lang w:val="en-US"/>
              </w:rPr>
              <w:t>=0.023</w:t>
            </w:r>
          </w:p>
        </w:tc>
      </w:tr>
      <w:tr w:rsidR="008211F6" w:rsidRPr="00C4074C" w:rsidTr="00D31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8211F6" w:rsidRDefault="008211F6" w:rsidP="00D3178A">
            <w:pPr>
              <w:spacing w:line="276" w:lineRule="auto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Adjusted</w:t>
            </w:r>
            <w:r>
              <w:rPr>
                <w:b w:val="0"/>
                <w:i/>
                <w:vertAlign w:val="superscript"/>
                <w:lang w:val="en-US"/>
              </w:rPr>
              <w:t>§</w:t>
            </w:r>
          </w:p>
        </w:tc>
        <w:tc>
          <w:tcPr>
            <w:tcW w:w="1452" w:type="dxa"/>
          </w:tcPr>
          <w:p w:rsidR="008211F6" w:rsidRDefault="008211F6" w:rsidP="00D317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i/>
                <w:lang w:val="en-US"/>
              </w:rPr>
              <w:t>reference</w:t>
            </w:r>
          </w:p>
        </w:tc>
        <w:tc>
          <w:tcPr>
            <w:tcW w:w="1453" w:type="dxa"/>
          </w:tcPr>
          <w:p w:rsidR="008211F6" w:rsidRDefault="008211F6" w:rsidP="00D317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21 (-16;80)</w:t>
            </w:r>
          </w:p>
        </w:tc>
        <w:tc>
          <w:tcPr>
            <w:tcW w:w="1453" w:type="dxa"/>
          </w:tcPr>
          <w:p w:rsidR="008211F6" w:rsidRDefault="008211F6" w:rsidP="00D317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68 (-1;178)</w:t>
            </w:r>
          </w:p>
        </w:tc>
        <w:tc>
          <w:tcPr>
            <w:tcW w:w="1453" w:type="dxa"/>
          </w:tcPr>
          <w:p w:rsidR="008211F6" w:rsidRPr="00D561A2" w:rsidRDefault="008211F6" w:rsidP="00D317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136 (18;372)</w:t>
            </w:r>
          </w:p>
        </w:tc>
        <w:tc>
          <w:tcPr>
            <w:tcW w:w="1276" w:type="dxa"/>
          </w:tcPr>
          <w:p w:rsidR="008211F6" w:rsidRDefault="008211F6" w:rsidP="00D317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proofErr w:type="spellStart"/>
            <w:r>
              <w:rPr>
                <w:i/>
                <w:lang w:val="en-US"/>
              </w:rPr>
              <w:t>P</w:t>
            </w:r>
            <w:r>
              <w:rPr>
                <w:i/>
                <w:vertAlign w:val="subscript"/>
                <w:lang w:val="en-US"/>
              </w:rPr>
              <w:t>trend</w:t>
            </w:r>
            <w:proofErr w:type="spellEnd"/>
            <w:r>
              <w:rPr>
                <w:i/>
                <w:lang w:val="en-US"/>
              </w:rPr>
              <w:t>=0.015</w:t>
            </w:r>
          </w:p>
        </w:tc>
      </w:tr>
    </w:tbl>
    <w:p w:rsidR="008211F6" w:rsidRDefault="008211F6" w:rsidP="008211F6">
      <w:pPr>
        <w:rPr>
          <w:lang w:val="en-US"/>
        </w:rPr>
      </w:pPr>
      <w:r>
        <w:rPr>
          <w:lang w:val="en-US"/>
        </w:rPr>
        <w:t>The dose-respo</w:t>
      </w:r>
      <w:r w:rsidR="00DA5F16">
        <w:rPr>
          <w:lang w:val="en-US"/>
        </w:rPr>
        <w:t>nse relation was analyzed in seven</w:t>
      </w:r>
      <w:r>
        <w:rPr>
          <w:lang w:val="en-US"/>
        </w:rPr>
        <w:t xml:space="preserve">teen patients that were treated and had availability of both the post-treatment </w:t>
      </w:r>
      <w:r w:rsidRPr="00F6644C">
        <w:rPr>
          <w:vertAlign w:val="superscript"/>
          <w:lang w:val="en-US"/>
        </w:rPr>
        <w:t>166</w:t>
      </w:r>
      <w:r>
        <w:rPr>
          <w:lang w:val="en-US"/>
        </w:rPr>
        <w:t>Ho-SPECT/CT and the three-month follow-up [</w:t>
      </w:r>
      <w:r>
        <w:rPr>
          <w:vertAlign w:val="superscript"/>
          <w:lang w:val="en-US"/>
        </w:rPr>
        <w:t>18</w:t>
      </w:r>
      <w:r>
        <w:rPr>
          <w:lang w:val="en-US"/>
        </w:rPr>
        <w:t xml:space="preserve">F]-FDG PET/CT.  </w:t>
      </w:r>
      <w:r w:rsidRPr="00F6644C">
        <w:rPr>
          <w:lang w:val="en-US"/>
        </w:rPr>
        <w:t>Interpretation</w:t>
      </w:r>
      <w:r>
        <w:rPr>
          <w:lang w:val="en-US"/>
        </w:rPr>
        <w:t xml:space="preserve"> at tumor level: the average dose is 138% higher in CR than PD (95%CI 8;423) (unadjusted analysis). </w:t>
      </w:r>
      <w:r>
        <w:rPr>
          <w:lang w:val="en-US"/>
        </w:rPr>
        <w:br/>
      </w:r>
      <w:r>
        <w:rPr>
          <w:b/>
          <w:i/>
          <w:vertAlign w:val="superscript"/>
          <w:lang w:val="en-US"/>
        </w:rPr>
        <w:t>§</w:t>
      </w:r>
      <w:r>
        <w:rPr>
          <w:lang w:val="en-US"/>
        </w:rPr>
        <w:t>Analysis at a tumor-level was adjusted for catheter type (yes/no anti-reflux catheter)</w:t>
      </w:r>
    </w:p>
    <w:bookmarkEnd w:id="0"/>
    <w:p w:rsidR="003F31E2" w:rsidRPr="008211F6" w:rsidRDefault="003F31E2">
      <w:pPr>
        <w:rPr>
          <w:lang w:val="en-US"/>
        </w:rPr>
      </w:pPr>
    </w:p>
    <w:sectPr w:rsidR="003F31E2" w:rsidRPr="008211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FF4"/>
    <w:rsid w:val="00092FF4"/>
    <w:rsid w:val="003F31E2"/>
    <w:rsid w:val="008211F6"/>
    <w:rsid w:val="00AE2F18"/>
    <w:rsid w:val="00CC05C2"/>
    <w:rsid w:val="00DA297B"/>
    <w:rsid w:val="00DA5F16"/>
    <w:rsid w:val="00FF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5B8E4F-6CAF-4199-8591-50CBA02F2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211F6"/>
    <w:rPr>
      <w:rFonts w:asciiTheme="minorHAnsi" w:hAnsiTheme="minorHAns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elijst-accent1">
    <w:name w:val="Light List Accent 1"/>
    <w:basedOn w:val="Standaardtabel"/>
    <w:uiPriority w:val="61"/>
    <w:rsid w:val="008211F6"/>
    <w:pPr>
      <w:spacing w:after="0" w:line="240" w:lineRule="auto"/>
    </w:pPr>
    <w:rPr>
      <w:rFonts w:asciiTheme="minorHAnsi" w:hAnsiTheme="minorHAnsi"/>
      <w:lang w:val="nl-N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Roekel, J. van</dc:creator>
  <cp:keywords/>
  <dc:description/>
  <cp:lastModifiedBy>Roekel, J. van</cp:lastModifiedBy>
  <cp:revision>2</cp:revision>
  <dcterms:created xsi:type="dcterms:W3CDTF">2020-09-14T19:38:00Z</dcterms:created>
  <dcterms:modified xsi:type="dcterms:W3CDTF">2020-09-14T19:38:00Z</dcterms:modified>
</cp:coreProperties>
</file>