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EB1" w:rsidRPr="008A55FD" w:rsidRDefault="008A55FD" w:rsidP="008A55FD">
      <w:pPr>
        <w:autoSpaceDE w:val="0"/>
        <w:autoSpaceDN w:val="0"/>
        <w:adjustRightInd w:val="0"/>
        <w:spacing w:line="480" w:lineRule="auto"/>
        <w:rPr>
          <w:rFonts w:ascii="Times New Roman" w:eastAsia="MS Mincho" w:hAnsi="Times New Roman" w:cs="Times New Roman"/>
          <w:b/>
          <w:sz w:val="22"/>
          <w:szCs w:val="22"/>
          <w:lang w:val="en-US" w:eastAsia="ja-JP"/>
        </w:rPr>
      </w:pPr>
      <w:r w:rsidRPr="008A55FD">
        <w:rPr>
          <w:rFonts w:ascii="Times New Roman" w:eastAsia="MS Mincho" w:hAnsi="Times New Roman" w:cs="Times New Roman"/>
          <w:b/>
          <w:sz w:val="22"/>
          <w:szCs w:val="22"/>
          <w:lang w:val="en-US" w:eastAsia="ja-JP"/>
        </w:rPr>
        <w:t>Electronic Supplementary Material</w:t>
      </w:r>
    </w:p>
    <w:p w:rsidR="008A55FD" w:rsidRPr="008A55FD" w:rsidRDefault="008A55FD" w:rsidP="008A55FD">
      <w:pPr>
        <w:spacing w:after="240" w:line="480" w:lineRule="auto"/>
        <w:jc w:val="both"/>
        <w:rPr>
          <w:rFonts w:ascii="Times New Roman" w:eastAsia="MS Mincho" w:hAnsi="Times New Roman" w:cs="Times New Roman"/>
          <w:sz w:val="20"/>
          <w:szCs w:val="20"/>
          <w:lang w:val="en-GB" w:eastAsia="de-DE"/>
        </w:rPr>
      </w:pPr>
      <w:r w:rsidRPr="008A55FD">
        <w:rPr>
          <w:rFonts w:ascii="Times New Roman" w:eastAsia="MS Mincho" w:hAnsi="Times New Roman" w:cs="Times New Roman"/>
          <w:sz w:val="20"/>
          <w:szCs w:val="20"/>
          <w:u w:val="single"/>
          <w:lang w:val="en-GB" w:eastAsia="de-DE"/>
        </w:rPr>
        <w:t>Title:</w:t>
      </w:r>
      <w:r w:rsidRPr="008A55FD">
        <w:rPr>
          <w:rFonts w:ascii="Times New Roman" w:eastAsia="MS Mincho" w:hAnsi="Times New Roman" w:cs="Times New Roman"/>
          <w:sz w:val="20"/>
          <w:szCs w:val="20"/>
          <w:lang w:val="en-GB" w:eastAsia="de-DE"/>
        </w:rPr>
        <w:t xml:space="preserve"> Impact of age and sex correction on the diagnostic performance of dopamine transporter SPECT</w:t>
      </w:r>
    </w:p>
    <w:p w:rsidR="008A55FD" w:rsidRPr="008A55FD" w:rsidRDefault="008A55FD" w:rsidP="008A55FD">
      <w:pPr>
        <w:spacing w:after="240" w:line="480" w:lineRule="auto"/>
        <w:jc w:val="both"/>
        <w:rPr>
          <w:rFonts w:ascii="Times New Roman" w:eastAsia="MS Mincho" w:hAnsi="Times New Roman" w:cs="Times New Roman"/>
          <w:sz w:val="20"/>
          <w:szCs w:val="20"/>
          <w:lang w:val="en-GB" w:eastAsia="de-DE"/>
        </w:rPr>
      </w:pPr>
      <w:r w:rsidRPr="008A55FD">
        <w:rPr>
          <w:rFonts w:ascii="Times New Roman" w:eastAsia="MS Mincho" w:hAnsi="Times New Roman" w:cs="Times New Roman"/>
          <w:sz w:val="20"/>
          <w:szCs w:val="20"/>
          <w:u w:val="single"/>
          <w:lang w:val="en-GB" w:eastAsia="de-DE"/>
        </w:rPr>
        <w:t>Journal:</w:t>
      </w:r>
      <w:r w:rsidRPr="008A55FD">
        <w:rPr>
          <w:rFonts w:ascii="Times New Roman" w:eastAsia="MS Mincho" w:hAnsi="Times New Roman" w:cs="Times New Roman"/>
          <w:sz w:val="20"/>
          <w:szCs w:val="20"/>
          <w:lang w:val="en-GB" w:eastAsia="de-DE"/>
        </w:rPr>
        <w:t xml:space="preserve"> European Journal of Nuclear Medicine and Molecular Imaging</w:t>
      </w:r>
    </w:p>
    <w:p w:rsidR="008A55FD" w:rsidRPr="008A55FD" w:rsidRDefault="008A55FD" w:rsidP="008A55FD">
      <w:pPr>
        <w:spacing w:after="240" w:line="480" w:lineRule="auto"/>
        <w:jc w:val="both"/>
        <w:rPr>
          <w:rFonts w:ascii="Times New Roman" w:eastAsia="MS Mincho" w:hAnsi="Times New Roman" w:cs="Times New Roman"/>
          <w:sz w:val="20"/>
          <w:szCs w:val="20"/>
          <w:lang w:val="en-GB" w:eastAsia="de-DE"/>
        </w:rPr>
      </w:pPr>
      <w:r w:rsidRPr="008A55FD">
        <w:rPr>
          <w:rFonts w:ascii="Times New Roman" w:eastAsia="MS Mincho" w:hAnsi="Times New Roman" w:cs="Times New Roman"/>
          <w:sz w:val="20"/>
          <w:szCs w:val="20"/>
          <w:u w:val="single"/>
          <w:lang w:val="en-GB" w:eastAsia="de-DE"/>
        </w:rPr>
        <w:t>Authors:</w:t>
      </w:r>
      <w:r w:rsidRPr="008A55FD">
        <w:rPr>
          <w:rFonts w:ascii="Times New Roman" w:eastAsia="MS Mincho" w:hAnsi="Times New Roman" w:cs="Times New Roman"/>
          <w:sz w:val="20"/>
          <w:szCs w:val="20"/>
          <w:lang w:val="en-GB" w:eastAsia="de-DE"/>
        </w:rPr>
        <w:t xml:space="preserve"> Helen Schmitz-</w:t>
      </w:r>
      <w:proofErr w:type="spellStart"/>
      <w:r w:rsidRPr="008A55FD">
        <w:rPr>
          <w:rFonts w:ascii="Times New Roman" w:eastAsia="MS Mincho" w:hAnsi="Times New Roman" w:cs="Times New Roman"/>
          <w:sz w:val="20"/>
          <w:szCs w:val="20"/>
          <w:lang w:val="en-GB" w:eastAsia="de-DE"/>
        </w:rPr>
        <w:t>Steinkrüger</w:t>
      </w:r>
      <w:proofErr w:type="spellEnd"/>
      <w:r w:rsidRPr="008A55FD">
        <w:rPr>
          <w:rFonts w:ascii="Times New Roman" w:eastAsia="MS Mincho" w:hAnsi="Times New Roman" w:cs="Times New Roman"/>
          <w:sz w:val="20"/>
          <w:szCs w:val="20"/>
          <w:lang w:val="en-GB" w:eastAsia="de-DE"/>
        </w:rPr>
        <w:t>, Catharina Lange, Ivayla Apostolova, Franziska L. Mathies, Lars Frings, Susanne Klutmann, Sabine Hellwig, Philipp T. Meyer, Ralph Buchert</w:t>
      </w:r>
    </w:p>
    <w:p w:rsidR="008A55FD" w:rsidRPr="008A55FD" w:rsidRDefault="008A55FD" w:rsidP="008A55FD">
      <w:pPr>
        <w:spacing w:after="240" w:line="480" w:lineRule="auto"/>
        <w:jc w:val="both"/>
        <w:rPr>
          <w:rFonts w:ascii="Times New Roman" w:eastAsia="MS Mincho" w:hAnsi="Times New Roman" w:cs="Times New Roman"/>
          <w:sz w:val="20"/>
          <w:szCs w:val="20"/>
          <w:lang w:val="en-GB" w:eastAsia="de-DE"/>
        </w:rPr>
      </w:pPr>
      <w:r w:rsidRPr="008A55FD">
        <w:rPr>
          <w:rFonts w:ascii="Times New Roman" w:eastAsia="MS Mincho" w:hAnsi="Times New Roman" w:cs="Times New Roman"/>
          <w:sz w:val="20"/>
          <w:szCs w:val="20"/>
          <w:u w:val="single"/>
          <w:lang w:val="en-GB" w:eastAsia="de-DE"/>
        </w:rPr>
        <w:t>Corresponding author:</w:t>
      </w:r>
      <w:r w:rsidRPr="008A55FD">
        <w:rPr>
          <w:rFonts w:ascii="Times New Roman" w:eastAsia="MS Mincho" w:hAnsi="Times New Roman" w:cs="Times New Roman"/>
          <w:sz w:val="20"/>
          <w:szCs w:val="20"/>
          <w:lang w:val="en-GB" w:eastAsia="de-DE"/>
        </w:rPr>
        <w:t xml:space="preserve"> Ralph Buchert, </w:t>
      </w:r>
      <w:proofErr w:type="spellStart"/>
      <w:r w:rsidRPr="008A55FD">
        <w:rPr>
          <w:rFonts w:ascii="Times New Roman" w:eastAsia="MS Mincho" w:hAnsi="Times New Roman" w:cs="Times New Roman"/>
          <w:sz w:val="20"/>
          <w:szCs w:val="20"/>
          <w:lang w:val="en-GB" w:eastAsia="de-DE"/>
        </w:rPr>
        <w:t>Martinistr</w:t>
      </w:r>
      <w:proofErr w:type="spellEnd"/>
      <w:r w:rsidRPr="008A55FD">
        <w:rPr>
          <w:rFonts w:ascii="Times New Roman" w:eastAsia="MS Mincho" w:hAnsi="Times New Roman" w:cs="Times New Roman"/>
          <w:sz w:val="20"/>
          <w:szCs w:val="20"/>
          <w:lang w:val="en-GB" w:eastAsia="de-DE"/>
        </w:rPr>
        <w:t xml:space="preserve">. 52, 20246 Hamburg, Germany, Email: </w:t>
      </w:r>
      <w:hyperlink r:id="rId5" w:history="1">
        <w:r w:rsidRPr="008A55FD">
          <w:rPr>
            <w:rFonts w:ascii="Times New Roman" w:eastAsia="MS Mincho" w:hAnsi="Times New Roman" w:cs="Times New Roman"/>
            <w:sz w:val="20"/>
            <w:szCs w:val="20"/>
            <w:lang w:val="en-GB" w:eastAsia="de-DE"/>
          </w:rPr>
          <w:t>r.buchert@uke.de</w:t>
        </w:r>
      </w:hyperlink>
      <w:r w:rsidRPr="008A55FD">
        <w:rPr>
          <w:rFonts w:ascii="Times New Roman" w:eastAsia="MS Mincho" w:hAnsi="Times New Roman" w:cs="Times New Roman"/>
          <w:sz w:val="20"/>
          <w:szCs w:val="20"/>
          <w:lang w:val="en-GB" w:eastAsia="de-DE"/>
        </w:rPr>
        <w:t>, Phone: +49 40 7410 54347, Fax: +49 40 7410 40265, ORCID ID 0000-0002-0945-0724</w:t>
      </w:r>
    </w:p>
    <w:p w:rsidR="00A75F8C" w:rsidRPr="00EB03D5" w:rsidRDefault="008A55FD" w:rsidP="00EB03D5">
      <w:pPr>
        <w:spacing w:before="480" w:after="120" w:line="480" w:lineRule="auto"/>
        <w:jc w:val="both"/>
        <w:rPr>
          <w:rFonts w:ascii="Times New Roman" w:eastAsia="MS Mincho" w:hAnsi="Times New Roman" w:cs="Times New Roman"/>
          <w:b/>
          <w:sz w:val="20"/>
          <w:lang w:val="en-US" w:eastAsia="ja-JP"/>
        </w:rPr>
      </w:pPr>
      <w:r w:rsidRPr="00EB03D5">
        <w:rPr>
          <w:rFonts w:ascii="Times New Roman" w:eastAsia="MS Mincho" w:hAnsi="Times New Roman" w:cs="Times New Roman"/>
          <w:b/>
          <w:sz w:val="20"/>
          <w:lang w:val="en-US" w:eastAsia="ja-JP"/>
        </w:rPr>
        <w:t>Specific bi</w:t>
      </w:r>
      <w:bookmarkStart w:id="0" w:name="_GoBack"/>
      <w:r w:rsidRPr="00EB03D5">
        <w:rPr>
          <w:rFonts w:ascii="Times New Roman" w:eastAsia="MS Mincho" w:hAnsi="Times New Roman" w:cs="Times New Roman"/>
          <w:b/>
          <w:sz w:val="20"/>
          <w:lang w:val="en-US" w:eastAsia="ja-JP"/>
        </w:rPr>
        <w:t>n</w:t>
      </w:r>
      <w:bookmarkEnd w:id="0"/>
      <w:r w:rsidRPr="00EB03D5">
        <w:rPr>
          <w:rFonts w:ascii="Times New Roman" w:eastAsia="MS Mincho" w:hAnsi="Times New Roman" w:cs="Times New Roman"/>
          <w:b/>
          <w:sz w:val="20"/>
          <w:lang w:val="en-US" w:eastAsia="ja-JP"/>
        </w:rPr>
        <w:t>ding ratio of the caudate nucleus and putamen-to-caudate ratio</w:t>
      </w:r>
    </w:p>
    <w:p w:rsidR="008A55FD" w:rsidRPr="008A55FD" w:rsidRDefault="008A55FD" w:rsidP="008A55FD">
      <w:pPr>
        <w:spacing w:after="240" w:line="480" w:lineRule="auto"/>
        <w:jc w:val="both"/>
        <w:rPr>
          <w:rFonts w:ascii="Times New Roman" w:eastAsia="MS Mincho" w:hAnsi="Times New Roman" w:cs="Times New Roman"/>
          <w:sz w:val="20"/>
          <w:szCs w:val="20"/>
          <w:lang w:val="en-GB" w:eastAsia="de-DE"/>
        </w:rPr>
      </w:pPr>
      <w:r>
        <w:rPr>
          <w:rFonts w:ascii="Times New Roman" w:eastAsia="MS Mincho" w:hAnsi="Times New Roman" w:cs="Times New Roman"/>
          <w:sz w:val="20"/>
          <w:szCs w:val="20"/>
          <w:lang w:val="en-GB" w:eastAsia="de-DE"/>
        </w:rPr>
        <w:t>T</w:t>
      </w:r>
      <w:r w:rsidRPr="008A55FD">
        <w:rPr>
          <w:rFonts w:ascii="Times New Roman" w:eastAsia="MS Mincho" w:hAnsi="Times New Roman" w:cs="Times New Roman"/>
          <w:sz w:val="20"/>
          <w:szCs w:val="20"/>
          <w:lang w:val="en-GB" w:eastAsia="de-DE"/>
        </w:rPr>
        <w:t xml:space="preserve">he unilateral </w:t>
      </w:r>
      <w:r w:rsidR="004C72C9">
        <w:rPr>
          <w:rFonts w:ascii="Times New Roman" w:eastAsia="MS Mincho" w:hAnsi="Times New Roman" w:cs="Times New Roman"/>
          <w:sz w:val="20"/>
          <w:szCs w:val="20"/>
          <w:lang w:val="en-GB" w:eastAsia="de-DE"/>
        </w:rPr>
        <w:t>specific binding ratio (</w:t>
      </w:r>
      <w:r w:rsidRPr="008A55FD">
        <w:rPr>
          <w:rFonts w:ascii="Times New Roman" w:eastAsia="MS Mincho" w:hAnsi="Times New Roman" w:cs="Times New Roman"/>
          <w:sz w:val="20"/>
          <w:szCs w:val="20"/>
          <w:lang w:val="en-GB" w:eastAsia="de-DE"/>
        </w:rPr>
        <w:t>SBR</w:t>
      </w:r>
      <w:r w:rsidR="004C72C9">
        <w:rPr>
          <w:rFonts w:ascii="Times New Roman" w:eastAsia="MS Mincho" w:hAnsi="Times New Roman" w:cs="Times New Roman"/>
          <w:sz w:val="20"/>
          <w:szCs w:val="20"/>
          <w:lang w:val="en-GB" w:eastAsia="de-DE"/>
        </w:rPr>
        <w:t>)</w:t>
      </w:r>
      <w:r w:rsidRPr="008A55FD">
        <w:rPr>
          <w:rFonts w:ascii="Times New Roman" w:eastAsia="MS Mincho" w:hAnsi="Times New Roman" w:cs="Times New Roman"/>
          <w:sz w:val="20"/>
          <w:szCs w:val="20"/>
          <w:lang w:val="en-GB" w:eastAsia="de-DE"/>
        </w:rPr>
        <w:t xml:space="preserve"> of the caudate nucleus in the PPMI sample </w:t>
      </w:r>
      <w:r w:rsidR="004C72C9">
        <w:rPr>
          <w:rFonts w:ascii="Times New Roman" w:eastAsia="MS Mincho" w:hAnsi="Times New Roman" w:cs="Times New Roman"/>
          <w:sz w:val="20"/>
          <w:szCs w:val="20"/>
          <w:lang w:val="en-GB" w:eastAsia="de-DE"/>
        </w:rPr>
        <w:t xml:space="preserve">was computed </w:t>
      </w:r>
      <w:r w:rsidRPr="008A55FD">
        <w:rPr>
          <w:rFonts w:ascii="Times New Roman" w:eastAsia="MS Mincho" w:hAnsi="Times New Roman" w:cs="Times New Roman"/>
          <w:sz w:val="20"/>
          <w:szCs w:val="20"/>
          <w:lang w:val="en-GB" w:eastAsia="de-DE"/>
        </w:rPr>
        <w:t xml:space="preserve">using hottest voxels analysis in large unilateral ROIs for the caudate nucleus (figure 1C in </w:t>
      </w:r>
      <w:r w:rsidRPr="008A55FD">
        <w:rPr>
          <w:rFonts w:ascii="Times New Roman" w:eastAsia="MS Mincho" w:hAnsi="Times New Roman" w:cs="Times New Roman"/>
          <w:sz w:val="20"/>
          <w:szCs w:val="20"/>
          <w:lang w:val="en-GB" w:eastAsia="de-DE"/>
        </w:rPr>
        <w:fldChar w:fldCharType="begin">
          <w:fldData xml:space="preserve">PEVuZE5vdGU+PENpdGU+PEF1dGhvcj5CdWNoZXJ0PC9BdXRob3I+PFllYXI+MjAxOTwvWWVhcj48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</w:fldData>
        </w:fldChar>
      </w:r>
      <w:r w:rsidRPr="008A55FD">
        <w:rPr>
          <w:rFonts w:ascii="Times New Roman" w:eastAsia="MS Mincho" w:hAnsi="Times New Roman" w:cs="Times New Roman"/>
          <w:sz w:val="20"/>
          <w:szCs w:val="20"/>
          <w:lang w:val="en-GB" w:eastAsia="de-DE"/>
        </w:rPr>
        <w:instrText xml:space="preserve"> ADDIN EN.CITE </w:instrText>
      </w:r>
      <w:r w:rsidRPr="008A55FD">
        <w:rPr>
          <w:rFonts w:ascii="Times New Roman" w:eastAsia="MS Mincho" w:hAnsi="Times New Roman" w:cs="Times New Roman"/>
          <w:sz w:val="20"/>
          <w:szCs w:val="20"/>
          <w:lang w:val="en-GB" w:eastAsia="de-DE"/>
        </w:rPr>
        <w:fldChar w:fldCharType="begin">
          <w:fldData xml:space="preserve">PEVuZE5vdGU+PENpdGU+PEF1dGhvcj5CdWNoZXJ0PC9BdXRob3I+PFllYXI+MjAxOTwvWWVhcj48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</w:fldData>
        </w:fldChar>
      </w:r>
      <w:r w:rsidRPr="008A55FD">
        <w:rPr>
          <w:rFonts w:ascii="Times New Roman" w:eastAsia="MS Mincho" w:hAnsi="Times New Roman" w:cs="Times New Roman"/>
          <w:sz w:val="20"/>
          <w:szCs w:val="20"/>
          <w:lang w:val="en-GB" w:eastAsia="de-DE"/>
        </w:rPr>
        <w:instrText xml:space="preserve"> ADDIN EN.CITE.DATA </w:instrText>
      </w:r>
      <w:r w:rsidRPr="008A55FD">
        <w:rPr>
          <w:rFonts w:ascii="Times New Roman" w:eastAsia="MS Mincho" w:hAnsi="Times New Roman" w:cs="Times New Roman"/>
          <w:sz w:val="20"/>
          <w:szCs w:val="20"/>
          <w:lang w:val="en-GB" w:eastAsia="de-DE"/>
        </w:rPr>
      </w:r>
      <w:r w:rsidRPr="008A55FD">
        <w:rPr>
          <w:rFonts w:ascii="Times New Roman" w:eastAsia="MS Mincho" w:hAnsi="Times New Roman" w:cs="Times New Roman"/>
          <w:sz w:val="20"/>
          <w:szCs w:val="20"/>
          <w:lang w:val="en-GB" w:eastAsia="de-DE"/>
        </w:rPr>
        <w:fldChar w:fldCharType="end"/>
      </w:r>
      <w:r w:rsidRPr="008A55FD">
        <w:rPr>
          <w:rFonts w:ascii="Times New Roman" w:eastAsia="MS Mincho" w:hAnsi="Times New Roman" w:cs="Times New Roman"/>
          <w:sz w:val="20"/>
          <w:szCs w:val="20"/>
          <w:lang w:val="en-GB" w:eastAsia="de-DE"/>
        </w:rPr>
      </w:r>
      <w:r w:rsidRPr="008A55FD">
        <w:rPr>
          <w:rFonts w:ascii="Times New Roman" w:eastAsia="MS Mincho" w:hAnsi="Times New Roman" w:cs="Times New Roman"/>
          <w:sz w:val="20"/>
          <w:szCs w:val="20"/>
          <w:lang w:val="en-GB" w:eastAsia="de-DE"/>
        </w:rPr>
        <w:fldChar w:fldCharType="separate"/>
      </w:r>
      <w:r w:rsidRPr="008A55FD">
        <w:rPr>
          <w:rFonts w:ascii="Times New Roman" w:eastAsia="MS Mincho" w:hAnsi="Times New Roman" w:cs="Times New Roman"/>
          <w:sz w:val="20"/>
          <w:szCs w:val="20"/>
          <w:lang w:val="en-GB" w:eastAsia="de-DE"/>
        </w:rPr>
        <w:t>[1]</w:t>
      </w:r>
      <w:r w:rsidRPr="008A55FD">
        <w:rPr>
          <w:rFonts w:ascii="Times New Roman" w:eastAsia="MS Mincho" w:hAnsi="Times New Roman" w:cs="Times New Roman"/>
          <w:sz w:val="20"/>
          <w:szCs w:val="20"/>
          <w:lang w:val="en-GB" w:eastAsia="de-DE"/>
        </w:rPr>
        <w:fldChar w:fldCharType="end"/>
      </w:r>
      <w:r w:rsidRPr="008A55FD">
        <w:rPr>
          <w:rFonts w:ascii="Times New Roman" w:eastAsia="MS Mincho" w:hAnsi="Times New Roman" w:cs="Times New Roman"/>
          <w:sz w:val="20"/>
          <w:szCs w:val="20"/>
          <w:lang w:val="en-GB" w:eastAsia="de-DE"/>
        </w:rPr>
        <w:t>). More precisely, the unilateral caudate SBR was calculated as mean scaled voxel intensity in the 5 ml hottest voxels in the unilateral caudate ROI – 1. Then, the putamen-to-caudate SBR ratio was computed separately for left and right hemisphere. The minimum of the putamen-to-caudate SBR ratio of left and right hemisphere was used in all further analyses (analogous to the minimum of the unilateral putamen SBR of left and right hemisphere that was used in the analyses in the manuscript).</w:t>
      </w:r>
    </w:p>
    <w:p w:rsidR="00AA6AC0" w:rsidRPr="008A55FD" w:rsidRDefault="00AA6AC0" w:rsidP="008A55FD">
      <w:pPr>
        <w:spacing w:after="240" w:line="480" w:lineRule="auto"/>
        <w:jc w:val="both"/>
        <w:rPr>
          <w:rFonts w:ascii="Times New Roman" w:eastAsia="MS Mincho" w:hAnsi="Times New Roman" w:cs="Times New Roman"/>
          <w:sz w:val="20"/>
          <w:szCs w:val="20"/>
          <w:lang w:val="en-GB" w:eastAsia="de-DE"/>
        </w:rPr>
      </w:pPr>
      <w:r w:rsidRPr="00AA6AC0">
        <w:rPr>
          <w:rFonts w:ascii="Times New Roman" w:eastAsia="MS Mincho" w:hAnsi="Times New Roman" w:cs="Times New Roman"/>
          <w:sz w:val="20"/>
          <w:szCs w:val="20"/>
          <w:lang w:val="en-GB" w:eastAsia="de-DE"/>
        </w:rPr>
        <w:t xml:space="preserve">The ROC curve of the putamen-to-caudate SBR ratio for detection of PD in the PPMI sample is shown in </w:t>
      </w:r>
      <w:r w:rsidR="00470A10">
        <w:rPr>
          <w:rFonts w:ascii="Times New Roman" w:eastAsia="MS Mincho" w:hAnsi="Times New Roman" w:cs="Times New Roman"/>
          <w:sz w:val="20"/>
          <w:szCs w:val="20"/>
          <w:lang w:val="en-GB" w:eastAsia="de-DE"/>
        </w:rPr>
        <w:t xml:space="preserve">supplementary </w:t>
      </w:r>
      <w:r w:rsidRPr="00AA6AC0">
        <w:rPr>
          <w:rFonts w:ascii="Times New Roman" w:eastAsia="MS Mincho" w:hAnsi="Times New Roman" w:cs="Times New Roman"/>
          <w:sz w:val="20"/>
          <w:szCs w:val="20"/>
          <w:lang w:val="en-GB" w:eastAsia="de-DE"/>
        </w:rPr>
        <w:t xml:space="preserve">Figure </w:t>
      </w:r>
      <w:r w:rsidR="00470A10">
        <w:rPr>
          <w:rFonts w:ascii="Times New Roman" w:eastAsia="MS Mincho" w:hAnsi="Times New Roman" w:cs="Times New Roman"/>
          <w:sz w:val="20"/>
          <w:szCs w:val="20"/>
          <w:lang w:val="en-GB" w:eastAsia="de-DE"/>
        </w:rPr>
        <w:t>S</w:t>
      </w:r>
      <w:r w:rsidRPr="00AA6AC0">
        <w:rPr>
          <w:rFonts w:ascii="Times New Roman" w:eastAsia="MS Mincho" w:hAnsi="Times New Roman" w:cs="Times New Roman"/>
          <w:sz w:val="20"/>
          <w:szCs w:val="20"/>
          <w:lang w:val="en-GB" w:eastAsia="de-DE"/>
        </w:rPr>
        <w:t xml:space="preserve">1 below, together with the ROC curve of the putamen SBR and the caudate SBR (minimum of both hemispheres). The area under the ROC curve was largest for the putamen SBR (0.997, 95%-confidence interval 0.994-0.999) and smallest for the caudate SBR (0.946, 0.930-0.962). The area under the ROC curve of the putamen-to-caudate SBR ratio </w:t>
      </w:r>
      <w:r w:rsidR="0027684E" w:rsidRPr="00AA6AC0">
        <w:rPr>
          <w:rFonts w:ascii="Times New Roman" w:eastAsia="MS Mincho" w:hAnsi="Times New Roman" w:cs="Times New Roman"/>
          <w:sz w:val="20"/>
          <w:szCs w:val="20"/>
          <w:lang w:val="en-GB" w:eastAsia="de-DE"/>
        </w:rPr>
        <w:t>was in between</w:t>
      </w:r>
      <w:r w:rsidR="0027684E" w:rsidRPr="00AA6AC0">
        <w:rPr>
          <w:rFonts w:ascii="Times New Roman" w:eastAsia="MS Mincho" w:hAnsi="Times New Roman" w:cs="Times New Roman"/>
          <w:sz w:val="20"/>
          <w:szCs w:val="20"/>
          <w:lang w:val="en-GB" w:eastAsia="de-DE"/>
        </w:rPr>
        <w:t xml:space="preserve"> </w:t>
      </w:r>
      <w:r w:rsidRPr="00AA6AC0">
        <w:rPr>
          <w:rFonts w:ascii="Times New Roman" w:eastAsia="MS Mincho" w:hAnsi="Times New Roman" w:cs="Times New Roman"/>
          <w:sz w:val="20"/>
          <w:szCs w:val="20"/>
          <w:lang w:val="en-GB" w:eastAsia="de-DE"/>
        </w:rPr>
        <w:t>(0.986, 0.979-0.993)</w:t>
      </w:r>
      <w:r w:rsidR="0027684E">
        <w:rPr>
          <w:rFonts w:ascii="Times New Roman" w:eastAsia="MS Mincho" w:hAnsi="Times New Roman" w:cs="Times New Roman"/>
          <w:sz w:val="20"/>
          <w:szCs w:val="20"/>
          <w:lang w:val="en-GB" w:eastAsia="de-DE"/>
        </w:rPr>
        <w:t xml:space="preserve">. </w:t>
      </w:r>
      <w:r w:rsidRPr="00AA6AC0">
        <w:rPr>
          <w:rFonts w:ascii="Times New Roman" w:eastAsia="MS Mincho" w:hAnsi="Times New Roman" w:cs="Times New Roman"/>
          <w:sz w:val="20"/>
          <w:szCs w:val="20"/>
          <w:lang w:val="en-GB" w:eastAsia="de-DE"/>
        </w:rPr>
        <w:t xml:space="preserve">All pairwise differences </w:t>
      </w:r>
      <w:r w:rsidR="0027684E">
        <w:rPr>
          <w:rFonts w:ascii="Times New Roman" w:eastAsia="MS Mincho" w:hAnsi="Times New Roman" w:cs="Times New Roman"/>
          <w:sz w:val="20"/>
          <w:szCs w:val="20"/>
          <w:lang w:val="en-GB" w:eastAsia="de-DE"/>
        </w:rPr>
        <w:t xml:space="preserve">of the area under the ROC curve </w:t>
      </w:r>
      <w:r w:rsidRPr="00AA6AC0">
        <w:rPr>
          <w:rFonts w:ascii="Times New Roman" w:eastAsia="MS Mincho" w:hAnsi="Times New Roman" w:cs="Times New Roman"/>
          <w:sz w:val="20"/>
          <w:szCs w:val="20"/>
          <w:lang w:val="en-GB" w:eastAsia="de-DE"/>
        </w:rPr>
        <w:t>were statistically significant (p ≤ 0.004).</w:t>
      </w:r>
    </w:p>
    <w:p w:rsidR="004C72C9" w:rsidRDefault="008A55FD" w:rsidP="008A55FD">
      <w:pPr>
        <w:spacing w:after="240" w:line="480" w:lineRule="auto"/>
        <w:jc w:val="both"/>
        <w:rPr>
          <w:rFonts w:ascii="Times New Roman" w:eastAsia="MS Mincho" w:hAnsi="Times New Roman" w:cs="Times New Roman"/>
          <w:sz w:val="20"/>
          <w:szCs w:val="20"/>
          <w:lang w:val="en-GB" w:eastAsia="de-DE"/>
        </w:rPr>
      </w:pPr>
      <w:r w:rsidRPr="008A55FD">
        <w:rPr>
          <w:rFonts w:ascii="Times New Roman" w:eastAsia="MS Mincho" w:hAnsi="Times New Roman" w:cs="Times New Roman"/>
          <w:sz w:val="20"/>
          <w:szCs w:val="20"/>
          <w:lang w:val="en-GB" w:eastAsia="de-DE"/>
        </w:rPr>
        <w:t xml:space="preserve">Linear regression of the caudate SBR with age and sex as independent variables in the healthy controls of the PPMI </w:t>
      </w:r>
      <w:r w:rsidR="00470A10">
        <w:rPr>
          <w:rFonts w:ascii="Times New Roman" w:eastAsia="MS Mincho" w:hAnsi="Times New Roman" w:cs="Times New Roman"/>
          <w:sz w:val="20"/>
          <w:szCs w:val="20"/>
          <w:lang w:val="en-GB" w:eastAsia="de-DE"/>
        </w:rPr>
        <w:t xml:space="preserve">sample </w:t>
      </w:r>
      <w:r w:rsidRPr="008A55FD">
        <w:rPr>
          <w:rFonts w:ascii="Times New Roman" w:eastAsia="MS Mincho" w:hAnsi="Times New Roman" w:cs="Times New Roman"/>
          <w:sz w:val="20"/>
          <w:szCs w:val="20"/>
          <w:lang w:val="en-GB" w:eastAsia="de-DE"/>
        </w:rPr>
        <w:t xml:space="preserve">revealed a significant effect of age and sex (standardized coefficient β of age = -0.393, p &lt; 0.0005; β of sex = -0.205, p = 0.001). Linear regression of the putamen-to-caudate SBR ratio with age and sex </w:t>
      </w:r>
      <w:r w:rsidRPr="008A55FD">
        <w:rPr>
          <w:rFonts w:ascii="Times New Roman" w:eastAsia="MS Mincho" w:hAnsi="Times New Roman" w:cs="Times New Roman"/>
          <w:sz w:val="20"/>
          <w:szCs w:val="20"/>
          <w:lang w:val="en-GB" w:eastAsia="de-DE"/>
        </w:rPr>
        <w:lastRenderedPageBreak/>
        <w:t xml:space="preserve">as independent variables in the healthy controls of the PPMI </w:t>
      </w:r>
      <w:r w:rsidR="00470A10">
        <w:rPr>
          <w:rFonts w:ascii="Times New Roman" w:eastAsia="MS Mincho" w:hAnsi="Times New Roman" w:cs="Times New Roman"/>
          <w:sz w:val="20"/>
          <w:szCs w:val="20"/>
          <w:lang w:val="en-GB" w:eastAsia="de-DE"/>
        </w:rPr>
        <w:t xml:space="preserve">sample </w:t>
      </w:r>
      <w:r w:rsidRPr="008A55FD">
        <w:rPr>
          <w:rFonts w:ascii="Times New Roman" w:eastAsia="MS Mincho" w:hAnsi="Times New Roman" w:cs="Times New Roman"/>
          <w:sz w:val="20"/>
          <w:szCs w:val="20"/>
          <w:lang w:val="en-GB" w:eastAsia="de-DE"/>
        </w:rPr>
        <w:t xml:space="preserve">also revealed a significant effect of age and sex (standardized coefficient β of age = 0.216, p =0.002; β of sex = -0.193, p = 0.005). </w:t>
      </w:r>
      <w:r w:rsidR="009D1407">
        <w:rPr>
          <w:rFonts w:ascii="Times New Roman" w:eastAsia="MS Mincho" w:hAnsi="Times New Roman" w:cs="Times New Roman"/>
          <w:sz w:val="20"/>
          <w:szCs w:val="20"/>
          <w:lang w:val="en-GB" w:eastAsia="de-DE"/>
        </w:rPr>
        <w:t>T</w:t>
      </w:r>
      <w:r w:rsidRPr="008A55FD">
        <w:rPr>
          <w:rFonts w:ascii="Times New Roman" w:eastAsia="MS Mincho" w:hAnsi="Times New Roman" w:cs="Times New Roman"/>
          <w:sz w:val="20"/>
          <w:szCs w:val="20"/>
          <w:lang w:val="en-GB" w:eastAsia="de-DE"/>
        </w:rPr>
        <w:t>he regression coefficient of age was positive</w:t>
      </w:r>
      <w:r w:rsidR="00470A10">
        <w:rPr>
          <w:rFonts w:ascii="Times New Roman" w:eastAsia="MS Mincho" w:hAnsi="Times New Roman" w:cs="Times New Roman"/>
          <w:sz w:val="20"/>
          <w:szCs w:val="20"/>
          <w:lang w:val="en-GB" w:eastAsia="de-DE"/>
        </w:rPr>
        <w:t xml:space="preserve"> in the latter case</w:t>
      </w:r>
      <w:r w:rsidRPr="008A55FD">
        <w:rPr>
          <w:rFonts w:ascii="Times New Roman" w:eastAsia="MS Mincho" w:hAnsi="Times New Roman" w:cs="Times New Roman"/>
          <w:sz w:val="20"/>
          <w:szCs w:val="20"/>
          <w:lang w:val="en-GB" w:eastAsia="de-DE"/>
        </w:rPr>
        <w:t>, that is, the putamen-to-caudate SBR ratio increa</w:t>
      </w:r>
      <w:r w:rsidR="004C72C9">
        <w:rPr>
          <w:rFonts w:ascii="Times New Roman" w:eastAsia="MS Mincho" w:hAnsi="Times New Roman" w:cs="Times New Roman"/>
          <w:sz w:val="20"/>
          <w:szCs w:val="20"/>
          <w:lang w:val="en-GB" w:eastAsia="de-DE"/>
        </w:rPr>
        <w:t>sed with healthy aging (</w:t>
      </w:r>
      <w:r w:rsidR="00470A10">
        <w:rPr>
          <w:rFonts w:ascii="Times New Roman" w:eastAsia="MS Mincho" w:hAnsi="Times New Roman" w:cs="Times New Roman"/>
          <w:sz w:val="20"/>
          <w:szCs w:val="20"/>
          <w:lang w:val="en-GB" w:eastAsia="de-DE"/>
        </w:rPr>
        <w:t xml:space="preserve">supplementary </w:t>
      </w:r>
      <w:r w:rsidR="004C72C9">
        <w:rPr>
          <w:rFonts w:ascii="Times New Roman" w:eastAsia="MS Mincho" w:hAnsi="Times New Roman" w:cs="Times New Roman"/>
          <w:sz w:val="20"/>
          <w:szCs w:val="20"/>
          <w:lang w:val="en-GB" w:eastAsia="de-DE"/>
        </w:rPr>
        <w:t>Figure S</w:t>
      </w:r>
      <w:r w:rsidRPr="008A55FD">
        <w:rPr>
          <w:rFonts w:ascii="Times New Roman" w:eastAsia="MS Mincho" w:hAnsi="Times New Roman" w:cs="Times New Roman"/>
          <w:sz w:val="20"/>
          <w:szCs w:val="20"/>
          <w:lang w:val="en-GB" w:eastAsia="de-DE"/>
        </w:rPr>
        <w:t>2 below). This suggests that the age-related decline of the SBR is faster for the caudate than for the putamen.</w:t>
      </w:r>
    </w:p>
    <w:p w:rsidR="00C15749" w:rsidRPr="00C15749" w:rsidRDefault="00C15749" w:rsidP="00C15749">
      <w:pPr>
        <w:spacing w:before="480" w:after="120" w:line="480" w:lineRule="auto"/>
        <w:jc w:val="both"/>
        <w:rPr>
          <w:rFonts w:ascii="Times New Roman" w:eastAsia="MS Mincho" w:hAnsi="Times New Roman" w:cs="Times New Roman"/>
          <w:sz w:val="20"/>
          <w:szCs w:val="20"/>
          <w:lang w:val="en-US" w:eastAsia="de-DE"/>
        </w:rPr>
      </w:pPr>
      <w:r>
        <w:rPr>
          <w:rFonts w:ascii="Times New Roman" w:eastAsia="MS Mincho" w:hAnsi="Times New Roman" w:cs="Times New Roman"/>
          <w:b/>
          <w:sz w:val="20"/>
          <w:lang w:val="en-US" w:eastAsia="ja-JP"/>
        </w:rPr>
        <w:t>I</w:t>
      </w:r>
      <w:r w:rsidRPr="00EB03D5">
        <w:rPr>
          <w:rFonts w:ascii="Times New Roman" w:eastAsia="MS Mincho" w:hAnsi="Times New Roman" w:cs="Times New Roman"/>
          <w:b/>
          <w:sz w:val="20"/>
          <w:lang w:val="en-US" w:eastAsia="ja-JP"/>
        </w:rPr>
        <w:t xml:space="preserve">mpact of the </w:t>
      </w:r>
      <w:r>
        <w:rPr>
          <w:rFonts w:ascii="Times New Roman" w:eastAsia="MS Mincho" w:hAnsi="Times New Roman" w:cs="Times New Roman"/>
          <w:b/>
          <w:sz w:val="20"/>
          <w:lang w:val="en-US" w:eastAsia="ja-JP"/>
        </w:rPr>
        <w:t>reconstruction method on</w:t>
      </w:r>
      <w:r w:rsidRPr="00EB03D5">
        <w:rPr>
          <w:rFonts w:ascii="Times New Roman" w:eastAsia="MS Mincho" w:hAnsi="Times New Roman" w:cs="Times New Roman"/>
          <w:b/>
          <w:sz w:val="20"/>
          <w:lang w:val="en-US" w:eastAsia="ja-JP"/>
        </w:rPr>
        <w:t xml:space="preserve"> </w:t>
      </w:r>
      <w:r>
        <w:rPr>
          <w:rFonts w:ascii="Times New Roman" w:eastAsia="MS Mincho" w:hAnsi="Times New Roman" w:cs="Times New Roman"/>
          <w:b/>
          <w:sz w:val="20"/>
          <w:lang w:val="en-US" w:eastAsia="ja-JP"/>
        </w:rPr>
        <w:t>the effect of age and gender on the putamen SBR</w:t>
      </w:r>
    </w:p>
    <w:p w:rsidR="00C15749" w:rsidRPr="00C15749" w:rsidRDefault="00C15749" w:rsidP="00C15749">
      <w:pPr>
        <w:spacing w:after="240" w:line="480" w:lineRule="auto"/>
        <w:jc w:val="both"/>
        <w:rPr>
          <w:rFonts w:ascii="Times New Roman" w:eastAsia="MS Mincho" w:hAnsi="Times New Roman" w:cs="Times New Roman"/>
          <w:sz w:val="20"/>
          <w:szCs w:val="20"/>
          <w:lang w:val="en-GB" w:eastAsia="de-DE"/>
        </w:rPr>
      </w:pPr>
      <w:r>
        <w:rPr>
          <w:rFonts w:ascii="Times New Roman" w:eastAsia="MS Mincho" w:hAnsi="Times New Roman" w:cs="Times New Roman"/>
          <w:sz w:val="20"/>
          <w:szCs w:val="20"/>
          <w:lang w:val="en-GB" w:eastAsia="de-DE"/>
        </w:rPr>
        <w:t>In order t</w:t>
      </w:r>
      <w:r w:rsidRPr="00C15749">
        <w:rPr>
          <w:rFonts w:ascii="Times New Roman" w:eastAsia="MS Mincho" w:hAnsi="Times New Roman" w:cs="Times New Roman"/>
          <w:sz w:val="20"/>
          <w:szCs w:val="20"/>
          <w:lang w:val="en-GB" w:eastAsia="de-DE"/>
        </w:rPr>
        <w:t xml:space="preserve">o </w:t>
      </w:r>
      <w:r>
        <w:rPr>
          <w:rFonts w:ascii="Times New Roman" w:eastAsia="MS Mincho" w:hAnsi="Times New Roman" w:cs="Times New Roman"/>
          <w:sz w:val="20"/>
          <w:szCs w:val="20"/>
          <w:lang w:val="en-GB" w:eastAsia="de-DE"/>
        </w:rPr>
        <w:t>analyse the i</w:t>
      </w:r>
      <w:r w:rsidRPr="00C15749">
        <w:rPr>
          <w:rFonts w:ascii="Times New Roman" w:eastAsia="MS Mincho" w:hAnsi="Times New Roman" w:cs="Times New Roman"/>
          <w:sz w:val="20"/>
          <w:szCs w:val="20"/>
          <w:lang w:val="en-GB" w:eastAsia="de-DE"/>
        </w:rPr>
        <w:t>mpact of the reconstruction method on the effect of age and gender on the putamen SBR</w:t>
      </w:r>
      <w:r>
        <w:rPr>
          <w:rFonts w:ascii="Times New Roman" w:eastAsia="MS Mincho" w:hAnsi="Times New Roman" w:cs="Times New Roman"/>
          <w:sz w:val="20"/>
          <w:szCs w:val="20"/>
          <w:lang w:val="en-GB" w:eastAsia="de-DE"/>
        </w:rPr>
        <w:t xml:space="preserve">, </w:t>
      </w:r>
      <w:r w:rsidRPr="00C15749">
        <w:rPr>
          <w:rFonts w:ascii="Times New Roman" w:eastAsia="MS Mincho" w:hAnsi="Times New Roman" w:cs="Times New Roman"/>
          <w:sz w:val="20"/>
          <w:szCs w:val="20"/>
          <w:lang w:val="en-GB" w:eastAsia="de-DE"/>
        </w:rPr>
        <w:t xml:space="preserve">raw projection data from the clinical sample A were reconstructed using the ordered-subset-expectation-maximization (OSEM) algorithm with resolution recovery of the </w:t>
      </w:r>
      <w:proofErr w:type="spellStart"/>
      <w:r w:rsidRPr="00C15749">
        <w:rPr>
          <w:rFonts w:ascii="Times New Roman" w:eastAsia="MS Mincho" w:hAnsi="Times New Roman" w:cs="Times New Roman"/>
          <w:sz w:val="20"/>
          <w:szCs w:val="20"/>
          <w:lang w:val="en-GB" w:eastAsia="de-DE"/>
        </w:rPr>
        <w:t>HybridRecon</w:t>
      </w:r>
      <w:proofErr w:type="spellEnd"/>
      <w:r w:rsidRPr="00C15749">
        <w:rPr>
          <w:rFonts w:ascii="Times New Roman" w:eastAsia="MS Mincho" w:hAnsi="Times New Roman" w:cs="Times New Roman"/>
          <w:sz w:val="20"/>
          <w:szCs w:val="20"/>
          <w:lang w:val="en-GB" w:eastAsia="de-DE"/>
        </w:rPr>
        <w:t xml:space="preserve">-Neurology tool of the Hermes SMART workstation v1.6 with parameter settings recommended for FP-CIT SPECT by Hermes (effective number of iterations 80, </w:t>
      </w:r>
      <w:proofErr w:type="spellStart"/>
      <w:r w:rsidRPr="00C15749">
        <w:rPr>
          <w:rFonts w:ascii="Times New Roman" w:eastAsia="MS Mincho" w:hAnsi="Times New Roman" w:cs="Times New Roman"/>
          <w:sz w:val="20"/>
          <w:szCs w:val="20"/>
          <w:lang w:val="en-GB" w:eastAsia="de-DE"/>
        </w:rPr>
        <w:t>postfiltering</w:t>
      </w:r>
      <w:proofErr w:type="spellEnd"/>
      <w:r w:rsidRPr="00C15749">
        <w:rPr>
          <w:rFonts w:ascii="Times New Roman" w:eastAsia="MS Mincho" w:hAnsi="Times New Roman" w:cs="Times New Roman"/>
          <w:sz w:val="20"/>
          <w:szCs w:val="20"/>
          <w:lang w:val="en-GB" w:eastAsia="de-DE"/>
        </w:rPr>
        <w:t xml:space="preserve"> with 3-dimensional Gaussian kernel of 7mm full-width-at-half-maximum, uniform attenuation correction with narrow-beam attenuation coefficient 0.146/cm, simulation-based scatter correction, resolution recovery with a Gaussian model). The specific binding ratio (minimum of left and right hemisphere) of the putamen in the OSEM-reconstructed FP-CIT SPECT images (OSEM-SBR) was estimated using hottest voxels analysis as described in the manuscript.</w:t>
      </w:r>
    </w:p>
    <w:p w:rsidR="00C15749" w:rsidRPr="00C15749" w:rsidRDefault="00C15749" w:rsidP="00C15749">
      <w:pPr>
        <w:spacing w:after="240" w:line="480" w:lineRule="auto"/>
        <w:jc w:val="both"/>
        <w:rPr>
          <w:rFonts w:ascii="Times New Roman" w:eastAsia="MS Mincho" w:hAnsi="Times New Roman" w:cs="Times New Roman"/>
          <w:sz w:val="20"/>
          <w:szCs w:val="20"/>
          <w:lang w:val="en-GB" w:eastAsia="de-DE"/>
        </w:rPr>
      </w:pPr>
      <w:r w:rsidRPr="00C15749">
        <w:rPr>
          <w:rFonts w:ascii="Times New Roman" w:eastAsia="MS Mincho" w:hAnsi="Times New Roman" w:cs="Times New Roman"/>
          <w:sz w:val="20"/>
          <w:szCs w:val="20"/>
          <w:lang w:val="en-GB" w:eastAsia="de-DE"/>
        </w:rPr>
        <w:t>Linear regression of the OSEM-SBR with age and sex as independent variables in the patients with non-neurodegenerative PS of clinical sample A resulted in the following regression line</w:t>
      </w:r>
    </w:p>
    <w:p w:rsidR="00C15749" w:rsidRPr="00C15749" w:rsidRDefault="00C15749" w:rsidP="00C15749">
      <w:pPr>
        <w:spacing w:after="240" w:line="480" w:lineRule="auto"/>
        <w:jc w:val="both"/>
        <w:rPr>
          <w:rFonts w:ascii="Times New Roman" w:eastAsia="MS Mincho" w:hAnsi="Times New Roman" w:cs="Times New Roman"/>
          <w:sz w:val="20"/>
          <w:szCs w:val="20"/>
          <w:lang w:val="en-GB" w:eastAsia="de-DE"/>
        </w:rPr>
      </w:pPr>
      <w:proofErr w:type="gramStart"/>
      <w:r w:rsidRPr="00C15749">
        <w:rPr>
          <w:rFonts w:ascii="Times New Roman" w:eastAsia="MS Mincho" w:hAnsi="Times New Roman" w:cs="Times New Roman"/>
          <w:sz w:val="20"/>
          <w:szCs w:val="20"/>
          <w:lang w:val="en-GB" w:eastAsia="de-DE"/>
        </w:rPr>
        <w:t>clinical</w:t>
      </w:r>
      <w:proofErr w:type="gramEnd"/>
      <w:r w:rsidRPr="00C15749">
        <w:rPr>
          <w:rFonts w:ascii="Times New Roman" w:eastAsia="MS Mincho" w:hAnsi="Times New Roman" w:cs="Times New Roman"/>
          <w:sz w:val="20"/>
          <w:szCs w:val="20"/>
          <w:lang w:val="en-GB" w:eastAsia="de-DE"/>
        </w:rPr>
        <w:t xml:space="preserve"> sample A (non-</w:t>
      </w:r>
      <w:proofErr w:type="spellStart"/>
      <w:r w:rsidRPr="00C15749">
        <w:rPr>
          <w:rFonts w:ascii="Times New Roman" w:eastAsia="MS Mincho" w:hAnsi="Times New Roman" w:cs="Times New Roman"/>
          <w:sz w:val="20"/>
          <w:szCs w:val="20"/>
          <w:lang w:val="en-GB" w:eastAsia="de-DE"/>
        </w:rPr>
        <w:t>neurodeg</w:t>
      </w:r>
      <w:proofErr w:type="spellEnd"/>
      <w:r w:rsidRPr="00C15749">
        <w:rPr>
          <w:rFonts w:ascii="Times New Roman" w:eastAsia="MS Mincho" w:hAnsi="Times New Roman" w:cs="Times New Roman"/>
          <w:sz w:val="20"/>
          <w:szCs w:val="20"/>
          <w:lang w:val="en-GB" w:eastAsia="de-DE"/>
        </w:rPr>
        <w:t>. PS): OSEM-SBR = 2.261 – 0.424*age/100 – 0.140*sex</w:t>
      </w:r>
    </w:p>
    <w:p w:rsidR="00C15749" w:rsidRPr="00C15749" w:rsidRDefault="00C15749" w:rsidP="00C15749">
      <w:pPr>
        <w:spacing w:after="240" w:line="480" w:lineRule="auto"/>
        <w:jc w:val="both"/>
        <w:rPr>
          <w:rFonts w:ascii="Times New Roman" w:eastAsia="MS Mincho" w:hAnsi="Times New Roman" w:cs="Times New Roman"/>
          <w:sz w:val="20"/>
          <w:szCs w:val="20"/>
          <w:lang w:val="en-GB" w:eastAsia="de-DE"/>
        </w:rPr>
      </w:pPr>
      <w:r w:rsidRPr="00C15749">
        <w:rPr>
          <w:rFonts w:ascii="Times New Roman" w:eastAsia="MS Mincho" w:hAnsi="Times New Roman" w:cs="Times New Roman"/>
          <w:sz w:val="20"/>
          <w:szCs w:val="20"/>
          <w:lang w:val="en-GB" w:eastAsia="de-DE"/>
        </w:rPr>
        <w:t>Mean relative age-related decline in females / males was 2.0% / 2.1%. The effects of age and sex were both statistically significant (standardized coefficient β of age = -0.151, p = 0.038; β of sex = -0.217, p = 0.003).</w:t>
      </w:r>
    </w:p>
    <w:p w:rsidR="00C15749" w:rsidRPr="00C15749" w:rsidRDefault="00C15749" w:rsidP="00C15749">
      <w:pPr>
        <w:spacing w:after="240" w:line="480" w:lineRule="auto"/>
        <w:jc w:val="both"/>
        <w:rPr>
          <w:rFonts w:ascii="Times New Roman" w:eastAsia="MS Mincho" w:hAnsi="Times New Roman" w:cs="Times New Roman"/>
          <w:sz w:val="20"/>
          <w:szCs w:val="20"/>
          <w:lang w:val="en-GB" w:eastAsia="de-DE"/>
        </w:rPr>
      </w:pPr>
      <w:r w:rsidRPr="00C15749">
        <w:rPr>
          <w:rFonts w:ascii="Times New Roman" w:eastAsia="MS Mincho" w:hAnsi="Times New Roman" w:cs="Times New Roman"/>
          <w:sz w:val="20"/>
          <w:szCs w:val="20"/>
          <w:lang w:val="en-GB" w:eastAsia="de-DE"/>
        </w:rPr>
        <w:t xml:space="preserve">The total between-subjects </w:t>
      </w:r>
      <w:r w:rsidR="00E118BE">
        <w:rPr>
          <w:rFonts w:ascii="Times New Roman" w:eastAsia="MS Mincho" w:hAnsi="Times New Roman" w:cs="Times New Roman"/>
          <w:sz w:val="20"/>
          <w:szCs w:val="20"/>
          <w:lang w:val="en-GB" w:eastAsia="de-DE"/>
        </w:rPr>
        <w:t>variance</w:t>
      </w:r>
      <w:r w:rsidRPr="00C15749">
        <w:rPr>
          <w:rFonts w:ascii="Times New Roman" w:eastAsia="MS Mincho" w:hAnsi="Times New Roman" w:cs="Times New Roman"/>
          <w:sz w:val="20"/>
          <w:szCs w:val="20"/>
          <w:lang w:val="en-GB" w:eastAsia="de-DE"/>
        </w:rPr>
        <w:t xml:space="preserve"> of the OSEM-SBR in the patients with non-neurodegenerative PS in clinical sample A of 50 years and older explained by the regression model (adjusted R</w:t>
      </w:r>
      <w:r w:rsidRPr="007F7C5E">
        <w:rPr>
          <w:rFonts w:ascii="Times New Roman" w:eastAsia="MS Mincho" w:hAnsi="Times New Roman" w:cs="Times New Roman"/>
          <w:sz w:val="20"/>
          <w:szCs w:val="20"/>
          <w:vertAlign w:val="superscript"/>
          <w:lang w:val="en-GB" w:eastAsia="de-DE"/>
        </w:rPr>
        <w:t>2</w:t>
      </w:r>
      <w:r w:rsidRPr="00C15749">
        <w:rPr>
          <w:rFonts w:ascii="Times New Roman" w:eastAsia="MS Mincho" w:hAnsi="Times New Roman" w:cs="Times New Roman"/>
          <w:sz w:val="20"/>
          <w:szCs w:val="20"/>
          <w:lang w:val="en-GB" w:eastAsia="de-DE"/>
        </w:rPr>
        <w:t xml:space="preserve">) was 3.9%. For comparison, total between-subjects </w:t>
      </w:r>
      <w:r w:rsidR="00E118BE">
        <w:rPr>
          <w:rFonts w:ascii="Times New Roman" w:eastAsia="MS Mincho" w:hAnsi="Times New Roman" w:cs="Times New Roman"/>
          <w:sz w:val="20"/>
          <w:szCs w:val="20"/>
          <w:lang w:val="en-GB" w:eastAsia="de-DE"/>
        </w:rPr>
        <w:t>variance</w:t>
      </w:r>
      <w:r w:rsidRPr="00C15749">
        <w:rPr>
          <w:rFonts w:ascii="Times New Roman" w:eastAsia="MS Mincho" w:hAnsi="Times New Roman" w:cs="Times New Roman"/>
          <w:sz w:val="20"/>
          <w:szCs w:val="20"/>
          <w:lang w:val="en-GB" w:eastAsia="de-DE"/>
        </w:rPr>
        <w:t xml:space="preserve"> of the OSEM-SBR in all patients of clinical sample A of 50 years and older explained by the group (neurodegenerative PS versus non-neurodegenerative PS) was 61.7%. </w:t>
      </w:r>
    </w:p>
    <w:p w:rsidR="00C15749" w:rsidRPr="00C15749" w:rsidRDefault="00C15749" w:rsidP="00C15749">
      <w:pPr>
        <w:spacing w:after="240" w:line="480" w:lineRule="auto"/>
        <w:jc w:val="both"/>
        <w:rPr>
          <w:rFonts w:ascii="Times New Roman" w:eastAsia="MS Mincho" w:hAnsi="Times New Roman" w:cs="Times New Roman"/>
          <w:sz w:val="20"/>
          <w:szCs w:val="20"/>
          <w:lang w:val="en-GB" w:eastAsia="de-DE"/>
        </w:rPr>
      </w:pPr>
      <w:r w:rsidRPr="00C15749">
        <w:rPr>
          <w:rFonts w:ascii="Times New Roman" w:eastAsia="MS Mincho" w:hAnsi="Times New Roman" w:cs="Times New Roman"/>
          <w:sz w:val="20"/>
          <w:szCs w:val="20"/>
          <w:lang w:val="en-GB" w:eastAsia="de-DE"/>
        </w:rPr>
        <w:lastRenderedPageBreak/>
        <w:t>The regression line was used to correct the OSEM-SBR for age and sex in all patients of the clinical sample A according to the following formula:</w:t>
      </w:r>
    </w:p>
    <w:p w:rsidR="00C15749" w:rsidRPr="00C15749" w:rsidRDefault="00C15749" w:rsidP="00C15749">
      <w:pPr>
        <w:spacing w:after="240" w:line="480" w:lineRule="auto"/>
        <w:jc w:val="both"/>
        <w:rPr>
          <w:rFonts w:ascii="Times New Roman" w:eastAsia="MS Mincho" w:hAnsi="Times New Roman" w:cs="Times New Roman"/>
          <w:sz w:val="20"/>
          <w:szCs w:val="20"/>
          <w:lang w:val="en-GB" w:eastAsia="de-DE"/>
        </w:rPr>
      </w:pPr>
      <w:proofErr w:type="gramStart"/>
      <w:r w:rsidRPr="00C15749">
        <w:rPr>
          <w:rFonts w:ascii="Times New Roman" w:eastAsia="MS Mincho" w:hAnsi="Times New Roman" w:cs="Times New Roman"/>
          <w:sz w:val="20"/>
          <w:szCs w:val="20"/>
          <w:lang w:val="en-GB" w:eastAsia="de-DE"/>
        </w:rPr>
        <w:t>clinical</w:t>
      </w:r>
      <w:proofErr w:type="gramEnd"/>
      <w:r w:rsidRPr="00C15749">
        <w:rPr>
          <w:rFonts w:ascii="Times New Roman" w:eastAsia="MS Mincho" w:hAnsi="Times New Roman" w:cs="Times New Roman"/>
          <w:sz w:val="20"/>
          <w:szCs w:val="20"/>
          <w:lang w:val="en-GB" w:eastAsia="de-DE"/>
        </w:rPr>
        <w:t xml:space="preserve"> sample A (</w:t>
      </w:r>
      <w:r w:rsidR="00DC2165">
        <w:rPr>
          <w:rFonts w:ascii="Times New Roman" w:eastAsia="MS Mincho" w:hAnsi="Times New Roman" w:cs="Times New Roman"/>
          <w:sz w:val="20"/>
          <w:szCs w:val="20"/>
          <w:lang w:val="en-GB" w:eastAsia="de-DE"/>
        </w:rPr>
        <w:t xml:space="preserve">all </w:t>
      </w:r>
      <w:r w:rsidR="002C3917">
        <w:rPr>
          <w:rFonts w:ascii="Times New Roman" w:eastAsia="MS Mincho" w:hAnsi="Times New Roman" w:cs="Times New Roman"/>
          <w:sz w:val="20"/>
          <w:szCs w:val="20"/>
          <w:lang w:val="en-GB" w:eastAsia="de-DE"/>
        </w:rPr>
        <w:t>patients</w:t>
      </w:r>
      <w:r w:rsidRPr="00C15749">
        <w:rPr>
          <w:rFonts w:ascii="Times New Roman" w:eastAsia="MS Mincho" w:hAnsi="Times New Roman" w:cs="Times New Roman"/>
          <w:sz w:val="20"/>
          <w:szCs w:val="20"/>
          <w:lang w:val="en-GB" w:eastAsia="de-DE"/>
        </w:rPr>
        <w:t>): corrected OSEM-SBR = uncorrected OSEM-SBR + 0.424*age/100 + 0.140*sex</w:t>
      </w:r>
    </w:p>
    <w:p w:rsidR="00C15749" w:rsidRPr="00C15749" w:rsidRDefault="00C15749" w:rsidP="00C15749">
      <w:pPr>
        <w:spacing w:after="240" w:line="480" w:lineRule="auto"/>
        <w:jc w:val="both"/>
        <w:rPr>
          <w:rFonts w:ascii="Times New Roman" w:eastAsia="MS Mincho" w:hAnsi="Times New Roman" w:cs="Times New Roman"/>
          <w:sz w:val="20"/>
          <w:szCs w:val="20"/>
          <w:lang w:val="en-GB" w:eastAsia="de-DE"/>
        </w:rPr>
      </w:pPr>
      <w:r w:rsidRPr="00C15749">
        <w:rPr>
          <w:rFonts w:ascii="Times New Roman" w:eastAsia="MS Mincho" w:hAnsi="Times New Roman" w:cs="Times New Roman"/>
          <w:sz w:val="20"/>
          <w:szCs w:val="20"/>
          <w:lang w:val="en-GB" w:eastAsia="de-DE"/>
        </w:rPr>
        <w:t>ROC analyses of uncorrected and corrected OSEM-SBR to identify patients with neurodegenerative PS in clinical sample A showed a small reduction of the area under the ROC curve by age and sex correction that slightly missed statistical significance (area under the ROC curve = 0.949 and 0.943 without and with correction for age and sex, p = 0.059).</w:t>
      </w:r>
    </w:p>
    <w:p w:rsidR="00B544FC" w:rsidRPr="00C15749" w:rsidRDefault="00C15749" w:rsidP="00C15749">
      <w:pPr>
        <w:spacing w:after="240" w:line="480" w:lineRule="auto"/>
        <w:jc w:val="both"/>
        <w:rPr>
          <w:rFonts w:ascii="Times New Roman" w:eastAsia="MS Mincho" w:hAnsi="Times New Roman" w:cs="Times New Roman"/>
          <w:sz w:val="20"/>
          <w:szCs w:val="20"/>
          <w:lang w:val="en-GB" w:eastAsia="de-DE"/>
        </w:rPr>
      </w:pPr>
      <w:r w:rsidRPr="00C15749">
        <w:rPr>
          <w:rFonts w:ascii="Times New Roman" w:eastAsia="MS Mincho" w:hAnsi="Times New Roman" w:cs="Times New Roman"/>
          <w:sz w:val="20"/>
          <w:szCs w:val="20"/>
          <w:lang w:val="en-GB" w:eastAsia="de-DE"/>
        </w:rPr>
        <w:t xml:space="preserve">These findings </w:t>
      </w:r>
      <w:r>
        <w:rPr>
          <w:rFonts w:ascii="Times New Roman" w:eastAsia="MS Mincho" w:hAnsi="Times New Roman" w:cs="Times New Roman"/>
          <w:sz w:val="20"/>
          <w:szCs w:val="20"/>
          <w:lang w:val="en-GB" w:eastAsia="de-DE"/>
        </w:rPr>
        <w:t>suggest</w:t>
      </w:r>
      <w:r w:rsidRPr="00C15749">
        <w:rPr>
          <w:rFonts w:ascii="Times New Roman" w:eastAsia="MS Mincho" w:hAnsi="Times New Roman" w:cs="Times New Roman"/>
          <w:sz w:val="20"/>
          <w:szCs w:val="20"/>
          <w:lang w:val="en-GB" w:eastAsia="de-DE"/>
        </w:rPr>
        <w:t xml:space="preserve"> that the lack of relevant improvement of the diagnostic accuracy of the putamen SBR by age and sex correction </w:t>
      </w:r>
      <w:r>
        <w:rPr>
          <w:rFonts w:ascii="Times New Roman" w:eastAsia="MS Mincho" w:hAnsi="Times New Roman" w:cs="Times New Roman"/>
          <w:sz w:val="20"/>
          <w:szCs w:val="20"/>
          <w:lang w:val="en-GB" w:eastAsia="de-DE"/>
        </w:rPr>
        <w:t xml:space="preserve">reported in the manuscript </w:t>
      </w:r>
      <w:r w:rsidRPr="00C15749">
        <w:rPr>
          <w:rFonts w:ascii="Times New Roman" w:eastAsia="MS Mincho" w:hAnsi="Times New Roman" w:cs="Times New Roman"/>
          <w:sz w:val="20"/>
          <w:szCs w:val="20"/>
          <w:lang w:val="en-GB" w:eastAsia="de-DE"/>
        </w:rPr>
        <w:t xml:space="preserve">is not restricted to a specific reconstruction algorithm but can be generalized to other reconstruction algorithms used in clinical routine. </w:t>
      </w:r>
    </w:p>
    <w:p w:rsidR="00EB03D5" w:rsidRPr="00EB03D5" w:rsidRDefault="00EB03D5" w:rsidP="00EB03D5">
      <w:pPr>
        <w:spacing w:before="480" w:after="120" w:line="480" w:lineRule="auto"/>
        <w:jc w:val="both"/>
        <w:rPr>
          <w:rFonts w:ascii="Times New Roman" w:eastAsia="MS Mincho" w:hAnsi="Times New Roman" w:cs="Times New Roman"/>
          <w:b/>
          <w:sz w:val="20"/>
          <w:lang w:val="en-US" w:eastAsia="ja-JP"/>
        </w:rPr>
      </w:pPr>
      <w:r>
        <w:rPr>
          <w:rFonts w:ascii="Times New Roman" w:eastAsia="MS Mincho" w:hAnsi="Times New Roman" w:cs="Times New Roman"/>
          <w:b/>
          <w:sz w:val="20"/>
          <w:lang w:val="en-US" w:eastAsia="ja-JP"/>
        </w:rPr>
        <w:t>I</w:t>
      </w:r>
      <w:r w:rsidRPr="00EB03D5">
        <w:rPr>
          <w:rFonts w:ascii="Times New Roman" w:eastAsia="MS Mincho" w:hAnsi="Times New Roman" w:cs="Times New Roman"/>
          <w:b/>
          <w:sz w:val="20"/>
          <w:lang w:val="en-US" w:eastAsia="ja-JP"/>
        </w:rPr>
        <w:t>mpact of the method used to estimate the SBR on age and gender effects</w:t>
      </w:r>
    </w:p>
    <w:p w:rsidR="00D230A4" w:rsidRPr="00D230A4" w:rsidRDefault="00EB03D5" w:rsidP="00EB03D5">
      <w:pPr>
        <w:spacing w:after="240" w:line="480" w:lineRule="auto"/>
        <w:jc w:val="both"/>
        <w:rPr>
          <w:rFonts w:ascii="Times New Roman" w:eastAsia="MS Mincho" w:hAnsi="Times New Roman" w:cs="Times New Roman"/>
          <w:sz w:val="20"/>
          <w:szCs w:val="20"/>
          <w:lang w:val="en-GB" w:eastAsia="de-DE"/>
        </w:rPr>
      </w:pPr>
      <w:r>
        <w:rPr>
          <w:rFonts w:ascii="Times New Roman" w:eastAsia="MS Mincho" w:hAnsi="Times New Roman" w:cs="Times New Roman"/>
          <w:sz w:val="20"/>
          <w:szCs w:val="20"/>
          <w:lang w:val="en-GB" w:eastAsia="de-DE"/>
        </w:rPr>
        <w:t>A</w:t>
      </w:r>
      <w:r w:rsidRPr="00EB03D5">
        <w:rPr>
          <w:rFonts w:ascii="Times New Roman" w:eastAsia="MS Mincho" w:hAnsi="Times New Roman" w:cs="Times New Roman"/>
          <w:sz w:val="20"/>
          <w:szCs w:val="20"/>
          <w:lang w:val="en-GB" w:eastAsia="de-DE"/>
        </w:rPr>
        <w:t xml:space="preserve"> potential impact of the method used to estimate the SBR on age and gender effects was tested in the PPMI sample. For this purpose, the unilateral putamen SBR was also computed by conventional ROI analysis using the anatomical putamen ROIs predefined in MNI space by the Automatic Anatomical </w:t>
      </w:r>
      <w:proofErr w:type="spellStart"/>
      <w:r w:rsidRPr="00EB03D5">
        <w:rPr>
          <w:rFonts w:ascii="Times New Roman" w:eastAsia="MS Mincho" w:hAnsi="Times New Roman" w:cs="Times New Roman"/>
          <w:sz w:val="20"/>
          <w:szCs w:val="20"/>
          <w:lang w:val="en-GB" w:eastAsia="de-DE"/>
        </w:rPr>
        <w:t>Labeling</w:t>
      </w:r>
      <w:proofErr w:type="spellEnd"/>
      <w:r w:rsidRPr="00EB03D5">
        <w:rPr>
          <w:rFonts w:ascii="Times New Roman" w:eastAsia="MS Mincho" w:hAnsi="Times New Roman" w:cs="Times New Roman"/>
          <w:sz w:val="20"/>
          <w:szCs w:val="20"/>
          <w:lang w:val="en-GB" w:eastAsia="de-DE"/>
        </w:rPr>
        <w:t xml:space="preserve"> atlas (AAL) </w:t>
      </w:r>
      <w:r w:rsidRPr="00EB03D5">
        <w:rPr>
          <w:rFonts w:ascii="Times New Roman" w:eastAsia="MS Mincho" w:hAnsi="Times New Roman" w:cs="Times New Roman"/>
          <w:sz w:val="20"/>
          <w:szCs w:val="20"/>
          <w:lang w:val="en-GB" w:eastAsia="de-DE"/>
        </w:rPr>
        <w:fldChar w:fldCharType="begin"/>
      </w:r>
      <w:r w:rsidRPr="00EB03D5">
        <w:rPr>
          <w:rFonts w:ascii="Times New Roman" w:eastAsia="MS Mincho" w:hAnsi="Times New Roman" w:cs="Times New Roman"/>
          <w:sz w:val="20"/>
          <w:szCs w:val="20"/>
          <w:lang w:val="en-GB" w:eastAsia="de-DE"/>
        </w:rPr>
        <w:instrText xml:space="preserve"> ADDIN EN.CITE &lt;EndNote&gt;&lt;Cite&gt;&lt;Author&gt;Tzourio-Mazoyer&lt;/Author&gt;&lt;Year&gt;2002&lt;/Year&gt;&lt;RecNum&gt;23&lt;/RecNum&gt;&lt;DisplayText&gt;[2]&lt;/DisplayText&gt;&lt;record&gt;&lt;rec-number&gt;23&lt;/rec-number&gt;&lt;foreign-keys&gt;&lt;key app="EN" db-id="zxw2zdrzj5zrf7estrnv0xw2s2ateaxstdwt" timestamp="0"&gt;23&lt;/key&gt;&lt;/foreign-keys&gt;&lt;ref-type name="Journal Article"&gt;17&lt;/ref-type&gt;&lt;contributors&gt;&lt;authors&gt;&lt;author&gt;Tzourio-Mazoyer, N.&lt;/author&gt;&lt;author&gt;Landeau, B.&lt;/author&gt;&lt;author&gt;Papathanassiou, D.&lt;/author&gt;&lt;author&gt;Crivello, F.&lt;/author&gt;&lt;author&gt;Etard, O.&lt;/author&gt;&lt;author&gt;Delcroix, N.&lt;/author&gt;&lt;author&gt;Mazoyer, B.&lt;/author&gt;&lt;author&gt;Joliot, M.&lt;/author&gt;&lt;/authors&gt;&lt;/contributors&gt;&lt;auth-address&gt;Groupe d&amp;apos;Imagerie Neurofonctionnelle, UMR 6095 CNRS CEA, Universite de Caen, Universite de Paris 5, France.&lt;/auth-address&gt;&lt;titles&gt;&lt;title&gt;Automated anatomical labeling of activations in SPM using a macroscopic anatomical parcellation of the MNI MRI single-subject brain&lt;/title&gt;&lt;secondary-title&gt;Neuroimage&lt;/secondary-title&gt;&lt;/titles&gt;&lt;pages&gt;273-89&lt;/pages&gt;&lt;volume&gt;15&lt;/volume&gt;&lt;number&gt;1&lt;/number&gt;&lt;keywords&gt;&lt;keyword&gt;Brain/*anatomy &amp;amp; histology&lt;/keyword&gt;&lt;keyword&gt;*Brain Mapping&lt;/keyword&gt;&lt;keyword&gt;Computer Graphics&lt;/keyword&gt;&lt;keyword&gt;Dominance, Cerebral/physiology&lt;/keyword&gt;&lt;keyword&gt;Humans&lt;/keyword&gt;&lt;keyword&gt;*Image Processing, Computer-Assisted&lt;/keyword&gt;&lt;keyword&gt;*Imaging, Three-Dimensional&lt;/keyword&gt;&lt;keyword&gt;*Magnetic Resonance Imaging&lt;/keyword&gt;&lt;keyword&gt;Reference Values&lt;/keyword&gt;&lt;/keywords&gt;&lt;dates&gt;&lt;year&gt;2002&lt;/year&gt;&lt;pub-dates&gt;&lt;date&gt;Jan&lt;/date&gt;&lt;/pub-dates&gt;&lt;/dates&gt;&lt;isbn&gt;1053-8119 (Print)&amp;#xD;1053-8119 (Linking)&lt;/isbn&gt;&lt;accession-num&gt;11771995&lt;/accession-num&gt;&lt;urls&gt;&lt;related-urls&gt;&lt;url&gt;https://www.ncbi.nlm.nih.gov/pubmed/11771995&lt;/url&gt;&lt;/related-urls&gt;&lt;/urls&gt;&lt;electronic-resource-num&gt;10.1006/nimg.2001.0978&lt;/electronic-resource-num&gt;&lt;/record&gt;&lt;/Cite&gt;&lt;/EndNote&gt;</w:instrText>
      </w:r>
      <w:r w:rsidRPr="00EB03D5">
        <w:rPr>
          <w:rFonts w:ascii="Times New Roman" w:eastAsia="MS Mincho" w:hAnsi="Times New Roman" w:cs="Times New Roman"/>
          <w:sz w:val="20"/>
          <w:szCs w:val="20"/>
          <w:lang w:val="en-GB" w:eastAsia="de-DE"/>
        </w:rPr>
        <w:fldChar w:fldCharType="separate"/>
      </w:r>
      <w:r w:rsidRPr="00EB03D5">
        <w:rPr>
          <w:rFonts w:ascii="Times New Roman" w:eastAsia="MS Mincho" w:hAnsi="Times New Roman" w:cs="Times New Roman"/>
          <w:sz w:val="20"/>
          <w:szCs w:val="20"/>
          <w:lang w:val="en-GB" w:eastAsia="de-DE"/>
        </w:rPr>
        <w:t>[2]</w:t>
      </w:r>
      <w:r w:rsidRPr="00EB03D5">
        <w:rPr>
          <w:rFonts w:ascii="Times New Roman" w:eastAsia="MS Mincho" w:hAnsi="Times New Roman" w:cs="Times New Roman"/>
          <w:sz w:val="20"/>
          <w:szCs w:val="20"/>
          <w:lang w:val="en-GB" w:eastAsia="de-DE"/>
        </w:rPr>
        <w:fldChar w:fldCharType="end"/>
      </w:r>
      <w:r w:rsidRPr="00EB03D5">
        <w:rPr>
          <w:rFonts w:ascii="Times New Roman" w:eastAsia="MS Mincho" w:hAnsi="Times New Roman" w:cs="Times New Roman"/>
          <w:sz w:val="20"/>
          <w:szCs w:val="20"/>
          <w:lang w:val="en-GB" w:eastAsia="de-DE"/>
        </w:rPr>
        <w:t>. The mean value of the scaled voxel intensity in the AAL ROI was used to calculate the conventional SBR: AAL-SBR = mean scaled voxel intens</w:t>
      </w:r>
      <w:r w:rsidR="00D230A4">
        <w:rPr>
          <w:rFonts w:ascii="Times New Roman" w:eastAsia="MS Mincho" w:hAnsi="Times New Roman" w:cs="Times New Roman"/>
          <w:sz w:val="20"/>
          <w:szCs w:val="20"/>
          <w:lang w:val="en-GB" w:eastAsia="de-DE"/>
        </w:rPr>
        <w:t xml:space="preserve">ity in the AAL putamen ROI - 1. </w:t>
      </w:r>
      <w:r w:rsidR="00D230A4" w:rsidRPr="00D230A4">
        <w:rPr>
          <w:rFonts w:ascii="Times New Roman" w:eastAsia="MS Mincho" w:hAnsi="Times New Roman" w:cs="Times New Roman"/>
          <w:sz w:val="20"/>
          <w:szCs w:val="20"/>
          <w:lang w:val="en-GB" w:eastAsia="de-DE"/>
        </w:rPr>
        <w:t>In addition, putamen SBR values (PPMI-SBR) provided for download at the PPMI homepage were used (</w:t>
      </w:r>
      <w:proofErr w:type="spellStart"/>
      <w:r w:rsidR="00D230A4" w:rsidRPr="00D230A4">
        <w:rPr>
          <w:rFonts w:ascii="Times New Roman" w:eastAsia="MS Mincho" w:hAnsi="Times New Roman" w:cs="Times New Roman"/>
          <w:sz w:val="20"/>
          <w:szCs w:val="20"/>
          <w:lang w:val="en-GB" w:eastAsia="de-DE"/>
        </w:rPr>
        <w:t>StudyData</w:t>
      </w:r>
      <w:proofErr w:type="spellEnd"/>
      <w:r w:rsidR="00D230A4" w:rsidRPr="00D230A4">
        <w:rPr>
          <w:rFonts w:ascii="Times New Roman" w:eastAsia="MS Mincho" w:hAnsi="Times New Roman" w:cs="Times New Roman"/>
          <w:sz w:val="20"/>
          <w:szCs w:val="20"/>
          <w:lang w:val="en-GB" w:eastAsia="de-DE"/>
        </w:rPr>
        <w:t>/Imaging/</w:t>
      </w:r>
      <w:proofErr w:type="spellStart"/>
      <w:r w:rsidR="00D230A4" w:rsidRPr="00D230A4">
        <w:rPr>
          <w:rFonts w:ascii="Times New Roman" w:eastAsia="MS Mincho" w:hAnsi="Times New Roman" w:cs="Times New Roman"/>
          <w:sz w:val="20"/>
          <w:szCs w:val="20"/>
          <w:lang w:val="en-GB" w:eastAsia="de-DE"/>
        </w:rPr>
        <w:t>DaTSCAN</w:t>
      </w:r>
      <w:proofErr w:type="spellEnd"/>
      <w:r w:rsidR="00D230A4" w:rsidRPr="00D230A4">
        <w:rPr>
          <w:rFonts w:ascii="Times New Roman" w:eastAsia="MS Mincho" w:hAnsi="Times New Roman" w:cs="Times New Roman"/>
          <w:sz w:val="20"/>
          <w:szCs w:val="20"/>
          <w:lang w:val="en-GB" w:eastAsia="de-DE"/>
        </w:rPr>
        <w:t xml:space="preserve">/DaTscan_Analysis.csv). The PPMI-SBR estimates have been obtained by automatic placement of small circular ROIs in the putamen </w:t>
      </w:r>
      <w:r w:rsidR="00D230A4" w:rsidRPr="00D230A4">
        <w:rPr>
          <w:rFonts w:ascii="Times New Roman" w:eastAsia="MS Mincho" w:hAnsi="Times New Roman" w:cs="Times New Roman"/>
          <w:sz w:val="20"/>
          <w:szCs w:val="20"/>
          <w:lang w:val="en-GB" w:eastAsia="de-DE"/>
        </w:rPr>
        <w:fldChar w:fldCharType="begin">
          <w:fldData xml:space="preserve">PEVuZE5vdGU+PENpdGU+PEF1dGhvcj5adWJhbDwvQXV0aG9yPjxZZWFyPjIwMDc8L1llYXI+PFJl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</w:fldData>
        </w:fldChar>
      </w:r>
      <w:r w:rsidR="00D230A4" w:rsidRPr="00D230A4">
        <w:rPr>
          <w:rFonts w:ascii="Times New Roman" w:eastAsia="MS Mincho" w:hAnsi="Times New Roman" w:cs="Times New Roman"/>
          <w:sz w:val="20"/>
          <w:szCs w:val="20"/>
          <w:lang w:val="en-GB" w:eastAsia="de-DE"/>
        </w:rPr>
        <w:instrText xml:space="preserve"> ADDIN EN.CITE </w:instrText>
      </w:r>
      <w:r w:rsidR="00D230A4" w:rsidRPr="00D230A4">
        <w:rPr>
          <w:rFonts w:ascii="Times New Roman" w:eastAsia="MS Mincho" w:hAnsi="Times New Roman" w:cs="Times New Roman"/>
          <w:sz w:val="20"/>
          <w:szCs w:val="20"/>
          <w:lang w:val="en-GB" w:eastAsia="de-DE"/>
        </w:rPr>
        <w:fldChar w:fldCharType="begin">
          <w:fldData xml:space="preserve">PEVuZE5vdGU+PENpdGU+PEF1dGhvcj5adWJhbDwvQXV0aG9yPjxZZWFyPjIwMDc8L1llYXI+PFJl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</w:fldData>
        </w:fldChar>
      </w:r>
      <w:r w:rsidR="00D230A4" w:rsidRPr="00D230A4">
        <w:rPr>
          <w:rFonts w:ascii="Times New Roman" w:eastAsia="MS Mincho" w:hAnsi="Times New Roman" w:cs="Times New Roman"/>
          <w:sz w:val="20"/>
          <w:szCs w:val="20"/>
          <w:lang w:val="en-GB" w:eastAsia="de-DE"/>
        </w:rPr>
        <w:instrText xml:space="preserve"> ADDIN EN.CITE.DATA </w:instrText>
      </w:r>
      <w:r w:rsidR="00D230A4" w:rsidRPr="00D230A4">
        <w:rPr>
          <w:rFonts w:ascii="Times New Roman" w:eastAsia="MS Mincho" w:hAnsi="Times New Roman" w:cs="Times New Roman"/>
          <w:sz w:val="20"/>
          <w:szCs w:val="20"/>
          <w:lang w:val="en-GB" w:eastAsia="de-DE"/>
        </w:rPr>
      </w:r>
      <w:r w:rsidR="00D230A4" w:rsidRPr="00D230A4">
        <w:rPr>
          <w:rFonts w:ascii="Times New Roman" w:eastAsia="MS Mincho" w:hAnsi="Times New Roman" w:cs="Times New Roman"/>
          <w:sz w:val="20"/>
          <w:szCs w:val="20"/>
          <w:lang w:val="en-GB" w:eastAsia="de-DE"/>
        </w:rPr>
        <w:fldChar w:fldCharType="end"/>
      </w:r>
      <w:r w:rsidR="00D230A4" w:rsidRPr="00D230A4">
        <w:rPr>
          <w:rFonts w:ascii="Times New Roman" w:eastAsia="MS Mincho" w:hAnsi="Times New Roman" w:cs="Times New Roman"/>
          <w:sz w:val="20"/>
          <w:szCs w:val="20"/>
          <w:lang w:val="en-GB" w:eastAsia="de-DE"/>
        </w:rPr>
        <w:fldChar w:fldCharType="separate"/>
      </w:r>
      <w:r w:rsidR="00D230A4" w:rsidRPr="00D230A4">
        <w:rPr>
          <w:rFonts w:ascii="Times New Roman" w:eastAsia="MS Mincho" w:hAnsi="Times New Roman" w:cs="Times New Roman"/>
          <w:sz w:val="20"/>
          <w:szCs w:val="20"/>
          <w:lang w:val="en-GB" w:eastAsia="de-DE"/>
        </w:rPr>
        <w:t>[9, 10]</w:t>
      </w:r>
      <w:r w:rsidR="00D230A4" w:rsidRPr="00D230A4">
        <w:rPr>
          <w:rFonts w:ascii="Times New Roman" w:eastAsia="MS Mincho" w:hAnsi="Times New Roman" w:cs="Times New Roman"/>
          <w:sz w:val="20"/>
          <w:szCs w:val="20"/>
          <w:lang w:val="en-GB" w:eastAsia="de-DE"/>
        </w:rPr>
        <w:fldChar w:fldCharType="end"/>
      </w:r>
      <w:r w:rsidR="00D230A4" w:rsidRPr="00D230A4">
        <w:rPr>
          <w:rFonts w:ascii="Times New Roman" w:eastAsia="MS Mincho" w:hAnsi="Times New Roman" w:cs="Times New Roman"/>
          <w:sz w:val="20"/>
          <w:szCs w:val="20"/>
          <w:lang w:val="en-GB" w:eastAsia="de-DE"/>
        </w:rPr>
        <w:t xml:space="preserve">. </w:t>
      </w:r>
    </w:p>
    <w:p w:rsidR="00EB03D5" w:rsidRPr="00EB03D5"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t xml:space="preserve">The minimum of left and right hemisphere was used for both AAL-SBR and PPMI-SBR, analogous to the minimum of </w:t>
      </w:r>
      <w:r w:rsidR="003A772F">
        <w:rPr>
          <w:rFonts w:ascii="Times New Roman" w:eastAsia="MS Mincho" w:hAnsi="Times New Roman" w:cs="Times New Roman"/>
          <w:sz w:val="20"/>
          <w:szCs w:val="20"/>
          <w:lang w:val="en-GB" w:eastAsia="de-DE"/>
        </w:rPr>
        <w:t xml:space="preserve">the hottest voxels putamen SBR </w:t>
      </w:r>
      <w:r w:rsidRPr="00EB03D5">
        <w:rPr>
          <w:rFonts w:ascii="Times New Roman" w:eastAsia="MS Mincho" w:hAnsi="Times New Roman" w:cs="Times New Roman"/>
          <w:sz w:val="20"/>
          <w:szCs w:val="20"/>
          <w:lang w:val="en-GB" w:eastAsia="de-DE"/>
        </w:rPr>
        <w:t>of left and right hemisphere that was used in the analyses in the manuscript.</w:t>
      </w:r>
    </w:p>
    <w:p w:rsidR="00EB03D5" w:rsidRPr="00EB03D5"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t xml:space="preserve">Linear regression of AAL-SBR </w:t>
      </w:r>
      <w:r w:rsidR="00B50317">
        <w:rPr>
          <w:rFonts w:ascii="Times New Roman" w:eastAsia="MS Mincho" w:hAnsi="Times New Roman" w:cs="Times New Roman"/>
          <w:sz w:val="20"/>
          <w:szCs w:val="20"/>
          <w:lang w:val="en-GB" w:eastAsia="de-DE"/>
        </w:rPr>
        <w:t>and</w:t>
      </w:r>
      <w:r w:rsidRPr="00EB03D5">
        <w:rPr>
          <w:rFonts w:ascii="Times New Roman" w:eastAsia="MS Mincho" w:hAnsi="Times New Roman" w:cs="Times New Roman"/>
          <w:sz w:val="20"/>
          <w:szCs w:val="20"/>
          <w:lang w:val="en-GB" w:eastAsia="de-DE"/>
        </w:rPr>
        <w:t xml:space="preserve"> PPMI-SBR with age and sex as independent variables in the healthy controls of the PPMI </w:t>
      </w:r>
      <w:r w:rsidR="00B50317">
        <w:rPr>
          <w:rFonts w:ascii="Times New Roman" w:eastAsia="MS Mincho" w:hAnsi="Times New Roman" w:cs="Times New Roman"/>
          <w:sz w:val="20"/>
          <w:szCs w:val="20"/>
          <w:lang w:val="en-GB" w:eastAsia="de-DE"/>
        </w:rPr>
        <w:t xml:space="preserve">sample </w:t>
      </w:r>
      <w:r w:rsidRPr="00EB03D5">
        <w:rPr>
          <w:rFonts w:ascii="Times New Roman" w:eastAsia="MS Mincho" w:hAnsi="Times New Roman" w:cs="Times New Roman"/>
          <w:sz w:val="20"/>
          <w:szCs w:val="20"/>
          <w:lang w:val="en-GB" w:eastAsia="de-DE"/>
        </w:rPr>
        <w:t>resulted in the following regression lines</w:t>
      </w:r>
    </w:p>
    <w:p w:rsidR="00EB03D5" w:rsidRPr="00EB03D5"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lastRenderedPageBreak/>
        <w:t>PPMI sample (HC): AAL-SBR = 1.621 – 0.631*age/100 – 0.168*sex</w:t>
      </w:r>
    </w:p>
    <w:p w:rsidR="00EB03D5" w:rsidRPr="00EB03D5"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t>PPMI sample (HC): PPMI-SBR = 2.130 – 1.116*age/100 – 0.151*sex</w:t>
      </w:r>
    </w:p>
    <w:p w:rsidR="00EB03D5" w:rsidRPr="00EB03D5"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t xml:space="preserve">Mean relative age-related decline in females / males was 4.4% / 5.0% for the AAL-SBR and 6.2% / 6.8% for the PPMI-SBR. The effects of age and sex were </w:t>
      </w:r>
      <w:r w:rsidR="00B50317">
        <w:rPr>
          <w:rFonts w:ascii="Times New Roman" w:eastAsia="MS Mincho" w:hAnsi="Times New Roman" w:cs="Times New Roman"/>
          <w:sz w:val="20"/>
          <w:szCs w:val="20"/>
          <w:lang w:val="en-GB" w:eastAsia="de-DE"/>
        </w:rPr>
        <w:t xml:space="preserve">statistically </w:t>
      </w:r>
      <w:r w:rsidRPr="00EB03D5">
        <w:rPr>
          <w:rFonts w:ascii="Times New Roman" w:eastAsia="MS Mincho" w:hAnsi="Times New Roman" w:cs="Times New Roman"/>
          <w:sz w:val="20"/>
          <w:szCs w:val="20"/>
          <w:lang w:val="en-GB" w:eastAsia="de-DE"/>
        </w:rPr>
        <w:t>significant for both SBR estimates (AAL-SBR: standardized coefficient β of age = -0.241, p &lt; 0.0005; β of sex = -0.274, p &lt; 0.0005; PPMI-SBR:</w:t>
      </w:r>
      <w:r w:rsidR="0027684E">
        <w:rPr>
          <w:rFonts w:ascii="Times New Roman" w:eastAsia="MS Mincho" w:hAnsi="Times New Roman" w:cs="Times New Roman"/>
          <w:sz w:val="20"/>
          <w:szCs w:val="20"/>
          <w:lang w:val="en-GB" w:eastAsia="de-DE"/>
        </w:rPr>
        <w:t xml:space="preserve"> </w:t>
      </w:r>
      <w:r w:rsidRPr="00EB03D5">
        <w:rPr>
          <w:rFonts w:ascii="Times New Roman" w:eastAsia="MS Mincho" w:hAnsi="Times New Roman" w:cs="Times New Roman"/>
          <w:sz w:val="20"/>
          <w:szCs w:val="20"/>
          <w:lang w:val="en-GB" w:eastAsia="de-DE"/>
        </w:rPr>
        <w:t>β of age = -0.235, p = 0.001; β of sex = -0.136, p = 0.045).</w:t>
      </w:r>
    </w:p>
    <w:p w:rsidR="00EB03D5" w:rsidRPr="00EB03D5"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t xml:space="preserve">The total between-subjects </w:t>
      </w:r>
      <w:r w:rsidR="00E118BE">
        <w:rPr>
          <w:rFonts w:ascii="Times New Roman" w:eastAsia="MS Mincho" w:hAnsi="Times New Roman" w:cs="Times New Roman"/>
          <w:sz w:val="20"/>
          <w:szCs w:val="20"/>
          <w:lang w:val="en-GB" w:eastAsia="de-DE"/>
        </w:rPr>
        <w:t>variance</w:t>
      </w:r>
      <w:r w:rsidRPr="00EB03D5">
        <w:rPr>
          <w:rFonts w:ascii="Times New Roman" w:eastAsia="MS Mincho" w:hAnsi="Times New Roman" w:cs="Times New Roman"/>
          <w:sz w:val="20"/>
          <w:szCs w:val="20"/>
          <w:lang w:val="en-GB" w:eastAsia="de-DE"/>
        </w:rPr>
        <w:t xml:space="preserve"> explained by the regression model (adjusted R</w:t>
      </w:r>
      <w:r w:rsidRPr="007F7C5E">
        <w:rPr>
          <w:rFonts w:ascii="Times New Roman" w:eastAsia="MS Mincho" w:hAnsi="Times New Roman" w:cs="Times New Roman"/>
          <w:sz w:val="20"/>
          <w:szCs w:val="20"/>
          <w:vertAlign w:val="superscript"/>
          <w:lang w:val="en-GB" w:eastAsia="de-DE"/>
        </w:rPr>
        <w:t>2</w:t>
      </w:r>
      <w:r w:rsidRPr="00EB03D5">
        <w:rPr>
          <w:rFonts w:ascii="Times New Roman" w:eastAsia="MS Mincho" w:hAnsi="Times New Roman" w:cs="Times New Roman"/>
          <w:sz w:val="20"/>
          <w:szCs w:val="20"/>
          <w:lang w:val="en-GB" w:eastAsia="de-DE"/>
        </w:rPr>
        <w:t xml:space="preserve">) in the PPMI HC subjects of 50 years and older was 5.8% for the AAL-SBR and 1.5% for the PPMI-SBR. For comparison, total between-subjects </w:t>
      </w:r>
      <w:r w:rsidR="00E118BE">
        <w:rPr>
          <w:rFonts w:ascii="Times New Roman" w:eastAsia="MS Mincho" w:hAnsi="Times New Roman" w:cs="Times New Roman"/>
          <w:sz w:val="20"/>
          <w:szCs w:val="20"/>
          <w:lang w:val="en-GB" w:eastAsia="de-DE"/>
        </w:rPr>
        <w:t>variance</w:t>
      </w:r>
      <w:r w:rsidRPr="00EB03D5">
        <w:rPr>
          <w:rFonts w:ascii="Times New Roman" w:eastAsia="MS Mincho" w:hAnsi="Times New Roman" w:cs="Times New Roman"/>
          <w:sz w:val="20"/>
          <w:szCs w:val="20"/>
          <w:lang w:val="en-GB" w:eastAsia="de-DE"/>
        </w:rPr>
        <w:t xml:space="preserve"> in all PPMI subjects (HC and PD) of 50 years and older explained by the group (HC or PD) was 71.2% for the AAL-SBR and 75.9% for the PPMI-SBR. Thus, the disease status (PD versus HC) explained 12 (AAL-SBR) to 51 (PPMI-SBR) times more between-subjects </w:t>
      </w:r>
      <w:r w:rsidR="00E118BE">
        <w:rPr>
          <w:rFonts w:ascii="Times New Roman" w:eastAsia="MS Mincho" w:hAnsi="Times New Roman" w:cs="Times New Roman"/>
          <w:sz w:val="20"/>
          <w:szCs w:val="20"/>
          <w:lang w:val="en-GB" w:eastAsia="de-DE"/>
        </w:rPr>
        <w:t>variance</w:t>
      </w:r>
      <w:r w:rsidRPr="00EB03D5">
        <w:rPr>
          <w:rFonts w:ascii="Times New Roman" w:eastAsia="MS Mincho" w:hAnsi="Times New Roman" w:cs="Times New Roman"/>
          <w:sz w:val="20"/>
          <w:szCs w:val="20"/>
          <w:lang w:val="en-GB" w:eastAsia="de-DE"/>
        </w:rPr>
        <w:t xml:space="preserve"> in the PPMI subjects of 50 years and older than age and sex together.</w:t>
      </w:r>
    </w:p>
    <w:p w:rsidR="00EB03D5" w:rsidRPr="00EB03D5"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t>The regression lines were used to correct AAL-SBR and PPMI-SBR for age and sex in all PPMI subjects according to the following formulas:</w:t>
      </w:r>
    </w:p>
    <w:p w:rsidR="00EB03D5" w:rsidRPr="00EB03D5"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t>PPMI sample (all subjects): corrected AAL-SBR = uncorrected AAL-SBR + 0.631*age/100 + 0.168* sex</w:t>
      </w:r>
    </w:p>
    <w:p w:rsidR="00EB03D5" w:rsidRPr="00EB03D5"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t>PPMI sample (all subjects): corrected PPMI-SBR = uncorrected PPMI-SBR + 1.116*age/100 + 0.151* sex.</w:t>
      </w:r>
    </w:p>
    <w:p w:rsidR="00F322BD" w:rsidRDefault="00EB03D5" w:rsidP="00EB03D5">
      <w:pPr>
        <w:spacing w:after="240" w:line="480" w:lineRule="auto"/>
        <w:jc w:val="both"/>
        <w:rPr>
          <w:rFonts w:ascii="Times New Roman" w:eastAsia="MS Mincho" w:hAnsi="Times New Roman" w:cs="Times New Roman"/>
          <w:sz w:val="20"/>
          <w:szCs w:val="20"/>
          <w:lang w:val="en-GB" w:eastAsia="de-DE"/>
        </w:rPr>
      </w:pPr>
      <w:r w:rsidRPr="00EB03D5">
        <w:rPr>
          <w:rFonts w:ascii="Times New Roman" w:eastAsia="MS Mincho" w:hAnsi="Times New Roman" w:cs="Times New Roman"/>
          <w:sz w:val="20"/>
          <w:szCs w:val="20"/>
          <w:lang w:val="en-GB" w:eastAsia="de-DE"/>
        </w:rPr>
        <w:t>ROC analyses of the two putamen SBR estimates to detect the PD patients in the PPMI sample revealed a slight reduction of the area under the ROC curve by age and sex correction. The reduction was statistically significant for the PPMI-SBR (AAL-SBR: area under the ROC curve without / with correction for age and sex 0.991 / 0.989, p = 0.149; PPMI-SBR: area under the ROC curve without / with correction for age and sex 0.996 / 0.993, p = 0.013).</w:t>
      </w:r>
    </w:p>
    <w:p w:rsidR="00C15749" w:rsidRPr="00C15749" w:rsidRDefault="00C15749" w:rsidP="00C15749">
      <w:pPr>
        <w:spacing w:after="240" w:line="480" w:lineRule="auto"/>
        <w:jc w:val="both"/>
        <w:rPr>
          <w:rFonts w:ascii="Times New Roman" w:eastAsia="MS Mincho" w:hAnsi="Times New Roman" w:cs="Times New Roman"/>
          <w:sz w:val="20"/>
          <w:szCs w:val="20"/>
          <w:lang w:val="en-GB" w:eastAsia="de-DE"/>
        </w:rPr>
      </w:pPr>
      <w:r w:rsidRPr="00C15749">
        <w:rPr>
          <w:rFonts w:ascii="Times New Roman" w:eastAsia="MS Mincho" w:hAnsi="Times New Roman" w:cs="Times New Roman"/>
          <w:sz w:val="20"/>
          <w:szCs w:val="20"/>
          <w:lang w:val="en-GB" w:eastAsia="de-DE"/>
        </w:rPr>
        <w:t xml:space="preserve">These findings </w:t>
      </w:r>
      <w:r>
        <w:rPr>
          <w:rFonts w:ascii="Times New Roman" w:eastAsia="MS Mincho" w:hAnsi="Times New Roman" w:cs="Times New Roman"/>
          <w:sz w:val="20"/>
          <w:szCs w:val="20"/>
          <w:lang w:val="en-GB" w:eastAsia="de-DE"/>
        </w:rPr>
        <w:t>suggest</w:t>
      </w:r>
      <w:r w:rsidRPr="00C15749">
        <w:rPr>
          <w:rFonts w:ascii="Times New Roman" w:eastAsia="MS Mincho" w:hAnsi="Times New Roman" w:cs="Times New Roman"/>
          <w:sz w:val="20"/>
          <w:szCs w:val="20"/>
          <w:lang w:val="en-GB" w:eastAsia="de-DE"/>
        </w:rPr>
        <w:t xml:space="preserve"> that the lack of relevant improvement of the diagnostic accuracy of the putamen SBR by age and sex correction </w:t>
      </w:r>
      <w:r>
        <w:rPr>
          <w:rFonts w:ascii="Times New Roman" w:eastAsia="MS Mincho" w:hAnsi="Times New Roman" w:cs="Times New Roman"/>
          <w:sz w:val="20"/>
          <w:szCs w:val="20"/>
          <w:lang w:val="en-GB" w:eastAsia="de-DE"/>
        </w:rPr>
        <w:t xml:space="preserve">reported in the manuscript </w:t>
      </w:r>
      <w:r w:rsidRPr="00C15749">
        <w:rPr>
          <w:rFonts w:ascii="Times New Roman" w:eastAsia="MS Mincho" w:hAnsi="Times New Roman" w:cs="Times New Roman"/>
          <w:sz w:val="20"/>
          <w:szCs w:val="20"/>
          <w:lang w:val="en-GB" w:eastAsia="de-DE"/>
        </w:rPr>
        <w:t xml:space="preserve">is not restricted to </w:t>
      </w:r>
      <w:r>
        <w:rPr>
          <w:rFonts w:ascii="Times New Roman" w:eastAsia="MS Mincho" w:hAnsi="Times New Roman" w:cs="Times New Roman"/>
          <w:sz w:val="20"/>
          <w:szCs w:val="20"/>
          <w:lang w:val="en-GB" w:eastAsia="de-DE"/>
        </w:rPr>
        <w:t>ho</w:t>
      </w:r>
      <w:r w:rsidR="00191E08">
        <w:rPr>
          <w:rFonts w:ascii="Times New Roman" w:eastAsia="MS Mincho" w:hAnsi="Times New Roman" w:cs="Times New Roman"/>
          <w:sz w:val="20"/>
          <w:szCs w:val="20"/>
          <w:lang w:val="en-GB" w:eastAsia="de-DE"/>
        </w:rPr>
        <w:t>ttest voxels analysis to estimate</w:t>
      </w:r>
      <w:r>
        <w:rPr>
          <w:rFonts w:ascii="Times New Roman" w:eastAsia="MS Mincho" w:hAnsi="Times New Roman" w:cs="Times New Roman"/>
          <w:sz w:val="20"/>
          <w:szCs w:val="20"/>
          <w:lang w:val="en-GB" w:eastAsia="de-DE"/>
        </w:rPr>
        <w:t xml:space="preserve"> the putamen SBR</w:t>
      </w:r>
      <w:r w:rsidRPr="00C15749">
        <w:rPr>
          <w:rFonts w:ascii="Times New Roman" w:eastAsia="MS Mincho" w:hAnsi="Times New Roman" w:cs="Times New Roman"/>
          <w:sz w:val="20"/>
          <w:szCs w:val="20"/>
          <w:lang w:val="en-GB" w:eastAsia="de-DE"/>
        </w:rPr>
        <w:t xml:space="preserve"> but can be generalized to other</w:t>
      </w:r>
      <w:r w:rsidR="00191E08">
        <w:rPr>
          <w:rFonts w:ascii="Times New Roman" w:eastAsia="MS Mincho" w:hAnsi="Times New Roman" w:cs="Times New Roman"/>
          <w:sz w:val="20"/>
          <w:szCs w:val="20"/>
          <w:lang w:val="en-GB" w:eastAsia="de-DE"/>
        </w:rPr>
        <w:t xml:space="preserve"> methods for semi-quantitative analysis </w:t>
      </w:r>
      <w:r w:rsidRPr="00C15749">
        <w:rPr>
          <w:rFonts w:ascii="Times New Roman" w:eastAsia="MS Mincho" w:hAnsi="Times New Roman" w:cs="Times New Roman"/>
          <w:sz w:val="20"/>
          <w:szCs w:val="20"/>
          <w:lang w:val="en-GB" w:eastAsia="de-DE"/>
        </w:rPr>
        <w:t xml:space="preserve">used in clinical routine. </w:t>
      </w:r>
    </w:p>
    <w:p w:rsidR="008A55FD" w:rsidRPr="007F7C5E" w:rsidRDefault="004C72C9" w:rsidP="007F7C5E">
      <w:pPr>
        <w:spacing w:before="480" w:after="120" w:line="480" w:lineRule="auto"/>
        <w:jc w:val="both"/>
        <w:rPr>
          <w:rFonts w:ascii="Times New Roman" w:eastAsia="MS Mincho" w:hAnsi="Times New Roman" w:cs="Times New Roman"/>
          <w:b/>
          <w:sz w:val="20"/>
          <w:lang w:val="en-US" w:eastAsia="ja-JP"/>
        </w:rPr>
      </w:pPr>
      <w:r w:rsidRPr="007F7C5E">
        <w:rPr>
          <w:rFonts w:ascii="Times New Roman" w:eastAsia="MS Mincho" w:hAnsi="Times New Roman" w:cs="Times New Roman"/>
          <w:b/>
          <w:sz w:val="20"/>
          <w:lang w:val="en-US" w:eastAsia="ja-JP"/>
        </w:rPr>
        <w:lastRenderedPageBreak/>
        <w:t>References</w:t>
      </w:r>
    </w:p>
    <w:p w:rsidR="00127FF6" w:rsidRPr="007F7C5E" w:rsidRDefault="008A55FD" w:rsidP="007F7C5E">
      <w:pPr>
        <w:spacing w:after="240" w:line="480" w:lineRule="auto"/>
        <w:jc w:val="both"/>
        <w:rPr>
          <w:rFonts w:ascii="Times New Roman" w:eastAsia="MS Mincho" w:hAnsi="Times New Roman" w:cs="Times New Roman"/>
          <w:sz w:val="20"/>
          <w:szCs w:val="20"/>
          <w:lang w:val="en-GB" w:eastAsia="de-DE"/>
        </w:rPr>
      </w:pPr>
      <w:r w:rsidRPr="007F7C5E">
        <w:rPr>
          <w:rFonts w:ascii="Times New Roman" w:eastAsia="MS Mincho" w:hAnsi="Times New Roman" w:cs="Times New Roman"/>
          <w:sz w:val="20"/>
          <w:szCs w:val="20"/>
          <w:lang w:val="en-GB" w:eastAsia="de-DE"/>
        </w:rPr>
        <w:fldChar w:fldCharType="begin"/>
      </w:r>
      <w:r w:rsidRPr="007F7C5E">
        <w:rPr>
          <w:rFonts w:ascii="Times New Roman" w:eastAsia="MS Mincho" w:hAnsi="Times New Roman" w:cs="Times New Roman"/>
          <w:sz w:val="20"/>
          <w:szCs w:val="20"/>
          <w:lang w:val="en-GB" w:eastAsia="de-DE"/>
        </w:rPr>
        <w:instrText xml:space="preserve"> ADDIN EN.REFLIST </w:instrText>
      </w:r>
      <w:r w:rsidRPr="007F7C5E">
        <w:rPr>
          <w:rFonts w:ascii="Times New Roman" w:eastAsia="MS Mincho" w:hAnsi="Times New Roman" w:cs="Times New Roman"/>
          <w:sz w:val="20"/>
          <w:szCs w:val="20"/>
          <w:lang w:val="en-GB" w:eastAsia="de-DE"/>
        </w:rPr>
        <w:fldChar w:fldCharType="separate"/>
      </w:r>
      <w:r w:rsidR="007F7C5E">
        <w:rPr>
          <w:rFonts w:ascii="Times New Roman" w:eastAsia="MS Mincho" w:hAnsi="Times New Roman" w:cs="Times New Roman"/>
          <w:sz w:val="20"/>
          <w:szCs w:val="20"/>
          <w:lang w:val="en-GB" w:eastAsia="de-DE"/>
        </w:rPr>
        <w:t xml:space="preserve">1. </w:t>
      </w:r>
      <w:r w:rsidR="00127FF6" w:rsidRPr="007F7C5E">
        <w:rPr>
          <w:rFonts w:ascii="Times New Roman" w:eastAsia="MS Mincho" w:hAnsi="Times New Roman" w:cs="Times New Roman"/>
          <w:sz w:val="20"/>
          <w:szCs w:val="20"/>
          <w:lang w:val="en-GB" w:eastAsia="de-DE"/>
        </w:rPr>
        <w:t xml:space="preserve">Buchert R, Lange C, Spehl TS, Apostolova I, Frings L, </w:t>
      </w:r>
      <w:proofErr w:type="gramStart"/>
      <w:r w:rsidR="00127FF6" w:rsidRPr="007F7C5E">
        <w:rPr>
          <w:rFonts w:ascii="Times New Roman" w:eastAsia="MS Mincho" w:hAnsi="Times New Roman" w:cs="Times New Roman"/>
          <w:sz w:val="20"/>
          <w:szCs w:val="20"/>
          <w:lang w:val="en-GB" w:eastAsia="de-DE"/>
        </w:rPr>
        <w:t>Jonsson</w:t>
      </w:r>
      <w:proofErr w:type="gramEnd"/>
      <w:r w:rsidR="00127FF6" w:rsidRPr="007F7C5E">
        <w:rPr>
          <w:rFonts w:ascii="Times New Roman" w:eastAsia="MS Mincho" w:hAnsi="Times New Roman" w:cs="Times New Roman"/>
          <w:sz w:val="20"/>
          <w:szCs w:val="20"/>
          <w:lang w:val="en-GB" w:eastAsia="de-DE"/>
        </w:rPr>
        <w:t xml:space="preserve"> C, et al. Diagnostic performance of the specific uptake size index for semi-quantitative analysis of I-123-FP-CIT SPECT: harmonized multi-center research setting versus typical clinical single-camera setting. Ejnmmi Research. 2019;9. </w:t>
      </w:r>
      <w:proofErr w:type="spellStart"/>
      <w:proofErr w:type="gramStart"/>
      <w:r w:rsidR="00127FF6" w:rsidRPr="007F7C5E">
        <w:rPr>
          <w:rFonts w:ascii="Times New Roman" w:eastAsia="MS Mincho" w:hAnsi="Times New Roman" w:cs="Times New Roman"/>
          <w:sz w:val="20"/>
          <w:szCs w:val="20"/>
          <w:lang w:val="en-GB" w:eastAsia="de-DE"/>
        </w:rPr>
        <w:t>doi:</w:t>
      </w:r>
      <w:proofErr w:type="gramEnd"/>
      <w:r w:rsidR="00127FF6" w:rsidRPr="007F7C5E">
        <w:rPr>
          <w:rFonts w:ascii="Times New Roman" w:eastAsia="MS Mincho" w:hAnsi="Times New Roman" w:cs="Times New Roman"/>
          <w:sz w:val="20"/>
          <w:szCs w:val="20"/>
          <w:lang w:val="en-GB" w:eastAsia="de-DE"/>
        </w:rPr>
        <w:t>ARTN</w:t>
      </w:r>
      <w:proofErr w:type="spellEnd"/>
      <w:r w:rsidR="00127FF6" w:rsidRPr="007F7C5E">
        <w:rPr>
          <w:rFonts w:ascii="Times New Roman" w:eastAsia="MS Mincho" w:hAnsi="Times New Roman" w:cs="Times New Roman"/>
          <w:sz w:val="20"/>
          <w:szCs w:val="20"/>
          <w:lang w:val="en-GB" w:eastAsia="de-DE"/>
        </w:rPr>
        <w:t xml:space="preserve"> 3710.1186/s13550-019-0506-9.</w:t>
      </w:r>
    </w:p>
    <w:p w:rsidR="00127FF6" w:rsidRPr="007F7C5E" w:rsidRDefault="007F7C5E" w:rsidP="007F7C5E">
      <w:pPr>
        <w:spacing w:after="240" w:line="480" w:lineRule="auto"/>
        <w:jc w:val="both"/>
        <w:rPr>
          <w:rFonts w:ascii="Times New Roman" w:eastAsia="MS Mincho" w:hAnsi="Times New Roman" w:cs="Times New Roman"/>
          <w:sz w:val="20"/>
          <w:szCs w:val="20"/>
          <w:lang w:val="en-GB" w:eastAsia="de-DE"/>
        </w:rPr>
      </w:pPr>
      <w:r>
        <w:rPr>
          <w:rFonts w:ascii="Times New Roman" w:eastAsia="MS Mincho" w:hAnsi="Times New Roman" w:cs="Times New Roman"/>
          <w:sz w:val="20"/>
          <w:szCs w:val="20"/>
          <w:lang w:val="en-GB" w:eastAsia="de-DE"/>
        </w:rPr>
        <w:t xml:space="preserve">2. </w:t>
      </w:r>
      <w:proofErr w:type="spellStart"/>
      <w:r w:rsidR="00127FF6" w:rsidRPr="007F7C5E">
        <w:rPr>
          <w:rFonts w:ascii="Times New Roman" w:eastAsia="MS Mincho" w:hAnsi="Times New Roman" w:cs="Times New Roman"/>
          <w:sz w:val="20"/>
          <w:szCs w:val="20"/>
          <w:lang w:val="en-GB" w:eastAsia="de-DE"/>
        </w:rPr>
        <w:t>Tzourio-Mazoyer</w:t>
      </w:r>
      <w:proofErr w:type="spellEnd"/>
      <w:r w:rsidR="00127FF6" w:rsidRPr="007F7C5E">
        <w:rPr>
          <w:rFonts w:ascii="Times New Roman" w:eastAsia="MS Mincho" w:hAnsi="Times New Roman" w:cs="Times New Roman"/>
          <w:sz w:val="20"/>
          <w:szCs w:val="20"/>
          <w:lang w:val="en-GB" w:eastAsia="de-DE"/>
        </w:rPr>
        <w:t xml:space="preserve"> N, </w:t>
      </w:r>
      <w:proofErr w:type="spellStart"/>
      <w:r w:rsidR="00127FF6" w:rsidRPr="007F7C5E">
        <w:rPr>
          <w:rFonts w:ascii="Times New Roman" w:eastAsia="MS Mincho" w:hAnsi="Times New Roman" w:cs="Times New Roman"/>
          <w:sz w:val="20"/>
          <w:szCs w:val="20"/>
          <w:lang w:val="en-GB" w:eastAsia="de-DE"/>
        </w:rPr>
        <w:t>Landeau</w:t>
      </w:r>
      <w:proofErr w:type="spellEnd"/>
      <w:r w:rsidR="00127FF6" w:rsidRPr="007F7C5E">
        <w:rPr>
          <w:rFonts w:ascii="Times New Roman" w:eastAsia="MS Mincho" w:hAnsi="Times New Roman" w:cs="Times New Roman"/>
          <w:sz w:val="20"/>
          <w:szCs w:val="20"/>
          <w:lang w:val="en-GB" w:eastAsia="de-DE"/>
        </w:rPr>
        <w:t xml:space="preserve"> B, Papathanassiou D, Crivello F, Etard O, Delcroix N, et al. Automated anatomical labeling of activations in SPM using a macroscopic anatomical parcellation of the MNI MRI single-subject brain. Neuroimage. 2002;15:273-89. doi:10.1006/nimg.2001.0978.</w:t>
      </w:r>
    </w:p>
    <w:p w:rsidR="00127FF6" w:rsidRPr="007F7C5E" w:rsidRDefault="007F7C5E" w:rsidP="007F7C5E">
      <w:pPr>
        <w:spacing w:after="240" w:line="480" w:lineRule="auto"/>
        <w:jc w:val="both"/>
        <w:rPr>
          <w:rFonts w:ascii="Times New Roman" w:eastAsia="MS Mincho" w:hAnsi="Times New Roman" w:cs="Times New Roman"/>
          <w:sz w:val="20"/>
          <w:szCs w:val="20"/>
          <w:lang w:val="en-GB" w:eastAsia="de-DE"/>
        </w:rPr>
      </w:pPr>
      <w:r>
        <w:rPr>
          <w:rFonts w:ascii="Times New Roman" w:eastAsia="MS Mincho" w:hAnsi="Times New Roman" w:cs="Times New Roman"/>
          <w:sz w:val="20"/>
          <w:szCs w:val="20"/>
          <w:lang w:val="en-GB" w:eastAsia="de-DE"/>
        </w:rPr>
        <w:t xml:space="preserve">3. </w:t>
      </w:r>
      <w:proofErr w:type="spellStart"/>
      <w:r w:rsidR="00127FF6" w:rsidRPr="007F7C5E">
        <w:rPr>
          <w:rFonts w:ascii="Times New Roman" w:eastAsia="MS Mincho" w:hAnsi="Times New Roman" w:cs="Times New Roman"/>
          <w:sz w:val="20"/>
          <w:szCs w:val="20"/>
          <w:lang w:val="en-GB" w:eastAsia="de-DE"/>
        </w:rPr>
        <w:t>Zubal</w:t>
      </w:r>
      <w:proofErr w:type="spellEnd"/>
      <w:r w:rsidR="00127FF6" w:rsidRPr="007F7C5E">
        <w:rPr>
          <w:rFonts w:ascii="Times New Roman" w:eastAsia="MS Mincho" w:hAnsi="Times New Roman" w:cs="Times New Roman"/>
          <w:sz w:val="20"/>
          <w:szCs w:val="20"/>
          <w:lang w:val="en-GB" w:eastAsia="de-DE"/>
        </w:rPr>
        <w:t xml:space="preserve"> IG, Early M, Yuan O, Jennings D, Marek K, Seibyl JP. Optimized, automated striatal uptake analysis applied to SPECT brain scans of Parkinson's disease patients. J Nucl Med. 2007;48:857-64. doi:10.2967/jnumed.106.037432.</w:t>
      </w:r>
    </w:p>
    <w:p w:rsidR="00127FF6" w:rsidRPr="007F7C5E" w:rsidRDefault="007F7C5E" w:rsidP="007F7C5E">
      <w:pPr>
        <w:spacing w:after="240" w:line="480" w:lineRule="auto"/>
        <w:jc w:val="both"/>
        <w:rPr>
          <w:rFonts w:ascii="Times New Roman" w:eastAsia="MS Mincho" w:hAnsi="Times New Roman" w:cs="Times New Roman"/>
          <w:sz w:val="20"/>
          <w:szCs w:val="20"/>
          <w:lang w:val="en-GB" w:eastAsia="de-DE"/>
        </w:rPr>
      </w:pPr>
      <w:r>
        <w:rPr>
          <w:rFonts w:ascii="Times New Roman" w:eastAsia="MS Mincho" w:hAnsi="Times New Roman" w:cs="Times New Roman"/>
          <w:sz w:val="20"/>
          <w:szCs w:val="20"/>
          <w:lang w:val="en-GB" w:eastAsia="de-DE"/>
        </w:rPr>
        <w:t xml:space="preserve">4. </w:t>
      </w:r>
      <w:proofErr w:type="spellStart"/>
      <w:r w:rsidR="00127FF6" w:rsidRPr="007F7C5E">
        <w:rPr>
          <w:rFonts w:ascii="Times New Roman" w:eastAsia="MS Mincho" w:hAnsi="Times New Roman" w:cs="Times New Roman"/>
          <w:sz w:val="20"/>
          <w:szCs w:val="20"/>
          <w:lang w:val="en-GB" w:eastAsia="de-DE"/>
        </w:rPr>
        <w:t>Seibyl</w:t>
      </w:r>
      <w:proofErr w:type="spellEnd"/>
      <w:r w:rsidR="00127FF6" w:rsidRPr="007F7C5E">
        <w:rPr>
          <w:rFonts w:ascii="Times New Roman" w:eastAsia="MS Mincho" w:hAnsi="Times New Roman" w:cs="Times New Roman"/>
          <w:sz w:val="20"/>
          <w:szCs w:val="20"/>
          <w:lang w:val="en-GB" w:eastAsia="de-DE"/>
        </w:rPr>
        <w:t xml:space="preserve"> J, Jennings D, Coffey C, Marek K. Multicenter Evaluation Of Parkinson's </w:t>
      </w:r>
      <w:proofErr w:type="gramStart"/>
      <w:r w:rsidR="00127FF6" w:rsidRPr="007F7C5E">
        <w:rPr>
          <w:rFonts w:ascii="Times New Roman" w:eastAsia="MS Mincho" w:hAnsi="Times New Roman" w:cs="Times New Roman"/>
          <w:sz w:val="20"/>
          <w:szCs w:val="20"/>
          <w:lang w:val="en-GB" w:eastAsia="de-DE"/>
        </w:rPr>
        <w:t>Disease</w:t>
      </w:r>
      <w:proofErr w:type="gramEnd"/>
      <w:r w:rsidR="00127FF6" w:rsidRPr="007F7C5E">
        <w:rPr>
          <w:rFonts w:ascii="Times New Roman" w:eastAsia="MS Mincho" w:hAnsi="Times New Roman" w:cs="Times New Roman"/>
          <w:sz w:val="20"/>
          <w:szCs w:val="20"/>
          <w:lang w:val="en-GB" w:eastAsia="de-DE"/>
        </w:rPr>
        <w:t xml:space="preserve"> Progression Using 123- I I-Ioflupane SPECT: Update From The Parkinson's Progression Marker Initiative Trial.  18th International Congress of Parkinson’s Disease and Movement Disorders Stockholm, Sweden; 2014-06-09.</w:t>
      </w:r>
    </w:p>
    <w:p w:rsidR="008A55FD" w:rsidRDefault="008A55FD" w:rsidP="007F7C5E">
      <w:pPr>
        <w:spacing w:after="240" w:line="480" w:lineRule="auto"/>
        <w:jc w:val="both"/>
        <w:rPr>
          <w:rFonts w:ascii="Times New Roman" w:eastAsia="MS Mincho" w:hAnsi="Times New Roman"/>
          <w:sz w:val="20"/>
          <w:lang w:val="en-GB" w:eastAsia="ja-JP"/>
        </w:rPr>
      </w:pPr>
      <w:r w:rsidRPr="007F7C5E">
        <w:rPr>
          <w:rFonts w:ascii="Times New Roman" w:eastAsia="MS Mincho" w:hAnsi="Times New Roman" w:cs="Times New Roman"/>
          <w:sz w:val="20"/>
          <w:szCs w:val="20"/>
          <w:lang w:val="en-GB" w:eastAsia="de-DE"/>
        </w:rPr>
        <w:fldChar w:fldCharType="end"/>
      </w:r>
    </w:p>
    <w:p w:rsidR="004C72C9" w:rsidRDefault="004C72C9">
      <w:pPr>
        <w:spacing w:after="160" w:line="259" w:lineRule="auto"/>
        <w:rPr>
          <w:rFonts w:ascii="Times New Roman" w:eastAsia="MS Mincho" w:hAnsi="Times New Roman" w:cs="Times New Roman"/>
          <w:sz w:val="20"/>
          <w:szCs w:val="20"/>
          <w:lang w:val="en-GB" w:eastAsia="ja-JP"/>
        </w:rPr>
      </w:pPr>
      <w:r>
        <w:rPr>
          <w:rFonts w:ascii="Times New Roman" w:eastAsia="MS Mincho" w:hAnsi="Times New Roman"/>
          <w:sz w:val="20"/>
          <w:lang w:val="en-GB" w:eastAsia="ja-JP"/>
        </w:rPr>
        <w:br w:type="page"/>
      </w:r>
    </w:p>
    <w:p w:rsidR="004C72C9" w:rsidRDefault="004C72C9" w:rsidP="004C72C9">
      <w:pPr>
        <w:autoSpaceDE w:val="0"/>
        <w:autoSpaceDN w:val="0"/>
        <w:adjustRightInd w:val="0"/>
        <w:spacing w:before="360" w:line="480" w:lineRule="auto"/>
        <w:rPr>
          <w:rFonts w:ascii="Times New Roman" w:eastAsia="MS Mincho" w:hAnsi="Times New Roman" w:cs="Times New Roman"/>
          <w:b/>
          <w:sz w:val="22"/>
          <w:szCs w:val="22"/>
          <w:lang w:val="en-US" w:eastAsia="ja-JP"/>
        </w:rPr>
      </w:pPr>
      <w:r w:rsidRPr="004C72C9">
        <w:rPr>
          <w:rFonts w:ascii="Times New Roman" w:eastAsia="MS Mincho" w:hAnsi="Times New Roman" w:cs="Times New Roman"/>
          <w:b/>
          <w:sz w:val="22"/>
          <w:szCs w:val="22"/>
          <w:lang w:val="en-US" w:eastAsia="ja-JP"/>
        </w:rPr>
        <w:lastRenderedPageBreak/>
        <w:t xml:space="preserve">Supplementary Figures </w:t>
      </w:r>
    </w:p>
    <w:p w:rsidR="00F17A60" w:rsidRDefault="00F17A60" w:rsidP="004C72C9">
      <w:pPr>
        <w:autoSpaceDE w:val="0"/>
        <w:autoSpaceDN w:val="0"/>
        <w:adjustRightInd w:val="0"/>
        <w:spacing w:before="360" w:line="480" w:lineRule="auto"/>
        <w:rPr>
          <w:rFonts w:ascii="Times New Roman" w:eastAsia="MS Mincho" w:hAnsi="Times New Roman" w:cs="Times New Roman"/>
          <w:b/>
          <w:sz w:val="22"/>
          <w:szCs w:val="22"/>
          <w:lang w:val="en-US" w:eastAsia="ja-JP"/>
        </w:rPr>
      </w:pPr>
    </w:p>
    <w:p w:rsidR="00F17A60" w:rsidRDefault="00F17A60" w:rsidP="00F17A60">
      <w:pPr>
        <w:pStyle w:val="Correspondence"/>
        <w:tabs>
          <w:tab w:val="left" w:pos="5387"/>
          <w:tab w:val="left" w:pos="6379"/>
        </w:tabs>
        <w:spacing w:after="240" w:line="276" w:lineRule="auto"/>
        <w:jc w:val="center"/>
        <w:rPr>
          <w:rFonts w:ascii="Times New Roman" w:hAnsi="Times New Roman"/>
          <w:b/>
          <w:sz w:val="22"/>
          <w:szCs w:val="22"/>
          <w:lang w:val="en-GB"/>
        </w:rPr>
      </w:pPr>
      <w:r>
        <w:rPr>
          <w:rFonts w:ascii="Times New Roman" w:hAnsi="Times New Roman"/>
          <w:b/>
          <w:noProof/>
          <w:sz w:val="22"/>
          <w:szCs w:val="22"/>
        </w:rPr>
        <w:drawing>
          <wp:inline distT="0" distB="0" distL="0" distR="0" wp14:anchorId="1AF73C54" wp14:editId="19D22E92">
            <wp:extent cx="3601941" cy="3105107"/>
            <wp:effectExtent l="0" t="0" r="0"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C_put2cau.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10700" cy="3112657"/>
                    </a:xfrm>
                    <a:prstGeom prst="rect">
                      <a:avLst/>
                    </a:prstGeom>
                  </pic:spPr>
                </pic:pic>
              </a:graphicData>
            </a:graphic>
          </wp:inline>
        </w:drawing>
      </w:r>
    </w:p>
    <w:p w:rsidR="00F17A60" w:rsidRPr="00F17A60" w:rsidRDefault="00470A10" w:rsidP="00F17A60">
      <w:pPr>
        <w:spacing w:after="240" w:line="480" w:lineRule="auto"/>
        <w:jc w:val="both"/>
        <w:rPr>
          <w:rFonts w:ascii="Times New Roman" w:eastAsia="MS Mincho" w:hAnsi="Times New Roman" w:cs="Times New Roman"/>
          <w:sz w:val="20"/>
          <w:szCs w:val="20"/>
          <w:lang w:val="en-US" w:eastAsia="ja-JP"/>
        </w:rPr>
      </w:pPr>
      <w:r>
        <w:rPr>
          <w:rFonts w:ascii="Times New Roman" w:eastAsia="MS Mincho" w:hAnsi="Times New Roman" w:cs="Times New Roman"/>
          <w:b/>
          <w:sz w:val="20"/>
          <w:szCs w:val="20"/>
          <w:lang w:val="en-US" w:eastAsia="ja-JP"/>
        </w:rPr>
        <w:t xml:space="preserve">Supplementary </w:t>
      </w:r>
      <w:r w:rsidR="00F17A60">
        <w:rPr>
          <w:rFonts w:ascii="Times New Roman" w:eastAsia="MS Mincho" w:hAnsi="Times New Roman" w:cs="Times New Roman"/>
          <w:b/>
          <w:sz w:val="20"/>
          <w:szCs w:val="20"/>
          <w:lang w:val="en-US" w:eastAsia="ja-JP"/>
        </w:rPr>
        <w:t>Fig. S</w:t>
      </w:r>
      <w:r w:rsidR="00F17A60" w:rsidRPr="00F17A60">
        <w:rPr>
          <w:rFonts w:ascii="Times New Roman" w:eastAsia="MS Mincho" w:hAnsi="Times New Roman" w:cs="Times New Roman"/>
          <w:b/>
          <w:sz w:val="20"/>
          <w:szCs w:val="20"/>
          <w:lang w:val="en-US" w:eastAsia="ja-JP"/>
        </w:rPr>
        <w:t xml:space="preserve">1 </w:t>
      </w:r>
      <w:r w:rsidR="00F17A60" w:rsidRPr="00F17A60">
        <w:rPr>
          <w:rFonts w:ascii="Times New Roman" w:eastAsia="MS Mincho" w:hAnsi="Times New Roman" w:cs="Times New Roman"/>
          <w:sz w:val="20"/>
          <w:szCs w:val="20"/>
          <w:lang w:val="en-US" w:eastAsia="ja-JP"/>
        </w:rPr>
        <w:t>ROC curve of the putamen SBR, the caudate SBR, and the putamen-to-caudate SBR ratio (all without correction for age and sex) for detection of Parkinson’s disease in the PPMI sample. The area under the ROC curves (AUC) is given in the legend.</w:t>
      </w:r>
    </w:p>
    <w:p w:rsidR="00F17A60" w:rsidRPr="00945AE3" w:rsidRDefault="00F17A60" w:rsidP="00F17A60">
      <w:pPr>
        <w:pStyle w:val="Correspondence"/>
        <w:tabs>
          <w:tab w:val="left" w:pos="5387"/>
          <w:tab w:val="left" w:pos="6379"/>
        </w:tabs>
        <w:spacing w:after="240" w:line="276" w:lineRule="auto"/>
        <w:rPr>
          <w:rFonts w:ascii="Times New Roman" w:hAnsi="Times New Roman"/>
          <w:sz w:val="22"/>
          <w:szCs w:val="22"/>
          <w:lang w:val="en-US"/>
        </w:rPr>
      </w:pPr>
    </w:p>
    <w:p w:rsidR="00F17A60" w:rsidRDefault="00F17A60" w:rsidP="00F17A60">
      <w:pPr>
        <w:rPr>
          <w:rFonts w:ascii="Times New Roman" w:hAnsi="Times New Roman"/>
          <w:szCs w:val="22"/>
          <w:lang w:val="en-GB"/>
        </w:rPr>
      </w:pPr>
      <w:r>
        <w:rPr>
          <w:rFonts w:ascii="Times New Roman" w:hAnsi="Times New Roman"/>
          <w:szCs w:val="22"/>
          <w:lang w:val="en-GB"/>
        </w:rPr>
        <w:br w:type="page"/>
      </w:r>
    </w:p>
    <w:p w:rsidR="00F17A60" w:rsidRDefault="00F17A60" w:rsidP="00F17A60">
      <w:pPr>
        <w:pStyle w:val="Correspondence"/>
        <w:tabs>
          <w:tab w:val="left" w:pos="5387"/>
          <w:tab w:val="left" w:pos="6379"/>
        </w:tabs>
        <w:spacing w:after="240" w:line="276" w:lineRule="auto"/>
        <w:rPr>
          <w:rFonts w:ascii="Times New Roman" w:hAnsi="Times New Roman"/>
          <w:b/>
          <w:sz w:val="22"/>
          <w:szCs w:val="22"/>
          <w:lang w:val="en-GB"/>
        </w:rPr>
      </w:pPr>
    </w:p>
    <w:p w:rsidR="00F17A60" w:rsidRDefault="00F17A60" w:rsidP="00F17A60">
      <w:pPr>
        <w:pStyle w:val="Correspondence"/>
        <w:tabs>
          <w:tab w:val="left" w:pos="5387"/>
          <w:tab w:val="left" w:pos="6379"/>
        </w:tabs>
        <w:spacing w:after="240" w:line="276" w:lineRule="auto"/>
        <w:rPr>
          <w:rFonts w:ascii="Times New Roman" w:hAnsi="Times New Roman"/>
          <w:b/>
          <w:sz w:val="22"/>
          <w:szCs w:val="22"/>
          <w:lang w:val="en-GB"/>
        </w:rPr>
      </w:pPr>
    </w:p>
    <w:p w:rsidR="00F17A60" w:rsidRDefault="00F17A60" w:rsidP="00F17A60">
      <w:pPr>
        <w:pStyle w:val="Correspondence"/>
        <w:tabs>
          <w:tab w:val="left" w:pos="5387"/>
          <w:tab w:val="left" w:pos="6379"/>
        </w:tabs>
        <w:spacing w:after="240" w:line="276" w:lineRule="auto"/>
        <w:jc w:val="center"/>
        <w:rPr>
          <w:rFonts w:ascii="Times New Roman" w:hAnsi="Times New Roman"/>
          <w:b/>
          <w:sz w:val="22"/>
          <w:szCs w:val="22"/>
          <w:lang w:val="en-GB"/>
        </w:rPr>
      </w:pPr>
      <w:r>
        <w:rPr>
          <w:rFonts w:ascii="Times New Roman" w:hAnsi="Times New Roman"/>
          <w:b/>
          <w:noProof/>
          <w:sz w:val="22"/>
          <w:szCs w:val="22"/>
        </w:rPr>
        <w:drawing>
          <wp:inline distT="0" distB="0" distL="0" distR="0" wp14:anchorId="2F515887" wp14:editId="5EBE0371">
            <wp:extent cx="5422950" cy="3994978"/>
            <wp:effectExtent l="0" t="0" r="6350" b="571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atter_put2cau.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24212" cy="3995908"/>
                    </a:xfrm>
                    <a:prstGeom prst="rect">
                      <a:avLst/>
                    </a:prstGeom>
                  </pic:spPr>
                </pic:pic>
              </a:graphicData>
            </a:graphic>
          </wp:inline>
        </w:drawing>
      </w:r>
    </w:p>
    <w:p w:rsidR="004C72C9" w:rsidRPr="00F17A60" w:rsidRDefault="00470A10" w:rsidP="00F17A60">
      <w:pPr>
        <w:spacing w:after="240" w:line="480" w:lineRule="auto"/>
        <w:jc w:val="both"/>
        <w:rPr>
          <w:rFonts w:ascii="Times New Roman" w:eastAsia="MS Mincho" w:hAnsi="Times New Roman" w:cs="Times New Roman"/>
          <w:b/>
          <w:sz w:val="20"/>
          <w:szCs w:val="20"/>
          <w:lang w:val="en-US" w:eastAsia="ja-JP"/>
        </w:rPr>
      </w:pPr>
      <w:r>
        <w:rPr>
          <w:rFonts w:ascii="Times New Roman" w:eastAsia="MS Mincho" w:hAnsi="Times New Roman" w:cs="Times New Roman"/>
          <w:b/>
          <w:sz w:val="20"/>
          <w:szCs w:val="20"/>
          <w:lang w:val="en-US" w:eastAsia="ja-JP"/>
        </w:rPr>
        <w:t xml:space="preserve">Supplementary </w:t>
      </w:r>
      <w:r w:rsidR="00F17A60" w:rsidRPr="00F17A60">
        <w:rPr>
          <w:rFonts w:ascii="Times New Roman" w:eastAsia="MS Mincho" w:hAnsi="Times New Roman" w:cs="Times New Roman"/>
          <w:b/>
          <w:sz w:val="20"/>
          <w:szCs w:val="20"/>
          <w:lang w:val="en-US" w:eastAsia="ja-JP"/>
        </w:rPr>
        <w:t xml:space="preserve">Fig. </w:t>
      </w:r>
      <w:r w:rsidR="00F17A60">
        <w:rPr>
          <w:rFonts w:ascii="Times New Roman" w:eastAsia="MS Mincho" w:hAnsi="Times New Roman" w:cs="Times New Roman"/>
          <w:b/>
          <w:sz w:val="20"/>
          <w:szCs w:val="20"/>
          <w:lang w:val="en-US" w:eastAsia="ja-JP"/>
        </w:rPr>
        <w:t>S</w:t>
      </w:r>
      <w:r w:rsidR="00F17A60" w:rsidRPr="00F17A60">
        <w:rPr>
          <w:rFonts w:ascii="Times New Roman" w:eastAsia="MS Mincho" w:hAnsi="Times New Roman" w:cs="Times New Roman"/>
          <w:b/>
          <w:sz w:val="20"/>
          <w:szCs w:val="20"/>
          <w:lang w:val="en-US" w:eastAsia="ja-JP"/>
        </w:rPr>
        <w:t xml:space="preserve">2 </w:t>
      </w:r>
      <w:r w:rsidR="00F17A60" w:rsidRPr="00F17A60">
        <w:rPr>
          <w:rFonts w:ascii="Times New Roman" w:eastAsia="MS Mincho" w:hAnsi="Times New Roman" w:cs="Times New Roman"/>
          <w:sz w:val="20"/>
          <w:szCs w:val="20"/>
          <w:lang w:val="en-US" w:eastAsia="ja-JP"/>
        </w:rPr>
        <w:t>Scatter plot of the putamen-to-caudate SBR ratio versus age in the heathy subjects of the PPMI sample.</w:t>
      </w:r>
      <w:r w:rsidR="0027684E">
        <w:rPr>
          <w:rFonts w:ascii="Times New Roman" w:eastAsia="MS Mincho" w:hAnsi="Times New Roman" w:cs="Times New Roman"/>
          <w:sz w:val="20"/>
          <w:szCs w:val="20"/>
          <w:lang w:val="en-US" w:eastAsia="ja-JP"/>
        </w:rPr>
        <w:t xml:space="preserve"> </w:t>
      </w:r>
      <w:r w:rsidR="00F17A60" w:rsidRPr="00F17A60">
        <w:rPr>
          <w:rFonts w:ascii="Times New Roman" w:eastAsia="MS Mincho" w:hAnsi="Times New Roman" w:cs="Times New Roman"/>
          <w:sz w:val="20"/>
          <w:szCs w:val="20"/>
          <w:lang w:val="en-US" w:eastAsia="ja-JP"/>
        </w:rPr>
        <w:t>Sex is indicated by different colors. The dashed lines represent the result of linear regression of the putamen SBR versus age, performed separately for both sexes.</w:t>
      </w:r>
    </w:p>
    <w:sectPr w:rsidR="004C72C9" w:rsidRPr="00F17A60" w:rsidSect="00BF3EF1">
      <w:pgSz w:w="11906" w:h="16838"/>
      <w:pgMar w:top="1872" w:right="1584" w:bottom="1872" w:left="1584"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57E9B"/>
    <w:multiLevelType w:val="hybridMultilevel"/>
    <w:tmpl w:val="1DFCB8D4"/>
    <w:lvl w:ilvl="0" w:tplc="961895A4">
      <w:start w:val="1"/>
      <w:numFmt w:val="upp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J Nuc Med Molec Imaging&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d02tet09ztppe9dr7xs5dbt5fvwep20999&quot;&gt;DAT_SPECT_age_sex_correction&lt;record-ids&gt;&lt;item&gt;94&lt;/item&gt;&lt;item&gt;100&lt;/item&gt;&lt;item&gt;101&lt;/item&gt;&lt;/record-ids&gt;&lt;/item&gt;&lt;/Libraries&gt;"/>
  </w:docVars>
  <w:rsids>
    <w:rsidRoot w:val="00A665CC"/>
    <w:rsid w:val="000F5A91"/>
    <w:rsid w:val="00127FF6"/>
    <w:rsid w:val="00191E08"/>
    <w:rsid w:val="001E7A3C"/>
    <w:rsid w:val="001F28D3"/>
    <w:rsid w:val="0027684E"/>
    <w:rsid w:val="002C3917"/>
    <w:rsid w:val="0036491E"/>
    <w:rsid w:val="003760C1"/>
    <w:rsid w:val="003A772F"/>
    <w:rsid w:val="003C28A3"/>
    <w:rsid w:val="00444607"/>
    <w:rsid w:val="004616DE"/>
    <w:rsid w:val="00470A10"/>
    <w:rsid w:val="004C72C9"/>
    <w:rsid w:val="005B6BCE"/>
    <w:rsid w:val="00702271"/>
    <w:rsid w:val="007C3E3C"/>
    <w:rsid w:val="007F7C5E"/>
    <w:rsid w:val="008417EE"/>
    <w:rsid w:val="00861AA1"/>
    <w:rsid w:val="008963E1"/>
    <w:rsid w:val="008A55FD"/>
    <w:rsid w:val="008B08E0"/>
    <w:rsid w:val="00947EB1"/>
    <w:rsid w:val="00957C16"/>
    <w:rsid w:val="0096722D"/>
    <w:rsid w:val="009D1407"/>
    <w:rsid w:val="00A665CC"/>
    <w:rsid w:val="00A75F8C"/>
    <w:rsid w:val="00AA6AC0"/>
    <w:rsid w:val="00B314E2"/>
    <w:rsid w:val="00B50317"/>
    <w:rsid w:val="00B544FC"/>
    <w:rsid w:val="00BF3EF1"/>
    <w:rsid w:val="00C15749"/>
    <w:rsid w:val="00CA04EA"/>
    <w:rsid w:val="00D230A4"/>
    <w:rsid w:val="00DC2165"/>
    <w:rsid w:val="00E118BE"/>
    <w:rsid w:val="00EB03D5"/>
    <w:rsid w:val="00F17A60"/>
    <w:rsid w:val="00F322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19CAE7-FD9C-44F1-BD86-4880476F6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F28D3"/>
    <w:pPr>
      <w:spacing w:after="0" w:line="240" w:lineRule="auto"/>
    </w:pPr>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47EB1"/>
    <w:pPr>
      <w:ind w:left="720"/>
      <w:contextualSpacing/>
    </w:pPr>
  </w:style>
  <w:style w:type="paragraph" w:customStyle="1" w:styleId="EndNoteBibliographyTitle">
    <w:name w:val="EndNote Bibliography Title"/>
    <w:basedOn w:val="Standard"/>
    <w:link w:val="EndNoteBibliographyTitleZchn"/>
    <w:rsid w:val="00861AA1"/>
    <w:pPr>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861AA1"/>
    <w:rPr>
      <w:rFonts w:ascii="Calibri" w:hAnsi="Calibri" w:cs="Calibri"/>
      <w:noProof/>
      <w:sz w:val="24"/>
      <w:szCs w:val="24"/>
      <w:lang w:val="en-US"/>
    </w:rPr>
  </w:style>
  <w:style w:type="paragraph" w:customStyle="1" w:styleId="EndNoteBibliography">
    <w:name w:val="EndNote Bibliography"/>
    <w:basedOn w:val="Standard"/>
    <w:link w:val="EndNoteBibliographyZchn"/>
    <w:rsid w:val="00861AA1"/>
    <w:rPr>
      <w:rFonts w:ascii="Calibri" w:hAnsi="Calibri" w:cs="Calibri"/>
      <w:noProof/>
      <w:lang w:val="en-US"/>
    </w:rPr>
  </w:style>
  <w:style w:type="character" w:customStyle="1" w:styleId="EndNoteBibliographyZchn">
    <w:name w:val="EndNote Bibliography Zchn"/>
    <w:basedOn w:val="Absatz-Standardschriftart"/>
    <w:link w:val="EndNoteBibliography"/>
    <w:rsid w:val="00861AA1"/>
    <w:rPr>
      <w:rFonts w:ascii="Calibri" w:hAnsi="Calibri" w:cs="Calibri"/>
      <w:noProof/>
      <w:sz w:val="24"/>
      <w:szCs w:val="24"/>
      <w:lang w:val="en-US"/>
    </w:rPr>
  </w:style>
  <w:style w:type="paragraph" w:customStyle="1" w:styleId="Correspondence">
    <w:name w:val="Correspondence"/>
    <w:basedOn w:val="Standard"/>
    <w:link w:val="CorrespondenceZchn"/>
    <w:rsid w:val="00A75F8C"/>
    <w:pPr>
      <w:tabs>
        <w:tab w:val="left" w:pos="851"/>
      </w:tabs>
      <w:spacing w:line="360" w:lineRule="atLeast"/>
      <w:jc w:val="both"/>
    </w:pPr>
    <w:rPr>
      <w:rFonts w:ascii="Times" w:eastAsia="Times New Roman" w:hAnsi="Times" w:cs="Times New Roman"/>
      <w:szCs w:val="20"/>
      <w:lang w:eastAsia="de-DE"/>
    </w:rPr>
  </w:style>
  <w:style w:type="character" w:customStyle="1" w:styleId="CorrespondenceZchn">
    <w:name w:val="Correspondence Zchn"/>
    <w:basedOn w:val="Absatz-Standardschriftart"/>
    <w:link w:val="Correspondence"/>
    <w:rsid w:val="00A75F8C"/>
    <w:rPr>
      <w:rFonts w:ascii="Times" w:eastAsia="Times New Roman" w:hAnsi="Times" w:cs="Times New Roman"/>
      <w:sz w:val="24"/>
      <w:szCs w:val="20"/>
      <w:lang w:eastAsia="de-DE"/>
    </w:rPr>
  </w:style>
  <w:style w:type="paragraph" w:styleId="Sprechblasentext">
    <w:name w:val="Balloon Text"/>
    <w:basedOn w:val="Standard"/>
    <w:link w:val="SprechblasentextZchn"/>
    <w:uiPriority w:val="99"/>
    <w:semiHidden/>
    <w:unhideWhenUsed/>
    <w:rsid w:val="00470A1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70A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hyperlink" Target="mailto:r.buchert@uke.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1718</Words>
  <Characters>10824</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12517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Buchert</dc:creator>
  <cp:keywords/>
  <dc:description/>
  <cp:lastModifiedBy>Ralph Buchert</cp:lastModifiedBy>
  <cp:revision>5</cp:revision>
  <cp:lastPrinted>2020-09-25T07:26:00Z</cp:lastPrinted>
  <dcterms:created xsi:type="dcterms:W3CDTF">2020-09-25T07:26:00Z</dcterms:created>
  <dcterms:modified xsi:type="dcterms:W3CDTF">2020-09-25T07:37:00Z</dcterms:modified>
</cp:coreProperties>
</file>