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8781A" w14:textId="77777777" w:rsidR="005206A0" w:rsidRPr="00BA19C5" w:rsidRDefault="003F7FD2">
      <w:pPr>
        <w:spacing w:after="8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t>Supplementary Materials</w:t>
      </w:r>
    </w:p>
    <w:p w14:paraId="75B428FA" w14:textId="77777777" w:rsidR="005206A0" w:rsidRPr="00BA19C5" w:rsidRDefault="005206A0">
      <w:pPr>
        <w:spacing w:after="80"/>
        <w:jc w:val="both"/>
        <w:rPr>
          <w:rFonts w:ascii="Times New Roman" w:eastAsia="Times New Roman" w:hAnsi="Times New Roman" w:cs="Times New Roman"/>
          <w:b/>
          <w:sz w:val="20"/>
          <w:szCs w:val="20"/>
        </w:rPr>
      </w:pPr>
    </w:p>
    <w:p w14:paraId="1B94ED1E"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European Journal of Nuclear Medicine and Molecular Imaging</w:t>
      </w:r>
    </w:p>
    <w:p w14:paraId="3B5959C3"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 xml:space="preserve">Improved Amyloid Burden Quantification with Nonspecific estimates using Deep Learning </w:t>
      </w:r>
    </w:p>
    <w:p w14:paraId="6DD55AB7" w14:textId="77777777" w:rsidR="005206A0" w:rsidRPr="00BA19C5" w:rsidRDefault="003F7FD2">
      <w:pPr>
        <w:widowControl w:val="0"/>
        <w:spacing w:after="0"/>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rPr>
        <w:t>Haohui</w:t>
      </w:r>
      <w:proofErr w:type="spellEnd"/>
      <w:r w:rsidRPr="00BA19C5">
        <w:rPr>
          <w:rFonts w:ascii="Times New Roman" w:eastAsia="Times New Roman" w:hAnsi="Times New Roman" w:cs="Times New Roman"/>
          <w:sz w:val="20"/>
          <w:szCs w:val="20"/>
        </w:rPr>
        <w:t xml:space="preserve"> Liu</w:t>
      </w:r>
      <w:r w:rsidRPr="00BA19C5">
        <w:rPr>
          <w:rFonts w:ascii="Times New Roman" w:eastAsia="Times New Roman" w:hAnsi="Times New Roman" w:cs="Times New Roman"/>
          <w:sz w:val="20"/>
          <w:szCs w:val="20"/>
          <w:vertAlign w:val="superscript"/>
        </w:rPr>
        <w:t>1</w:t>
      </w:r>
      <w:r w:rsidRPr="00BA19C5">
        <w:rPr>
          <w:rFonts w:ascii="Times New Roman" w:eastAsia="Times New Roman" w:hAnsi="Times New Roman" w:cs="Times New Roman"/>
          <w:sz w:val="20"/>
          <w:szCs w:val="20"/>
        </w:rPr>
        <w:t>, Ying-</w:t>
      </w:r>
      <w:proofErr w:type="spellStart"/>
      <w:r w:rsidRPr="00BA19C5">
        <w:rPr>
          <w:rFonts w:ascii="Times New Roman" w:eastAsia="Times New Roman" w:hAnsi="Times New Roman" w:cs="Times New Roman"/>
          <w:sz w:val="20"/>
          <w:szCs w:val="20"/>
        </w:rPr>
        <w:t>Hwey</w:t>
      </w:r>
      <w:proofErr w:type="spellEnd"/>
      <w:r w:rsidRPr="00BA19C5">
        <w:rPr>
          <w:rFonts w:ascii="Times New Roman" w:eastAsia="Times New Roman" w:hAnsi="Times New Roman" w:cs="Times New Roman"/>
          <w:sz w:val="20"/>
          <w:szCs w:val="20"/>
        </w:rPr>
        <w:t xml:space="preserve"> Nai</w:t>
      </w:r>
      <w:r w:rsidRPr="00BA19C5">
        <w:rPr>
          <w:rFonts w:ascii="Times New Roman" w:eastAsia="Times New Roman" w:hAnsi="Times New Roman" w:cs="Times New Roman"/>
          <w:sz w:val="20"/>
          <w:szCs w:val="20"/>
          <w:vertAlign w:val="superscript"/>
        </w:rPr>
        <w:t>2</w:t>
      </w:r>
      <w:r w:rsidRPr="00BA19C5">
        <w:rPr>
          <w:rFonts w:ascii="Times New Roman" w:eastAsia="Times New Roman" w:hAnsi="Times New Roman" w:cs="Times New Roman"/>
          <w:sz w:val="20"/>
          <w:szCs w:val="20"/>
        </w:rPr>
        <w:t>, Francis Saridin</w:t>
      </w:r>
      <w:r w:rsidRPr="00BA19C5">
        <w:rPr>
          <w:rFonts w:ascii="Times New Roman" w:eastAsia="Times New Roman" w:hAnsi="Times New Roman" w:cs="Times New Roman"/>
          <w:sz w:val="20"/>
          <w:szCs w:val="20"/>
          <w:vertAlign w:val="superscript"/>
        </w:rPr>
        <w:t>3</w:t>
      </w:r>
      <w:r w:rsidRPr="00BA19C5">
        <w:rPr>
          <w:rFonts w:ascii="Times New Roman" w:eastAsia="Times New Roman" w:hAnsi="Times New Roman" w:cs="Times New Roman"/>
          <w:sz w:val="20"/>
          <w:szCs w:val="20"/>
        </w:rPr>
        <w:t>, Tomotaka Tanaka</w:t>
      </w:r>
      <w:r w:rsidRPr="00BA19C5">
        <w:rPr>
          <w:rFonts w:ascii="Times New Roman" w:eastAsia="Times New Roman" w:hAnsi="Times New Roman" w:cs="Times New Roman"/>
          <w:sz w:val="20"/>
          <w:szCs w:val="20"/>
          <w:vertAlign w:val="superscript"/>
        </w:rPr>
        <w:t>4</w:t>
      </w:r>
      <w:r w:rsidRPr="00BA19C5">
        <w:rPr>
          <w:rFonts w:ascii="Times New Roman" w:eastAsia="Times New Roman" w:hAnsi="Times New Roman" w:cs="Times New Roman"/>
          <w:sz w:val="20"/>
          <w:szCs w:val="20"/>
        </w:rPr>
        <w:t>, Jim O’ Doherty</w:t>
      </w:r>
      <w:r w:rsidRPr="00BA19C5">
        <w:rPr>
          <w:rFonts w:ascii="Times New Roman" w:eastAsia="Times New Roman" w:hAnsi="Times New Roman" w:cs="Times New Roman"/>
          <w:sz w:val="20"/>
          <w:szCs w:val="20"/>
          <w:vertAlign w:val="superscript"/>
        </w:rPr>
        <w:t>2</w:t>
      </w:r>
      <w:r w:rsidRPr="00BA19C5">
        <w:rPr>
          <w:rFonts w:ascii="Times New Roman" w:eastAsia="Times New Roman" w:hAnsi="Times New Roman" w:cs="Times New Roman"/>
          <w:sz w:val="20"/>
          <w:szCs w:val="20"/>
        </w:rPr>
        <w:t xml:space="preserve">, </w:t>
      </w:r>
      <w:proofErr w:type="spellStart"/>
      <w:r w:rsidRPr="00BA19C5">
        <w:rPr>
          <w:rFonts w:ascii="Times New Roman" w:eastAsia="Times New Roman" w:hAnsi="Times New Roman" w:cs="Times New Roman"/>
          <w:sz w:val="20"/>
          <w:szCs w:val="20"/>
        </w:rPr>
        <w:t>Saima</w:t>
      </w:r>
      <w:proofErr w:type="spellEnd"/>
      <w:r w:rsidRPr="00BA19C5">
        <w:rPr>
          <w:rFonts w:ascii="Times New Roman" w:eastAsia="Times New Roman" w:hAnsi="Times New Roman" w:cs="Times New Roman"/>
          <w:sz w:val="20"/>
          <w:szCs w:val="20"/>
        </w:rPr>
        <w:t xml:space="preserve"> Hilal</w:t>
      </w:r>
      <w:r w:rsidRPr="00BA19C5">
        <w:rPr>
          <w:rFonts w:ascii="Times New Roman" w:eastAsia="Times New Roman" w:hAnsi="Times New Roman" w:cs="Times New Roman"/>
          <w:sz w:val="20"/>
          <w:szCs w:val="20"/>
          <w:vertAlign w:val="superscript"/>
        </w:rPr>
        <w:t>3,5</w:t>
      </w:r>
      <w:r w:rsidRPr="00BA19C5">
        <w:rPr>
          <w:rFonts w:ascii="Times New Roman" w:eastAsia="Times New Roman" w:hAnsi="Times New Roman" w:cs="Times New Roman"/>
          <w:sz w:val="20"/>
          <w:szCs w:val="20"/>
        </w:rPr>
        <w:t xml:space="preserve">, </w:t>
      </w:r>
      <w:proofErr w:type="spellStart"/>
      <w:r w:rsidRPr="00BA19C5">
        <w:rPr>
          <w:rFonts w:ascii="Times New Roman" w:eastAsia="Times New Roman" w:hAnsi="Times New Roman" w:cs="Times New Roman"/>
          <w:sz w:val="20"/>
          <w:szCs w:val="20"/>
        </w:rPr>
        <w:t>Bibek</w:t>
      </w:r>
      <w:proofErr w:type="spellEnd"/>
      <w:r w:rsidRPr="00BA19C5">
        <w:rPr>
          <w:rFonts w:ascii="Times New Roman" w:eastAsia="Times New Roman" w:hAnsi="Times New Roman" w:cs="Times New Roman"/>
          <w:sz w:val="20"/>
          <w:szCs w:val="20"/>
        </w:rPr>
        <w:t xml:space="preserve"> Gyanwali</w:t>
      </w:r>
      <w:r w:rsidRPr="00BA19C5">
        <w:rPr>
          <w:rFonts w:ascii="Times New Roman" w:eastAsia="Times New Roman" w:hAnsi="Times New Roman" w:cs="Times New Roman"/>
          <w:sz w:val="20"/>
          <w:szCs w:val="20"/>
          <w:vertAlign w:val="superscript"/>
        </w:rPr>
        <w:t>6</w:t>
      </w:r>
      <w:r w:rsidRPr="00BA19C5">
        <w:rPr>
          <w:rFonts w:ascii="Times New Roman" w:eastAsia="Times New Roman" w:hAnsi="Times New Roman" w:cs="Times New Roman"/>
          <w:sz w:val="20"/>
          <w:szCs w:val="20"/>
        </w:rPr>
        <w:t>, Christopher P. Chen</w:t>
      </w:r>
      <w:r w:rsidRPr="00BA19C5">
        <w:rPr>
          <w:rFonts w:ascii="Times New Roman" w:eastAsia="Times New Roman" w:hAnsi="Times New Roman" w:cs="Times New Roman"/>
          <w:sz w:val="20"/>
          <w:szCs w:val="20"/>
          <w:vertAlign w:val="superscript"/>
        </w:rPr>
        <w:t>3</w:t>
      </w:r>
      <w:r w:rsidRPr="00BA19C5">
        <w:rPr>
          <w:rFonts w:ascii="Times New Roman" w:eastAsia="Times New Roman" w:hAnsi="Times New Roman" w:cs="Times New Roman"/>
          <w:sz w:val="20"/>
          <w:szCs w:val="20"/>
        </w:rPr>
        <w:t>, Edward G. Robins</w:t>
      </w:r>
      <w:r w:rsidRPr="00BA19C5">
        <w:rPr>
          <w:rFonts w:ascii="Times New Roman" w:eastAsia="Times New Roman" w:hAnsi="Times New Roman" w:cs="Times New Roman"/>
          <w:sz w:val="20"/>
          <w:szCs w:val="20"/>
          <w:vertAlign w:val="superscript"/>
        </w:rPr>
        <w:t>2,7</w:t>
      </w:r>
      <w:r w:rsidRPr="00BA19C5">
        <w:rPr>
          <w:rFonts w:ascii="Times New Roman" w:eastAsia="Times New Roman" w:hAnsi="Times New Roman" w:cs="Times New Roman"/>
          <w:sz w:val="20"/>
          <w:szCs w:val="20"/>
        </w:rPr>
        <w:t>, Anthonin Reilhac</w:t>
      </w:r>
      <w:r w:rsidRPr="00BA19C5">
        <w:rPr>
          <w:rFonts w:ascii="Times New Roman" w:eastAsia="Times New Roman" w:hAnsi="Times New Roman" w:cs="Times New Roman"/>
          <w:sz w:val="20"/>
          <w:szCs w:val="20"/>
          <w:vertAlign w:val="superscript"/>
        </w:rPr>
        <w:t>2</w:t>
      </w:r>
    </w:p>
    <w:p w14:paraId="2D060642"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1</w:t>
      </w:r>
      <w:r w:rsidRPr="00BA19C5">
        <w:rPr>
          <w:rFonts w:ascii="Times New Roman" w:eastAsia="Times New Roman" w:hAnsi="Times New Roman" w:cs="Times New Roman"/>
          <w:sz w:val="20"/>
          <w:szCs w:val="20"/>
        </w:rPr>
        <w:t xml:space="preserve"> Raffles Institution, Singapore.</w:t>
      </w:r>
    </w:p>
    <w:p w14:paraId="5B2ADB7B"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 xml:space="preserve">2 </w:t>
      </w:r>
      <w:r w:rsidRPr="00BA19C5">
        <w:rPr>
          <w:rFonts w:ascii="Times New Roman" w:eastAsia="Times New Roman" w:hAnsi="Times New Roman" w:cs="Times New Roman"/>
          <w:sz w:val="20"/>
          <w:szCs w:val="20"/>
        </w:rPr>
        <w:t>Clinical Imaging Research Centre, Yong Loo Lin School of Medicine, National University of Singapore, Singapore.</w:t>
      </w:r>
    </w:p>
    <w:p w14:paraId="1632DECB"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3</w:t>
      </w:r>
      <w:r w:rsidRPr="00BA19C5">
        <w:rPr>
          <w:rFonts w:ascii="Times New Roman" w:eastAsia="Times New Roman" w:hAnsi="Times New Roman" w:cs="Times New Roman"/>
          <w:sz w:val="20"/>
          <w:szCs w:val="20"/>
        </w:rPr>
        <w:t xml:space="preserve"> Memory Aging and Cognition Centre, National University Health System, Singapore</w:t>
      </w:r>
    </w:p>
    <w:p w14:paraId="3899D4CF" w14:textId="77777777" w:rsidR="005206A0" w:rsidRPr="00BA19C5" w:rsidRDefault="003F7FD2">
      <w:pPr>
        <w:widowControl w:val="0"/>
        <w:spacing w:after="0"/>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4</w:t>
      </w:r>
      <w:r w:rsidRPr="00BA19C5">
        <w:rPr>
          <w:rFonts w:ascii="Times New Roman" w:eastAsia="Times New Roman" w:hAnsi="Times New Roman" w:cs="Times New Roman"/>
          <w:sz w:val="20"/>
          <w:szCs w:val="20"/>
        </w:rPr>
        <w:t xml:space="preserve"> Department of Neurology, National Cerebral and Cardiovascular Center, Osaka, Japan</w:t>
      </w:r>
    </w:p>
    <w:p w14:paraId="0085D27C"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5</w:t>
      </w:r>
      <w:r w:rsidRPr="00BA19C5">
        <w:rPr>
          <w:rFonts w:ascii="Times New Roman" w:eastAsia="Times New Roman" w:hAnsi="Times New Roman" w:cs="Times New Roman"/>
          <w:sz w:val="20"/>
          <w:szCs w:val="20"/>
        </w:rPr>
        <w:t xml:space="preserve"> Saw Swee Hock School of Public Health, National University of Singapore, Singapore </w:t>
      </w:r>
    </w:p>
    <w:p w14:paraId="28E884E3"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6</w:t>
      </w:r>
      <w:r w:rsidRPr="00BA19C5">
        <w:rPr>
          <w:rFonts w:ascii="Times New Roman" w:eastAsia="Times New Roman" w:hAnsi="Times New Roman" w:cs="Times New Roman"/>
          <w:sz w:val="20"/>
          <w:szCs w:val="20"/>
        </w:rPr>
        <w:t xml:space="preserve"> Department of Pharmacology, Yong Loo Lin School of Medicine, National University of Singapore, Singapore</w:t>
      </w:r>
    </w:p>
    <w:p w14:paraId="7B3EC7E3"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vertAlign w:val="superscript"/>
        </w:rPr>
        <w:t>7</w:t>
      </w:r>
      <w:r w:rsidRPr="00BA19C5">
        <w:rPr>
          <w:rFonts w:ascii="Times New Roman" w:eastAsia="Times New Roman" w:hAnsi="Times New Roman" w:cs="Times New Roman"/>
          <w:sz w:val="20"/>
          <w:szCs w:val="20"/>
        </w:rPr>
        <w:t xml:space="preserve"> Singapore </w:t>
      </w:r>
      <w:proofErr w:type="spellStart"/>
      <w:r w:rsidRPr="00BA19C5">
        <w:rPr>
          <w:rFonts w:ascii="Times New Roman" w:eastAsia="Times New Roman" w:hAnsi="Times New Roman" w:cs="Times New Roman"/>
          <w:sz w:val="20"/>
          <w:szCs w:val="20"/>
        </w:rPr>
        <w:t>BioImaging</w:t>
      </w:r>
      <w:proofErr w:type="spellEnd"/>
      <w:r w:rsidRPr="00BA19C5">
        <w:rPr>
          <w:rFonts w:ascii="Times New Roman" w:eastAsia="Times New Roman" w:hAnsi="Times New Roman" w:cs="Times New Roman"/>
          <w:sz w:val="20"/>
          <w:szCs w:val="20"/>
        </w:rPr>
        <w:t xml:space="preserve"> Consortium, Agency for Science, Technology and Research (A*Star), Singapore.</w:t>
      </w:r>
    </w:p>
    <w:p w14:paraId="3287497D" w14:textId="77777777" w:rsidR="005206A0" w:rsidRPr="00BA19C5" w:rsidRDefault="005206A0">
      <w:pPr>
        <w:spacing w:after="0"/>
        <w:jc w:val="both"/>
        <w:rPr>
          <w:rFonts w:ascii="Times New Roman" w:eastAsia="Times New Roman" w:hAnsi="Times New Roman" w:cs="Times New Roman"/>
          <w:sz w:val="20"/>
          <w:szCs w:val="20"/>
        </w:rPr>
      </w:pPr>
    </w:p>
    <w:p w14:paraId="0B1AFF94" w14:textId="77777777" w:rsidR="005206A0" w:rsidRPr="00BA19C5" w:rsidRDefault="003F7FD2">
      <w:pPr>
        <w:spacing w:after="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t>Corresponding author:</w:t>
      </w:r>
    </w:p>
    <w:p w14:paraId="3CCB0255" w14:textId="77777777" w:rsidR="00055370" w:rsidRPr="00BA19C5" w:rsidRDefault="00055370" w:rsidP="00055370">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Ying-Hwey Nai</w:t>
      </w:r>
    </w:p>
    <w:p w14:paraId="5325598F" w14:textId="77777777" w:rsidR="00055370" w:rsidRPr="00BA19C5" w:rsidRDefault="00055370" w:rsidP="00055370">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Address (Current): Clinical Imaging Research Centre, Yong Loo Lin School of Medicine, National University of Singapore, Centre for Translational Medicine (MD6), 14 Medical Drive, #B1-01, Singapore 117599, Singapore.</w:t>
      </w:r>
    </w:p>
    <w:p w14:paraId="5AE9A541" w14:textId="7EC28D78" w:rsidR="00055370" w:rsidRPr="00BA19C5" w:rsidRDefault="00055370" w:rsidP="00055370">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 xml:space="preserve">E-mail: </w:t>
      </w:r>
      <w:hyperlink r:id="rId8" w:history="1">
        <w:r w:rsidRPr="00BA19C5">
          <w:rPr>
            <w:rStyle w:val="Hyperlink"/>
            <w:rFonts w:ascii="Times New Roman" w:eastAsia="Times New Roman" w:hAnsi="Times New Roman" w:cs="Times New Roman"/>
            <w:color w:val="auto"/>
            <w:sz w:val="20"/>
            <w:szCs w:val="20"/>
          </w:rPr>
          <w:t>mednyh@nus.edu.sg</w:t>
        </w:r>
      </w:hyperlink>
      <w:r w:rsidRPr="00BA19C5">
        <w:rPr>
          <w:rFonts w:ascii="Times New Roman" w:eastAsia="Times New Roman" w:hAnsi="Times New Roman" w:cs="Times New Roman"/>
          <w:sz w:val="20"/>
          <w:szCs w:val="20"/>
        </w:rPr>
        <w:t xml:space="preserve">, </w:t>
      </w:r>
      <w:hyperlink r:id="rId9" w:history="1">
        <w:r w:rsidRPr="00BA19C5">
          <w:rPr>
            <w:rStyle w:val="Hyperlink"/>
            <w:rFonts w:ascii="Times New Roman" w:eastAsia="Times New Roman" w:hAnsi="Times New Roman" w:cs="Times New Roman"/>
            <w:color w:val="auto"/>
            <w:sz w:val="20"/>
            <w:szCs w:val="20"/>
          </w:rPr>
          <w:t>yinghweynai@yahoo.com</w:t>
        </w:r>
      </w:hyperlink>
      <w:r w:rsidRPr="00BA19C5">
        <w:rPr>
          <w:rFonts w:ascii="Times New Roman" w:eastAsia="Times New Roman" w:hAnsi="Times New Roman" w:cs="Times New Roman"/>
          <w:sz w:val="20"/>
          <w:szCs w:val="20"/>
        </w:rPr>
        <w:t xml:space="preserve">    </w:t>
      </w:r>
    </w:p>
    <w:p w14:paraId="50759471" w14:textId="77777777" w:rsidR="00055370" w:rsidRPr="00BA19C5" w:rsidRDefault="00055370" w:rsidP="00055370">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Tel: +65 65167412</w:t>
      </w:r>
    </w:p>
    <w:p w14:paraId="49CC871F" w14:textId="77777777" w:rsidR="00055370" w:rsidRPr="00BA19C5" w:rsidRDefault="00055370" w:rsidP="00055370">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Fax: +65 6872 0458</w:t>
      </w:r>
    </w:p>
    <w:p w14:paraId="7605378F" w14:textId="6FB6398E" w:rsidR="005206A0" w:rsidRPr="00BA19C5" w:rsidRDefault="005206A0">
      <w:pPr>
        <w:spacing w:after="0"/>
        <w:jc w:val="both"/>
        <w:rPr>
          <w:rFonts w:ascii="Times New Roman" w:eastAsia="Times New Roman" w:hAnsi="Times New Roman" w:cs="Times New Roman"/>
          <w:sz w:val="20"/>
          <w:szCs w:val="20"/>
        </w:rPr>
      </w:pPr>
    </w:p>
    <w:p w14:paraId="41316182" w14:textId="77777777" w:rsidR="005206A0" w:rsidRPr="00BA19C5" w:rsidRDefault="005206A0">
      <w:pPr>
        <w:spacing w:after="80"/>
        <w:jc w:val="both"/>
        <w:rPr>
          <w:rFonts w:ascii="Times New Roman" w:eastAsia="Times New Roman" w:hAnsi="Times New Roman" w:cs="Times New Roman"/>
          <w:b/>
          <w:sz w:val="20"/>
          <w:szCs w:val="20"/>
        </w:rPr>
      </w:pPr>
    </w:p>
    <w:p w14:paraId="1E769C1C" w14:textId="77777777" w:rsidR="005206A0" w:rsidRPr="00BA19C5" w:rsidRDefault="003F7FD2">
      <w:pPr>
        <w:spacing w:after="160" w:line="259" w:lineRule="auto"/>
        <w:rPr>
          <w:rFonts w:ascii="Times New Roman" w:eastAsia="Times New Roman" w:hAnsi="Times New Roman" w:cs="Times New Roman"/>
          <w:b/>
          <w:sz w:val="20"/>
          <w:szCs w:val="20"/>
        </w:rPr>
      </w:pPr>
      <w:r w:rsidRPr="00BA19C5">
        <w:br w:type="page"/>
      </w:r>
    </w:p>
    <w:p w14:paraId="474F9685" w14:textId="77777777" w:rsidR="005206A0" w:rsidRPr="00BA19C5" w:rsidRDefault="003F7FD2">
      <w:pPr>
        <w:spacing w:after="8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lastRenderedPageBreak/>
        <w:t>Supplementary Material 1</w:t>
      </w:r>
    </w:p>
    <w:p w14:paraId="534E3692" w14:textId="77777777" w:rsidR="005206A0" w:rsidRPr="00BA19C5" w:rsidRDefault="003F7FD2">
      <w:pPr>
        <w:spacing w:after="0"/>
        <w:jc w:val="both"/>
        <w:rPr>
          <w:rFonts w:ascii="Times New Roman" w:eastAsia="Times New Roman" w:hAnsi="Times New Roman" w:cs="Times New Roman"/>
          <w:i/>
          <w:sz w:val="20"/>
          <w:szCs w:val="20"/>
        </w:rPr>
      </w:pPr>
      <w:r w:rsidRPr="00BA19C5">
        <w:rPr>
          <w:rFonts w:ascii="Times New Roman" w:eastAsia="Times New Roman" w:hAnsi="Times New Roman" w:cs="Times New Roman"/>
          <w:i/>
          <w:sz w:val="20"/>
          <w:szCs w:val="20"/>
        </w:rPr>
        <w:t>Convolutional Neural Network (CNN)</w:t>
      </w:r>
    </w:p>
    <w:p w14:paraId="7A90591A"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 xml:space="preserve">Two types of CNN were implemented and tested: </w:t>
      </w:r>
      <w:proofErr w:type="spellStart"/>
      <w:r w:rsidRPr="00BA19C5">
        <w:rPr>
          <w:rFonts w:ascii="Times New Roman" w:eastAsia="Times New Roman" w:hAnsi="Times New Roman" w:cs="Times New Roman"/>
          <w:sz w:val="20"/>
          <w:szCs w:val="20"/>
        </w:rPr>
        <w:t>monomodal</w:t>
      </w:r>
      <w:proofErr w:type="spellEnd"/>
      <w:r w:rsidRPr="00BA19C5">
        <w:rPr>
          <w:rFonts w:ascii="Times New Roman" w:eastAsia="Times New Roman" w:hAnsi="Times New Roman" w:cs="Times New Roman"/>
          <w:sz w:val="20"/>
          <w:szCs w:val="20"/>
        </w:rPr>
        <w:t xml:space="preserve"> HighRes3DNet [1] and multimodal ScaleNet [2]. HighRes3DNet </w:t>
      </w:r>
      <w:proofErr w:type="spellStart"/>
      <w:r w:rsidRPr="00BA19C5">
        <w:rPr>
          <w:rFonts w:ascii="Times New Roman" w:eastAsia="Times New Roman" w:hAnsi="Times New Roman" w:cs="Times New Roman"/>
          <w:sz w:val="20"/>
          <w:szCs w:val="20"/>
        </w:rPr>
        <w:t>utilises</w:t>
      </w:r>
      <w:proofErr w:type="spellEnd"/>
      <w:r w:rsidRPr="00BA19C5">
        <w:rPr>
          <w:rFonts w:ascii="Times New Roman" w:eastAsia="Times New Roman" w:hAnsi="Times New Roman" w:cs="Times New Roman"/>
          <w:sz w:val="20"/>
          <w:szCs w:val="20"/>
        </w:rPr>
        <w:t xml:space="preserve"> 3D-dilated convolutions to compute features with high spatial resolution as well as residual connections. The network consists of 20 layers of convolutions in total, in which the first seven use 3 × 3 × 3-voxel convolutions to capture low-level image features such as edges and corners. The next six layers contain kernels dilated by a factor of two, followed by six layers with kernels dilated by a factor of four. These twelve layers encode mid- and high-level image features. Residual connections [3-4], which enable direct information propagation from any residual block to another while bypassing the </w:t>
      </w:r>
      <w:proofErr w:type="spellStart"/>
      <w:r w:rsidRPr="00BA19C5">
        <w:rPr>
          <w:rFonts w:ascii="Times New Roman" w:eastAsia="Times New Roman" w:hAnsi="Times New Roman" w:cs="Times New Roman"/>
          <w:sz w:val="20"/>
          <w:szCs w:val="20"/>
        </w:rPr>
        <w:t>parameterised</w:t>
      </w:r>
      <w:proofErr w:type="spellEnd"/>
      <w:r w:rsidRPr="00BA19C5">
        <w:rPr>
          <w:rFonts w:ascii="Times New Roman" w:eastAsia="Times New Roman" w:hAnsi="Times New Roman" w:cs="Times New Roman"/>
          <w:sz w:val="20"/>
          <w:szCs w:val="20"/>
        </w:rPr>
        <w:t xml:space="preserve"> layers in a network to increase training efficiency are incorporated. Within each residual block, batch </w:t>
      </w:r>
      <w:proofErr w:type="spellStart"/>
      <w:r w:rsidRPr="00BA19C5">
        <w:rPr>
          <w:rFonts w:ascii="Times New Roman" w:eastAsia="Times New Roman" w:hAnsi="Times New Roman" w:cs="Times New Roman"/>
          <w:sz w:val="20"/>
          <w:szCs w:val="20"/>
        </w:rPr>
        <w:t>normalisation</w:t>
      </w:r>
      <w:proofErr w:type="spellEnd"/>
      <w:r w:rsidRPr="00BA19C5">
        <w:rPr>
          <w:rFonts w:ascii="Times New Roman" w:eastAsia="Times New Roman" w:hAnsi="Times New Roman" w:cs="Times New Roman"/>
          <w:sz w:val="20"/>
          <w:szCs w:val="20"/>
        </w:rPr>
        <w:t xml:space="preserve"> is first performed followed by the activation, which is tuned to find the most optimal activation function, followed by the convolution. In the last layer, 1 × 1 × 1-voxel convolutions were used followed by </w:t>
      </w:r>
      <w:proofErr w:type="spellStart"/>
      <w:r w:rsidRPr="00BA19C5">
        <w:rPr>
          <w:rFonts w:ascii="Times New Roman" w:eastAsia="Times New Roman" w:hAnsi="Times New Roman" w:cs="Times New Roman"/>
          <w:sz w:val="20"/>
          <w:szCs w:val="20"/>
        </w:rPr>
        <w:t>softmax</w:t>
      </w:r>
      <w:proofErr w:type="spellEnd"/>
      <w:r w:rsidRPr="00BA19C5">
        <w:rPr>
          <w:rFonts w:ascii="Times New Roman" w:eastAsia="Times New Roman" w:hAnsi="Times New Roman" w:cs="Times New Roman"/>
          <w:sz w:val="20"/>
          <w:szCs w:val="20"/>
        </w:rPr>
        <w:t xml:space="preserve"> to produce the generated PET volume. Multimodal ScaleNet uses HighRes3DNet as the frontend and uses a modality-dependent backend, with scalable layers that allows multi-input sharing without losing their original content. The merging layer, which acts as the interface between the backend and frontend, uses averaging to make the frontend structurally independent of the backend, thus allowing the multimodal ScaleNet to be more scalable. </w:t>
      </w:r>
    </w:p>
    <w:p w14:paraId="0EB72107" w14:textId="77777777" w:rsidR="005206A0" w:rsidRPr="00BA19C5" w:rsidRDefault="005206A0">
      <w:pPr>
        <w:spacing w:after="0"/>
        <w:jc w:val="both"/>
        <w:rPr>
          <w:rFonts w:ascii="Times New Roman" w:eastAsia="Times New Roman" w:hAnsi="Times New Roman" w:cs="Times New Roman"/>
          <w:sz w:val="20"/>
          <w:szCs w:val="20"/>
        </w:rPr>
      </w:pPr>
    </w:p>
    <w:p w14:paraId="227AB048"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 xml:space="preserve">These two networks are available on </w:t>
      </w:r>
      <w:proofErr w:type="spellStart"/>
      <w:r w:rsidRPr="00BA19C5">
        <w:rPr>
          <w:rFonts w:ascii="Times New Roman" w:eastAsia="Times New Roman" w:hAnsi="Times New Roman" w:cs="Times New Roman"/>
          <w:sz w:val="20"/>
          <w:szCs w:val="20"/>
        </w:rPr>
        <w:t>NiftyNet</w:t>
      </w:r>
      <w:proofErr w:type="spellEnd"/>
      <w:r w:rsidRPr="00BA19C5">
        <w:rPr>
          <w:rFonts w:ascii="Times New Roman" w:eastAsia="Times New Roman" w:hAnsi="Times New Roman" w:cs="Times New Roman"/>
          <w:sz w:val="20"/>
          <w:szCs w:val="20"/>
        </w:rPr>
        <w:t xml:space="preserve"> (Version 0.5.0) [5], a </w:t>
      </w:r>
      <w:proofErr w:type="spellStart"/>
      <w:r w:rsidRPr="00BA19C5">
        <w:rPr>
          <w:rFonts w:ascii="Times New Roman" w:eastAsia="Times New Roman" w:hAnsi="Times New Roman" w:cs="Times New Roman"/>
          <w:sz w:val="20"/>
          <w:szCs w:val="20"/>
        </w:rPr>
        <w:t>TensorFlow</w:t>
      </w:r>
      <w:proofErr w:type="spellEnd"/>
      <w:r w:rsidRPr="00BA19C5">
        <w:rPr>
          <w:rFonts w:ascii="Times New Roman" w:eastAsia="Times New Roman" w:hAnsi="Times New Roman" w:cs="Times New Roman"/>
          <w:sz w:val="20"/>
          <w:szCs w:val="20"/>
        </w:rPr>
        <w:t xml:space="preserve">-based convolutional network platform, which uses patch-based sampling of the image data. The networks were kept unchanged for ease of comparison with other works, but the network parameters were optimized with about 30 different </w:t>
      </w:r>
      <w:proofErr w:type="spellStart"/>
      <w:r w:rsidRPr="00BA19C5">
        <w:rPr>
          <w:rFonts w:ascii="Times New Roman" w:eastAsia="Times New Roman" w:hAnsi="Times New Roman" w:cs="Times New Roman"/>
          <w:sz w:val="20"/>
          <w:szCs w:val="20"/>
        </w:rPr>
        <w:t>hyperparameter</w:t>
      </w:r>
      <w:proofErr w:type="spellEnd"/>
      <w:r w:rsidRPr="00BA19C5">
        <w:rPr>
          <w:rFonts w:ascii="Times New Roman" w:eastAsia="Times New Roman" w:hAnsi="Times New Roman" w:cs="Times New Roman"/>
          <w:sz w:val="20"/>
          <w:szCs w:val="20"/>
        </w:rPr>
        <w:t xml:space="preserve"> configurations (</w:t>
      </w:r>
      <w:hyperlink r:id="rId10">
        <w:r w:rsidRPr="00BA19C5">
          <w:rPr>
            <w:rFonts w:ascii="Times New Roman" w:eastAsia="Times New Roman" w:hAnsi="Times New Roman" w:cs="Times New Roman"/>
            <w:sz w:val="20"/>
            <w:szCs w:val="20"/>
            <w:u w:val="single"/>
          </w:rPr>
          <w:t>https://niftynet.readthedocs.io/en/dev/config_spec.html</w:t>
        </w:r>
      </w:hyperlink>
      <w:r w:rsidRPr="00BA19C5">
        <w:rPr>
          <w:rFonts w:ascii="Times New Roman" w:eastAsia="Times New Roman" w:hAnsi="Times New Roman" w:cs="Times New Roman"/>
          <w:sz w:val="20"/>
          <w:szCs w:val="20"/>
        </w:rPr>
        <w:t xml:space="preserve">) within the computational feasibility of the CPU (Dell OptiPlex 9020). The networks were trained using 250 iterations as determined from </w:t>
      </w:r>
      <w:proofErr w:type="spellStart"/>
      <w:r w:rsidRPr="00BA19C5">
        <w:rPr>
          <w:rFonts w:ascii="Times New Roman" w:eastAsia="Times New Roman" w:hAnsi="Times New Roman" w:cs="Times New Roman"/>
          <w:sz w:val="20"/>
          <w:szCs w:val="20"/>
        </w:rPr>
        <w:t>Tensorboard</w:t>
      </w:r>
      <w:proofErr w:type="spellEnd"/>
      <w:r w:rsidRPr="00BA19C5">
        <w:rPr>
          <w:rFonts w:ascii="Times New Roman" w:eastAsia="Times New Roman" w:hAnsi="Times New Roman" w:cs="Times New Roman"/>
          <w:sz w:val="20"/>
          <w:szCs w:val="20"/>
        </w:rPr>
        <w:t xml:space="preserve"> where the loss function curve has flattened within each network, beyond which the improvement was small or insignificant. A spatial window patch size of (256,24,24) was used for both HighRes3DNet and ScaleNet, while a batch size of 13 and 16 was employed for HighRes3DNet and ScaleNet respectively. Weighted window sampling, linear interpolation, </w:t>
      </w:r>
      <w:proofErr w:type="spellStart"/>
      <w:r w:rsidRPr="00BA19C5">
        <w:rPr>
          <w:rFonts w:ascii="Times New Roman" w:eastAsia="Times New Roman" w:hAnsi="Times New Roman" w:cs="Times New Roman"/>
          <w:sz w:val="20"/>
          <w:szCs w:val="20"/>
        </w:rPr>
        <w:t>PReLU</w:t>
      </w:r>
      <w:proofErr w:type="spellEnd"/>
      <w:r w:rsidRPr="00BA19C5">
        <w:rPr>
          <w:rFonts w:ascii="Times New Roman" w:eastAsia="Times New Roman" w:hAnsi="Times New Roman" w:cs="Times New Roman"/>
          <w:sz w:val="20"/>
          <w:szCs w:val="20"/>
        </w:rPr>
        <w:t xml:space="preserve"> (Parametric Rectified Linear Units) activation and Adam </w:t>
      </w:r>
      <w:proofErr w:type="spellStart"/>
      <w:r w:rsidRPr="00BA19C5">
        <w:rPr>
          <w:rFonts w:ascii="Times New Roman" w:eastAsia="Times New Roman" w:hAnsi="Times New Roman" w:cs="Times New Roman"/>
          <w:sz w:val="20"/>
          <w:szCs w:val="20"/>
        </w:rPr>
        <w:t>optimiser</w:t>
      </w:r>
      <w:proofErr w:type="spellEnd"/>
      <w:r w:rsidRPr="00BA19C5">
        <w:rPr>
          <w:rFonts w:ascii="Times New Roman" w:eastAsia="Times New Roman" w:hAnsi="Times New Roman" w:cs="Times New Roman"/>
          <w:sz w:val="20"/>
          <w:szCs w:val="20"/>
        </w:rPr>
        <w:t xml:space="preserve"> were employed with B-spline post-smoothing. The training objective of both networks is to reduce the root mean squared error (RMSE) between the generated PET image and the real PET image. The details of both networks’ configuration can be found in Supplementary Table 1.</w:t>
      </w:r>
    </w:p>
    <w:p w14:paraId="57C99079" w14:textId="77777777" w:rsidR="005206A0" w:rsidRPr="00BA19C5" w:rsidRDefault="005206A0">
      <w:pPr>
        <w:spacing w:after="0"/>
        <w:jc w:val="both"/>
        <w:rPr>
          <w:rFonts w:ascii="Times New Roman" w:eastAsia="Times New Roman" w:hAnsi="Times New Roman" w:cs="Times New Roman"/>
          <w:sz w:val="20"/>
          <w:szCs w:val="20"/>
        </w:rPr>
      </w:pPr>
    </w:p>
    <w:p w14:paraId="6AB85562"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Supplementary Table 1</w:t>
      </w:r>
      <w:r w:rsidRPr="00BA19C5">
        <w:rPr>
          <w:rFonts w:ascii="Times New Roman" w:eastAsia="Times New Roman" w:hAnsi="Times New Roman" w:cs="Times New Roman"/>
          <w:sz w:val="20"/>
          <w:szCs w:val="20"/>
        </w:rPr>
        <w:t>: Details of network configurations of HighRes3DNet (T1), HighRes3Dnet (T2) and ScaleNet.</w:t>
      </w:r>
    </w:p>
    <w:tbl>
      <w:tblPr>
        <w:tblStyle w:val="TableGrid"/>
        <w:tblW w:w="7529" w:type="dxa"/>
        <w:jc w:val="center"/>
        <w:tblInd w:w="0" w:type="dxa"/>
        <w:tblCellMar>
          <w:left w:w="85" w:type="dxa"/>
          <w:right w:w="85" w:type="dxa"/>
        </w:tblCellMar>
        <w:tblLook w:val="04A0" w:firstRow="1" w:lastRow="0" w:firstColumn="1" w:lastColumn="0" w:noHBand="0" w:noVBand="1"/>
      </w:tblPr>
      <w:tblGrid>
        <w:gridCol w:w="2040"/>
        <w:gridCol w:w="1831"/>
        <w:gridCol w:w="1828"/>
        <w:gridCol w:w="1830"/>
      </w:tblGrid>
      <w:tr w:rsidR="00BA19C5" w:rsidRPr="00BA19C5" w14:paraId="50C442F0" w14:textId="77777777" w:rsidTr="00055370">
        <w:trPr>
          <w:jc w:val="center"/>
        </w:trPr>
        <w:tc>
          <w:tcPr>
            <w:tcW w:w="2040" w:type="dxa"/>
            <w:tcBorders>
              <w:top w:val="single" w:sz="12" w:space="0" w:color="000000"/>
              <w:left w:val="nil"/>
              <w:bottom w:val="single" w:sz="12" w:space="0" w:color="000000"/>
              <w:right w:val="nil"/>
            </w:tcBorders>
            <w:shd w:val="clear" w:color="auto" w:fill="DBDBDB" w:themeFill="accent3" w:themeFillTint="66"/>
            <w:vAlign w:val="center"/>
          </w:tcPr>
          <w:p w14:paraId="3CB0923A" w14:textId="77777777" w:rsidR="00055370" w:rsidRPr="00BA19C5" w:rsidRDefault="00055370">
            <w:pPr>
              <w:widowControl w:val="0"/>
              <w:spacing w:after="0" w:line="240" w:lineRule="auto"/>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Hyperparameters</w:t>
            </w:r>
            <w:proofErr w:type="spellEnd"/>
          </w:p>
        </w:tc>
        <w:tc>
          <w:tcPr>
            <w:tcW w:w="1831" w:type="dxa"/>
            <w:tcBorders>
              <w:top w:val="single" w:sz="12" w:space="0" w:color="000000"/>
              <w:left w:val="nil"/>
              <w:bottom w:val="single" w:sz="12" w:space="0" w:color="000000"/>
              <w:right w:val="nil"/>
            </w:tcBorders>
            <w:shd w:val="clear" w:color="auto" w:fill="DBDBDB" w:themeFill="accent3" w:themeFillTint="66"/>
            <w:vAlign w:val="center"/>
          </w:tcPr>
          <w:p w14:paraId="5CE69E0D"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HighRes3DNet (T1)</w:t>
            </w:r>
          </w:p>
        </w:tc>
        <w:tc>
          <w:tcPr>
            <w:tcW w:w="1828" w:type="dxa"/>
            <w:tcBorders>
              <w:top w:val="single" w:sz="12" w:space="0" w:color="000000"/>
              <w:left w:val="nil"/>
              <w:bottom w:val="single" w:sz="12" w:space="0" w:color="000000"/>
              <w:right w:val="nil"/>
            </w:tcBorders>
            <w:shd w:val="clear" w:color="auto" w:fill="DBDBDB" w:themeFill="accent3" w:themeFillTint="66"/>
            <w:vAlign w:val="center"/>
          </w:tcPr>
          <w:p w14:paraId="164A308B"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HighRes3DNet (T2)</w:t>
            </w:r>
          </w:p>
        </w:tc>
        <w:tc>
          <w:tcPr>
            <w:tcW w:w="1830" w:type="dxa"/>
            <w:tcBorders>
              <w:top w:val="single" w:sz="12" w:space="0" w:color="000000"/>
              <w:left w:val="nil"/>
              <w:bottom w:val="single" w:sz="12" w:space="0" w:color="000000"/>
              <w:right w:val="nil"/>
            </w:tcBorders>
            <w:shd w:val="clear" w:color="auto" w:fill="DBDBDB" w:themeFill="accent3" w:themeFillTint="66"/>
            <w:vAlign w:val="center"/>
          </w:tcPr>
          <w:p w14:paraId="3734F37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ScaleNet</w:t>
            </w:r>
          </w:p>
        </w:tc>
      </w:tr>
      <w:tr w:rsidR="00BA19C5" w:rsidRPr="00BA19C5" w14:paraId="7E5FF426" w14:textId="77777777" w:rsidTr="00055370">
        <w:trPr>
          <w:jc w:val="center"/>
        </w:trPr>
        <w:tc>
          <w:tcPr>
            <w:tcW w:w="2040" w:type="dxa"/>
            <w:tcBorders>
              <w:top w:val="single" w:sz="12" w:space="0" w:color="000000"/>
              <w:left w:val="nil"/>
              <w:bottom w:val="nil"/>
              <w:right w:val="nil"/>
            </w:tcBorders>
            <w:vAlign w:val="center"/>
          </w:tcPr>
          <w:p w14:paraId="1448CF4D"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Activation function</w:t>
            </w:r>
          </w:p>
        </w:tc>
        <w:tc>
          <w:tcPr>
            <w:tcW w:w="1831" w:type="dxa"/>
            <w:tcBorders>
              <w:top w:val="single" w:sz="12" w:space="0" w:color="000000"/>
              <w:left w:val="nil"/>
              <w:bottom w:val="nil"/>
              <w:right w:val="nil"/>
            </w:tcBorders>
            <w:vAlign w:val="center"/>
          </w:tcPr>
          <w:p w14:paraId="484575D8"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prelu</w:t>
            </w:r>
            <w:proofErr w:type="spellEnd"/>
          </w:p>
        </w:tc>
        <w:tc>
          <w:tcPr>
            <w:tcW w:w="1828" w:type="dxa"/>
            <w:tcBorders>
              <w:top w:val="single" w:sz="12" w:space="0" w:color="000000"/>
              <w:left w:val="nil"/>
              <w:bottom w:val="nil"/>
              <w:right w:val="nil"/>
            </w:tcBorders>
            <w:vAlign w:val="center"/>
          </w:tcPr>
          <w:p w14:paraId="2BC6B424"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prelu</w:t>
            </w:r>
            <w:proofErr w:type="spellEnd"/>
          </w:p>
        </w:tc>
        <w:tc>
          <w:tcPr>
            <w:tcW w:w="1830" w:type="dxa"/>
            <w:tcBorders>
              <w:top w:val="single" w:sz="12" w:space="0" w:color="000000"/>
              <w:left w:val="nil"/>
              <w:bottom w:val="nil"/>
              <w:right w:val="nil"/>
            </w:tcBorders>
            <w:vAlign w:val="center"/>
          </w:tcPr>
          <w:p w14:paraId="00F9864C"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prelu</w:t>
            </w:r>
            <w:proofErr w:type="spellEnd"/>
          </w:p>
        </w:tc>
      </w:tr>
      <w:tr w:rsidR="00BA19C5" w:rsidRPr="00BA19C5" w14:paraId="471FF550" w14:textId="77777777" w:rsidTr="00055370">
        <w:trPr>
          <w:jc w:val="center"/>
        </w:trPr>
        <w:tc>
          <w:tcPr>
            <w:tcW w:w="2040" w:type="dxa"/>
            <w:tcBorders>
              <w:top w:val="nil"/>
              <w:left w:val="nil"/>
              <w:bottom w:val="nil"/>
              <w:right w:val="nil"/>
            </w:tcBorders>
            <w:shd w:val="clear" w:color="auto" w:fill="D9D9D9" w:themeFill="background1" w:themeFillShade="D9"/>
            <w:vAlign w:val="center"/>
          </w:tcPr>
          <w:p w14:paraId="42266059"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Optimizers</w:t>
            </w:r>
          </w:p>
        </w:tc>
        <w:tc>
          <w:tcPr>
            <w:tcW w:w="1831" w:type="dxa"/>
            <w:tcBorders>
              <w:top w:val="nil"/>
              <w:left w:val="nil"/>
              <w:bottom w:val="nil"/>
              <w:right w:val="nil"/>
            </w:tcBorders>
            <w:shd w:val="clear" w:color="auto" w:fill="D9D9D9" w:themeFill="background1" w:themeFillShade="D9"/>
            <w:vAlign w:val="center"/>
          </w:tcPr>
          <w:p w14:paraId="554B0AA0"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Adam</w:t>
            </w:r>
          </w:p>
        </w:tc>
        <w:tc>
          <w:tcPr>
            <w:tcW w:w="1828" w:type="dxa"/>
            <w:tcBorders>
              <w:top w:val="nil"/>
              <w:left w:val="nil"/>
              <w:bottom w:val="nil"/>
              <w:right w:val="nil"/>
            </w:tcBorders>
            <w:shd w:val="clear" w:color="auto" w:fill="D9D9D9" w:themeFill="background1" w:themeFillShade="D9"/>
            <w:vAlign w:val="center"/>
          </w:tcPr>
          <w:p w14:paraId="3AE3833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Adam</w:t>
            </w:r>
          </w:p>
        </w:tc>
        <w:tc>
          <w:tcPr>
            <w:tcW w:w="1830" w:type="dxa"/>
            <w:tcBorders>
              <w:top w:val="nil"/>
              <w:left w:val="nil"/>
              <w:bottom w:val="nil"/>
              <w:right w:val="nil"/>
            </w:tcBorders>
            <w:shd w:val="clear" w:color="auto" w:fill="D9D9D9" w:themeFill="background1" w:themeFillShade="D9"/>
            <w:vAlign w:val="center"/>
          </w:tcPr>
          <w:p w14:paraId="452E1F83"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Adam</w:t>
            </w:r>
          </w:p>
        </w:tc>
      </w:tr>
      <w:tr w:rsidR="00BA19C5" w:rsidRPr="00BA19C5" w14:paraId="5211D64C" w14:textId="77777777" w:rsidTr="00055370">
        <w:trPr>
          <w:jc w:val="center"/>
        </w:trPr>
        <w:tc>
          <w:tcPr>
            <w:tcW w:w="2040" w:type="dxa"/>
            <w:tcBorders>
              <w:top w:val="nil"/>
              <w:left w:val="nil"/>
              <w:bottom w:val="nil"/>
              <w:right w:val="nil"/>
            </w:tcBorders>
            <w:vAlign w:val="center"/>
          </w:tcPr>
          <w:p w14:paraId="3012E6AA"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Batch size</w:t>
            </w:r>
          </w:p>
        </w:tc>
        <w:tc>
          <w:tcPr>
            <w:tcW w:w="1831" w:type="dxa"/>
            <w:tcBorders>
              <w:top w:val="nil"/>
              <w:left w:val="nil"/>
              <w:bottom w:val="nil"/>
              <w:right w:val="nil"/>
            </w:tcBorders>
            <w:vAlign w:val="center"/>
          </w:tcPr>
          <w:p w14:paraId="6027D11C"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16</w:t>
            </w:r>
          </w:p>
        </w:tc>
        <w:tc>
          <w:tcPr>
            <w:tcW w:w="1828" w:type="dxa"/>
            <w:tcBorders>
              <w:top w:val="nil"/>
              <w:left w:val="nil"/>
              <w:bottom w:val="nil"/>
              <w:right w:val="nil"/>
            </w:tcBorders>
            <w:vAlign w:val="center"/>
          </w:tcPr>
          <w:p w14:paraId="728E18B4"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16</w:t>
            </w:r>
          </w:p>
        </w:tc>
        <w:tc>
          <w:tcPr>
            <w:tcW w:w="1830" w:type="dxa"/>
            <w:tcBorders>
              <w:top w:val="nil"/>
              <w:left w:val="nil"/>
              <w:bottom w:val="nil"/>
              <w:right w:val="nil"/>
            </w:tcBorders>
            <w:vAlign w:val="center"/>
          </w:tcPr>
          <w:p w14:paraId="5056A30E"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16</w:t>
            </w:r>
          </w:p>
        </w:tc>
      </w:tr>
      <w:tr w:rsidR="00BA19C5" w:rsidRPr="00BA19C5" w14:paraId="14EA3D2A" w14:textId="77777777" w:rsidTr="00055370">
        <w:trPr>
          <w:trHeight w:val="299"/>
          <w:jc w:val="center"/>
        </w:trPr>
        <w:tc>
          <w:tcPr>
            <w:tcW w:w="2040" w:type="dxa"/>
            <w:tcBorders>
              <w:top w:val="nil"/>
              <w:left w:val="nil"/>
              <w:bottom w:val="nil"/>
              <w:right w:val="nil"/>
            </w:tcBorders>
            <w:shd w:val="clear" w:color="auto" w:fill="D9D9D9" w:themeFill="background1" w:themeFillShade="D9"/>
            <w:vAlign w:val="center"/>
          </w:tcPr>
          <w:p w14:paraId="11571620"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Input Interpolation</w:t>
            </w:r>
          </w:p>
        </w:tc>
        <w:tc>
          <w:tcPr>
            <w:tcW w:w="1831" w:type="dxa"/>
            <w:tcBorders>
              <w:top w:val="nil"/>
              <w:left w:val="nil"/>
              <w:bottom w:val="nil"/>
              <w:right w:val="nil"/>
            </w:tcBorders>
            <w:shd w:val="clear" w:color="auto" w:fill="D9D9D9" w:themeFill="background1" w:themeFillShade="D9"/>
            <w:vAlign w:val="center"/>
          </w:tcPr>
          <w:p w14:paraId="54F88E69"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w:t>
            </w:r>
            <w:r w:rsidRPr="00BA19C5">
              <w:rPr>
                <w:rFonts w:ascii="Times New Roman" w:eastAsiaTheme="minorHAnsi" w:hAnsi="Times New Roman" w:cs="Times New Roman"/>
                <w:sz w:val="20"/>
                <w:szCs w:val="20"/>
                <w:lang w:eastAsia="en-US"/>
              </w:rPr>
              <w:t>inear (1)</w:t>
            </w:r>
          </w:p>
        </w:tc>
        <w:tc>
          <w:tcPr>
            <w:tcW w:w="1828" w:type="dxa"/>
            <w:tcBorders>
              <w:top w:val="nil"/>
              <w:left w:val="nil"/>
              <w:bottom w:val="nil"/>
              <w:right w:val="nil"/>
            </w:tcBorders>
            <w:shd w:val="clear" w:color="auto" w:fill="D9D9D9" w:themeFill="background1" w:themeFillShade="D9"/>
            <w:vAlign w:val="center"/>
          </w:tcPr>
          <w:p w14:paraId="5E7C223E"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w:t>
            </w:r>
            <w:r w:rsidRPr="00BA19C5">
              <w:rPr>
                <w:rFonts w:ascii="Times New Roman" w:eastAsiaTheme="minorHAnsi" w:hAnsi="Times New Roman" w:cs="Times New Roman"/>
                <w:sz w:val="20"/>
                <w:szCs w:val="20"/>
                <w:lang w:eastAsia="en-US"/>
              </w:rPr>
              <w:t>inear (1)</w:t>
            </w:r>
          </w:p>
        </w:tc>
        <w:tc>
          <w:tcPr>
            <w:tcW w:w="1830" w:type="dxa"/>
            <w:tcBorders>
              <w:top w:val="nil"/>
              <w:left w:val="nil"/>
              <w:bottom w:val="nil"/>
              <w:right w:val="nil"/>
            </w:tcBorders>
            <w:shd w:val="clear" w:color="auto" w:fill="D9D9D9" w:themeFill="background1" w:themeFillShade="D9"/>
            <w:vAlign w:val="center"/>
          </w:tcPr>
          <w:p w14:paraId="5B3A8508"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w:t>
            </w:r>
            <w:r w:rsidRPr="00BA19C5">
              <w:rPr>
                <w:rFonts w:ascii="Times New Roman" w:eastAsiaTheme="minorHAnsi" w:hAnsi="Times New Roman" w:cs="Times New Roman"/>
                <w:sz w:val="20"/>
                <w:szCs w:val="20"/>
                <w:lang w:eastAsia="en-US"/>
              </w:rPr>
              <w:t>inear (1)</w:t>
            </w:r>
          </w:p>
        </w:tc>
      </w:tr>
      <w:tr w:rsidR="00BA19C5" w:rsidRPr="00BA19C5" w14:paraId="6978BF23" w14:textId="77777777" w:rsidTr="00055370">
        <w:trPr>
          <w:jc w:val="center"/>
        </w:trPr>
        <w:tc>
          <w:tcPr>
            <w:tcW w:w="2040" w:type="dxa"/>
            <w:tcBorders>
              <w:top w:val="nil"/>
              <w:left w:val="nil"/>
              <w:bottom w:val="nil"/>
              <w:right w:val="nil"/>
            </w:tcBorders>
            <w:vAlign w:val="center"/>
          </w:tcPr>
          <w:p w14:paraId="79393D9C"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Learning rate</w:t>
            </w:r>
          </w:p>
        </w:tc>
        <w:tc>
          <w:tcPr>
            <w:tcW w:w="1831" w:type="dxa"/>
            <w:tcBorders>
              <w:top w:val="nil"/>
              <w:left w:val="nil"/>
              <w:bottom w:val="nil"/>
              <w:right w:val="nil"/>
            </w:tcBorders>
            <w:vAlign w:val="center"/>
          </w:tcPr>
          <w:p w14:paraId="23FD8335"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0.005</w:t>
            </w:r>
          </w:p>
        </w:tc>
        <w:tc>
          <w:tcPr>
            <w:tcW w:w="1828" w:type="dxa"/>
            <w:tcBorders>
              <w:top w:val="nil"/>
              <w:left w:val="nil"/>
              <w:bottom w:val="nil"/>
              <w:right w:val="nil"/>
            </w:tcBorders>
            <w:vAlign w:val="center"/>
          </w:tcPr>
          <w:p w14:paraId="4F9F53B5"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0.005</w:t>
            </w:r>
          </w:p>
        </w:tc>
        <w:tc>
          <w:tcPr>
            <w:tcW w:w="1830" w:type="dxa"/>
            <w:tcBorders>
              <w:top w:val="nil"/>
              <w:left w:val="nil"/>
              <w:bottom w:val="nil"/>
              <w:right w:val="nil"/>
            </w:tcBorders>
            <w:vAlign w:val="center"/>
          </w:tcPr>
          <w:p w14:paraId="2E5B1D39"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0.005</w:t>
            </w:r>
          </w:p>
        </w:tc>
      </w:tr>
      <w:tr w:rsidR="00BA19C5" w:rsidRPr="00BA19C5" w14:paraId="6D5E1F1D" w14:textId="77777777" w:rsidTr="00055370">
        <w:trPr>
          <w:jc w:val="center"/>
        </w:trPr>
        <w:tc>
          <w:tcPr>
            <w:tcW w:w="2040" w:type="dxa"/>
            <w:tcBorders>
              <w:top w:val="nil"/>
              <w:left w:val="nil"/>
              <w:bottom w:val="nil"/>
              <w:right w:val="nil"/>
            </w:tcBorders>
            <w:shd w:val="clear" w:color="auto" w:fill="D9D9D9" w:themeFill="background1" w:themeFillShade="D9"/>
            <w:vAlign w:val="center"/>
          </w:tcPr>
          <w:p w14:paraId="58498571"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Loss function</w:t>
            </w:r>
          </w:p>
        </w:tc>
        <w:tc>
          <w:tcPr>
            <w:tcW w:w="1831" w:type="dxa"/>
            <w:tcBorders>
              <w:top w:val="nil"/>
              <w:left w:val="nil"/>
              <w:bottom w:val="nil"/>
              <w:right w:val="nil"/>
            </w:tcBorders>
            <w:shd w:val="clear" w:color="auto" w:fill="D9D9D9" w:themeFill="background1" w:themeFillShade="D9"/>
            <w:vAlign w:val="center"/>
          </w:tcPr>
          <w:p w14:paraId="17913731"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RMSE</w:t>
            </w:r>
          </w:p>
        </w:tc>
        <w:tc>
          <w:tcPr>
            <w:tcW w:w="1828" w:type="dxa"/>
            <w:tcBorders>
              <w:top w:val="nil"/>
              <w:left w:val="nil"/>
              <w:bottom w:val="nil"/>
              <w:right w:val="nil"/>
            </w:tcBorders>
            <w:shd w:val="clear" w:color="auto" w:fill="D9D9D9" w:themeFill="background1" w:themeFillShade="D9"/>
            <w:vAlign w:val="center"/>
          </w:tcPr>
          <w:p w14:paraId="38FEFEEF"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RMSE</w:t>
            </w:r>
          </w:p>
        </w:tc>
        <w:tc>
          <w:tcPr>
            <w:tcW w:w="1830" w:type="dxa"/>
            <w:tcBorders>
              <w:top w:val="nil"/>
              <w:left w:val="nil"/>
              <w:bottom w:val="nil"/>
              <w:right w:val="nil"/>
            </w:tcBorders>
            <w:shd w:val="clear" w:color="auto" w:fill="D9D9D9" w:themeFill="background1" w:themeFillShade="D9"/>
            <w:vAlign w:val="center"/>
          </w:tcPr>
          <w:p w14:paraId="2986F024"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RMSE</w:t>
            </w:r>
          </w:p>
        </w:tc>
      </w:tr>
      <w:tr w:rsidR="00BA19C5" w:rsidRPr="00BA19C5" w14:paraId="04281E47" w14:textId="77777777" w:rsidTr="00055370">
        <w:trPr>
          <w:jc w:val="center"/>
        </w:trPr>
        <w:tc>
          <w:tcPr>
            <w:tcW w:w="2040" w:type="dxa"/>
            <w:tcBorders>
              <w:top w:val="nil"/>
              <w:left w:val="nil"/>
              <w:bottom w:val="nil"/>
              <w:right w:val="nil"/>
            </w:tcBorders>
            <w:vAlign w:val="center"/>
          </w:tcPr>
          <w:p w14:paraId="4EDC8D80"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lastRenderedPageBreak/>
              <w:t>Whitening</w:t>
            </w:r>
          </w:p>
        </w:tc>
        <w:tc>
          <w:tcPr>
            <w:tcW w:w="1831" w:type="dxa"/>
            <w:tcBorders>
              <w:top w:val="nil"/>
              <w:left w:val="nil"/>
              <w:bottom w:val="nil"/>
              <w:right w:val="nil"/>
            </w:tcBorders>
            <w:vAlign w:val="center"/>
          </w:tcPr>
          <w:p w14:paraId="7E2D4BF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False</w:t>
            </w:r>
          </w:p>
        </w:tc>
        <w:tc>
          <w:tcPr>
            <w:tcW w:w="1828" w:type="dxa"/>
            <w:tcBorders>
              <w:top w:val="nil"/>
              <w:left w:val="nil"/>
              <w:bottom w:val="nil"/>
              <w:right w:val="nil"/>
            </w:tcBorders>
            <w:vAlign w:val="center"/>
          </w:tcPr>
          <w:p w14:paraId="2AC8A5E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True</w:t>
            </w:r>
          </w:p>
        </w:tc>
        <w:tc>
          <w:tcPr>
            <w:tcW w:w="1830" w:type="dxa"/>
            <w:tcBorders>
              <w:top w:val="nil"/>
              <w:left w:val="nil"/>
              <w:bottom w:val="nil"/>
              <w:right w:val="nil"/>
            </w:tcBorders>
            <w:vAlign w:val="center"/>
          </w:tcPr>
          <w:p w14:paraId="6E91D1A7"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False</w:t>
            </w:r>
          </w:p>
        </w:tc>
      </w:tr>
      <w:tr w:rsidR="00BA19C5" w:rsidRPr="00BA19C5" w14:paraId="0BEBCE9C" w14:textId="77777777" w:rsidTr="00055370">
        <w:trPr>
          <w:jc w:val="center"/>
        </w:trPr>
        <w:tc>
          <w:tcPr>
            <w:tcW w:w="2040" w:type="dxa"/>
            <w:tcBorders>
              <w:top w:val="nil"/>
              <w:left w:val="nil"/>
              <w:bottom w:val="nil"/>
              <w:right w:val="nil"/>
            </w:tcBorders>
            <w:shd w:val="clear" w:color="auto" w:fill="D9D9D9" w:themeFill="background1" w:themeFillShade="D9"/>
            <w:vAlign w:val="center"/>
          </w:tcPr>
          <w:p w14:paraId="121E3315"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Normalization</w:t>
            </w:r>
          </w:p>
        </w:tc>
        <w:tc>
          <w:tcPr>
            <w:tcW w:w="1831" w:type="dxa"/>
            <w:tcBorders>
              <w:top w:val="nil"/>
              <w:left w:val="nil"/>
              <w:bottom w:val="nil"/>
              <w:right w:val="nil"/>
            </w:tcBorders>
            <w:shd w:val="clear" w:color="auto" w:fill="D9D9D9" w:themeFill="background1" w:themeFillShade="D9"/>
            <w:vAlign w:val="center"/>
          </w:tcPr>
          <w:p w14:paraId="2B9A6354"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False</w:t>
            </w:r>
          </w:p>
        </w:tc>
        <w:tc>
          <w:tcPr>
            <w:tcW w:w="1828" w:type="dxa"/>
            <w:tcBorders>
              <w:top w:val="nil"/>
              <w:left w:val="nil"/>
              <w:bottom w:val="nil"/>
              <w:right w:val="nil"/>
            </w:tcBorders>
            <w:shd w:val="clear" w:color="auto" w:fill="D9D9D9" w:themeFill="background1" w:themeFillShade="D9"/>
            <w:vAlign w:val="center"/>
          </w:tcPr>
          <w:p w14:paraId="5CE157EB"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True</w:t>
            </w:r>
          </w:p>
        </w:tc>
        <w:tc>
          <w:tcPr>
            <w:tcW w:w="1830" w:type="dxa"/>
            <w:tcBorders>
              <w:top w:val="nil"/>
              <w:left w:val="nil"/>
              <w:bottom w:val="nil"/>
              <w:right w:val="nil"/>
            </w:tcBorders>
            <w:shd w:val="clear" w:color="auto" w:fill="D9D9D9" w:themeFill="background1" w:themeFillShade="D9"/>
            <w:vAlign w:val="center"/>
          </w:tcPr>
          <w:p w14:paraId="4BF6BA5F"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False</w:t>
            </w:r>
          </w:p>
        </w:tc>
      </w:tr>
      <w:tr w:rsidR="00BA19C5" w:rsidRPr="00BA19C5" w14:paraId="291CB411" w14:textId="77777777" w:rsidTr="00055370">
        <w:trPr>
          <w:jc w:val="center"/>
        </w:trPr>
        <w:tc>
          <w:tcPr>
            <w:tcW w:w="2040" w:type="dxa"/>
            <w:tcBorders>
              <w:top w:val="nil"/>
              <w:left w:val="nil"/>
              <w:bottom w:val="nil"/>
              <w:right w:val="nil"/>
            </w:tcBorders>
            <w:vAlign w:val="center"/>
          </w:tcPr>
          <w:p w14:paraId="7061FEFA"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Regularization type</w:t>
            </w:r>
          </w:p>
        </w:tc>
        <w:tc>
          <w:tcPr>
            <w:tcW w:w="1831" w:type="dxa"/>
            <w:tcBorders>
              <w:top w:val="nil"/>
              <w:left w:val="nil"/>
              <w:bottom w:val="nil"/>
              <w:right w:val="nil"/>
            </w:tcBorders>
            <w:vAlign w:val="center"/>
          </w:tcPr>
          <w:p w14:paraId="7A7FA185"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L2</w:t>
            </w:r>
          </w:p>
        </w:tc>
        <w:tc>
          <w:tcPr>
            <w:tcW w:w="1828" w:type="dxa"/>
            <w:tcBorders>
              <w:top w:val="nil"/>
              <w:left w:val="nil"/>
              <w:bottom w:val="nil"/>
              <w:right w:val="nil"/>
            </w:tcBorders>
            <w:vAlign w:val="center"/>
          </w:tcPr>
          <w:p w14:paraId="0D647051"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L2</w:t>
            </w:r>
          </w:p>
        </w:tc>
        <w:tc>
          <w:tcPr>
            <w:tcW w:w="1830" w:type="dxa"/>
            <w:tcBorders>
              <w:top w:val="nil"/>
              <w:left w:val="nil"/>
              <w:bottom w:val="nil"/>
              <w:right w:val="nil"/>
            </w:tcBorders>
            <w:vAlign w:val="center"/>
          </w:tcPr>
          <w:p w14:paraId="613596C9"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L2</w:t>
            </w:r>
          </w:p>
        </w:tc>
      </w:tr>
      <w:tr w:rsidR="00BA19C5" w:rsidRPr="00BA19C5" w14:paraId="2354847F" w14:textId="77777777" w:rsidTr="00055370">
        <w:trPr>
          <w:jc w:val="center"/>
        </w:trPr>
        <w:tc>
          <w:tcPr>
            <w:tcW w:w="2040" w:type="dxa"/>
            <w:tcBorders>
              <w:top w:val="nil"/>
              <w:left w:val="nil"/>
              <w:bottom w:val="nil"/>
              <w:right w:val="nil"/>
            </w:tcBorders>
            <w:shd w:val="clear" w:color="auto" w:fill="D9D9D9" w:themeFill="background1" w:themeFillShade="D9"/>
            <w:vAlign w:val="center"/>
          </w:tcPr>
          <w:p w14:paraId="4D34C119"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Sample per volume</w:t>
            </w:r>
          </w:p>
        </w:tc>
        <w:tc>
          <w:tcPr>
            <w:tcW w:w="1831" w:type="dxa"/>
            <w:tcBorders>
              <w:top w:val="nil"/>
              <w:left w:val="nil"/>
              <w:bottom w:val="nil"/>
              <w:right w:val="nil"/>
            </w:tcBorders>
            <w:shd w:val="clear" w:color="auto" w:fill="D9D9D9" w:themeFill="background1" w:themeFillShade="D9"/>
            <w:vAlign w:val="center"/>
          </w:tcPr>
          <w:p w14:paraId="7BE0BC83"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8</w:t>
            </w:r>
          </w:p>
        </w:tc>
        <w:tc>
          <w:tcPr>
            <w:tcW w:w="1828" w:type="dxa"/>
            <w:tcBorders>
              <w:top w:val="nil"/>
              <w:left w:val="nil"/>
              <w:bottom w:val="nil"/>
              <w:right w:val="nil"/>
            </w:tcBorders>
            <w:shd w:val="clear" w:color="auto" w:fill="D9D9D9" w:themeFill="background1" w:themeFillShade="D9"/>
            <w:vAlign w:val="center"/>
          </w:tcPr>
          <w:p w14:paraId="77ACE506"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8</w:t>
            </w:r>
          </w:p>
        </w:tc>
        <w:tc>
          <w:tcPr>
            <w:tcW w:w="1830" w:type="dxa"/>
            <w:tcBorders>
              <w:top w:val="nil"/>
              <w:left w:val="nil"/>
              <w:bottom w:val="nil"/>
              <w:right w:val="nil"/>
            </w:tcBorders>
            <w:shd w:val="clear" w:color="auto" w:fill="D9D9D9" w:themeFill="background1" w:themeFillShade="D9"/>
            <w:vAlign w:val="center"/>
          </w:tcPr>
          <w:p w14:paraId="3EDB05B3"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10</w:t>
            </w:r>
          </w:p>
        </w:tc>
      </w:tr>
      <w:tr w:rsidR="00BA19C5" w:rsidRPr="00BA19C5" w14:paraId="3D7223E9" w14:textId="77777777" w:rsidTr="00055370">
        <w:trPr>
          <w:jc w:val="center"/>
        </w:trPr>
        <w:tc>
          <w:tcPr>
            <w:tcW w:w="2040" w:type="dxa"/>
            <w:tcBorders>
              <w:top w:val="nil"/>
              <w:left w:val="nil"/>
              <w:bottom w:val="nil"/>
              <w:right w:val="nil"/>
            </w:tcBorders>
            <w:vAlign w:val="center"/>
          </w:tcPr>
          <w:p w14:paraId="7C6BBAB3"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Volume padding size</w:t>
            </w:r>
          </w:p>
        </w:tc>
        <w:tc>
          <w:tcPr>
            <w:tcW w:w="1831" w:type="dxa"/>
            <w:tcBorders>
              <w:top w:val="nil"/>
              <w:left w:val="nil"/>
              <w:bottom w:val="nil"/>
              <w:right w:val="nil"/>
            </w:tcBorders>
            <w:vAlign w:val="center"/>
          </w:tcPr>
          <w:p w14:paraId="4BE65891"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16</w:t>
            </w:r>
          </w:p>
        </w:tc>
        <w:tc>
          <w:tcPr>
            <w:tcW w:w="1828" w:type="dxa"/>
            <w:tcBorders>
              <w:top w:val="nil"/>
              <w:left w:val="nil"/>
              <w:bottom w:val="nil"/>
              <w:right w:val="nil"/>
            </w:tcBorders>
            <w:vAlign w:val="center"/>
          </w:tcPr>
          <w:p w14:paraId="5EE0901C"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16</w:t>
            </w:r>
          </w:p>
        </w:tc>
        <w:tc>
          <w:tcPr>
            <w:tcW w:w="1830" w:type="dxa"/>
            <w:tcBorders>
              <w:top w:val="nil"/>
              <w:left w:val="nil"/>
              <w:bottom w:val="nil"/>
              <w:right w:val="nil"/>
            </w:tcBorders>
            <w:vAlign w:val="center"/>
          </w:tcPr>
          <w:p w14:paraId="68056F6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(21, 21, 21)</w:t>
            </w:r>
          </w:p>
        </w:tc>
      </w:tr>
      <w:tr w:rsidR="00BA19C5" w:rsidRPr="00BA19C5" w14:paraId="5F13A7F2" w14:textId="77777777" w:rsidTr="00055370">
        <w:trPr>
          <w:jc w:val="center"/>
        </w:trPr>
        <w:tc>
          <w:tcPr>
            <w:tcW w:w="2040" w:type="dxa"/>
            <w:tcBorders>
              <w:top w:val="nil"/>
              <w:left w:val="nil"/>
              <w:bottom w:val="nil"/>
              <w:right w:val="nil"/>
            </w:tcBorders>
            <w:shd w:val="clear" w:color="auto" w:fill="D9D9D9" w:themeFill="background1" w:themeFillShade="D9"/>
            <w:vAlign w:val="center"/>
          </w:tcPr>
          <w:p w14:paraId="5ED8842C"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Window sampling</w:t>
            </w:r>
          </w:p>
        </w:tc>
        <w:tc>
          <w:tcPr>
            <w:tcW w:w="1831" w:type="dxa"/>
            <w:tcBorders>
              <w:top w:val="nil"/>
              <w:left w:val="nil"/>
              <w:bottom w:val="nil"/>
              <w:right w:val="nil"/>
            </w:tcBorders>
            <w:shd w:val="clear" w:color="auto" w:fill="D9D9D9" w:themeFill="background1" w:themeFillShade="D9"/>
            <w:vAlign w:val="center"/>
          </w:tcPr>
          <w:p w14:paraId="335386B8"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weighted</w:t>
            </w:r>
          </w:p>
        </w:tc>
        <w:tc>
          <w:tcPr>
            <w:tcW w:w="1828" w:type="dxa"/>
            <w:tcBorders>
              <w:top w:val="nil"/>
              <w:left w:val="nil"/>
              <w:bottom w:val="nil"/>
              <w:right w:val="nil"/>
            </w:tcBorders>
            <w:shd w:val="clear" w:color="auto" w:fill="D9D9D9" w:themeFill="background1" w:themeFillShade="D9"/>
            <w:vAlign w:val="center"/>
          </w:tcPr>
          <w:p w14:paraId="2664088D"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weighted</w:t>
            </w:r>
          </w:p>
        </w:tc>
        <w:tc>
          <w:tcPr>
            <w:tcW w:w="1830" w:type="dxa"/>
            <w:tcBorders>
              <w:top w:val="nil"/>
              <w:left w:val="nil"/>
              <w:bottom w:val="nil"/>
              <w:right w:val="nil"/>
            </w:tcBorders>
            <w:shd w:val="clear" w:color="auto" w:fill="D9D9D9" w:themeFill="background1" w:themeFillShade="D9"/>
            <w:vAlign w:val="center"/>
          </w:tcPr>
          <w:p w14:paraId="66A8DC8A"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weighted</w:t>
            </w:r>
          </w:p>
        </w:tc>
      </w:tr>
      <w:tr w:rsidR="00BA19C5" w:rsidRPr="00BA19C5" w14:paraId="27A17EE4" w14:textId="77777777" w:rsidTr="00055370">
        <w:trPr>
          <w:jc w:val="center"/>
        </w:trPr>
        <w:tc>
          <w:tcPr>
            <w:tcW w:w="2040" w:type="dxa"/>
            <w:tcBorders>
              <w:top w:val="nil"/>
              <w:left w:val="nil"/>
              <w:bottom w:val="nil"/>
              <w:right w:val="nil"/>
            </w:tcBorders>
            <w:vAlign w:val="center"/>
          </w:tcPr>
          <w:p w14:paraId="101EE96D"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Spatial window size</w:t>
            </w:r>
          </w:p>
        </w:tc>
        <w:tc>
          <w:tcPr>
            <w:tcW w:w="1831" w:type="dxa"/>
            <w:tcBorders>
              <w:top w:val="nil"/>
              <w:left w:val="nil"/>
              <w:bottom w:val="nil"/>
              <w:right w:val="nil"/>
            </w:tcBorders>
            <w:vAlign w:val="center"/>
          </w:tcPr>
          <w:p w14:paraId="0CEDAD67"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(256, 24, 24)</w:t>
            </w:r>
          </w:p>
        </w:tc>
        <w:tc>
          <w:tcPr>
            <w:tcW w:w="1828" w:type="dxa"/>
            <w:tcBorders>
              <w:top w:val="nil"/>
              <w:left w:val="nil"/>
              <w:bottom w:val="nil"/>
              <w:right w:val="nil"/>
            </w:tcBorders>
            <w:vAlign w:val="center"/>
          </w:tcPr>
          <w:p w14:paraId="152201BE"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(256, 24, 24)</w:t>
            </w:r>
          </w:p>
        </w:tc>
        <w:tc>
          <w:tcPr>
            <w:tcW w:w="1830" w:type="dxa"/>
            <w:tcBorders>
              <w:top w:val="nil"/>
              <w:left w:val="nil"/>
              <w:bottom w:val="nil"/>
              <w:right w:val="nil"/>
            </w:tcBorders>
            <w:vAlign w:val="center"/>
          </w:tcPr>
          <w:p w14:paraId="54A987C6"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(256, 24, 24)</w:t>
            </w:r>
          </w:p>
        </w:tc>
      </w:tr>
      <w:tr w:rsidR="00BA19C5" w:rsidRPr="00BA19C5" w14:paraId="55D59893" w14:textId="77777777" w:rsidTr="00055370">
        <w:trPr>
          <w:jc w:val="center"/>
        </w:trPr>
        <w:tc>
          <w:tcPr>
            <w:tcW w:w="2040" w:type="dxa"/>
            <w:tcBorders>
              <w:top w:val="nil"/>
              <w:left w:val="nil"/>
              <w:bottom w:val="nil"/>
              <w:right w:val="nil"/>
            </w:tcBorders>
            <w:shd w:val="clear" w:color="auto" w:fill="D0CECE" w:themeFill="background2" w:themeFillShade="E6"/>
            <w:vAlign w:val="center"/>
          </w:tcPr>
          <w:p w14:paraId="798DB66F"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Inference window size</w:t>
            </w:r>
          </w:p>
        </w:tc>
        <w:tc>
          <w:tcPr>
            <w:tcW w:w="1831" w:type="dxa"/>
            <w:tcBorders>
              <w:top w:val="nil"/>
              <w:left w:val="nil"/>
              <w:bottom w:val="nil"/>
              <w:right w:val="nil"/>
            </w:tcBorders>
            <w:shd w:val="clear" w:color="auto" w:fill="D0CECE" w:themeFill="background2" w:themeFillShade="E6"/>
            <w:vAlign w:val="center"/>
          </w:tcPr>
          <w:p w14:paraId="4C9CB6B6"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(256, 48, 48)</w:t>
            </w:r>
          </w:p>
        </w:tc>
        <w:tc>
          <w:tcPr>
            <w:tcW w:w="1828" w:type="dxa"/>
            <w:tcBorders>
              <w:top w:val="nil"/>
              <w:left w:val="nil"/>
              <w:bottom w:val="nil"/>
              <w:right w:val="nil"/>
            </w:tcBorders>
            <w:shd w:val="clear" w:color="auto" w:fill="D0CECE" w:themeFill="background2" w:themeFillShade="E6"/>
            <w:vAlign w:val="center"/>
          </w:tcPr>
          <w:p w14:paraId="331A3DA8"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(256, 48, 48)</w:t>
            </w:r>
          </w:p>
        </w:tc>
        <w:tc>
          <w:tcPr>
            <w:tcW w:w="1830" w:type="dxa"/>
            <w:tcBorders>
              <w:top w:val="nil"/>
              <w:left w:val="nil"/>
              <w:bottom w:val="nil"/>
              <w:right w:val="nil"/>
            </w:tcBorders>
            <w:shd w:val="clear" w:color="auto" w:fill="D0CECE" w:themeFill="background2" w:themeFillShade="E6"/>
            <w:vAlign w:val="center"/>
          </w:tcPr>
          <w:p w14:paraId="10BC3232"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(256, 48, 48)</w:t>
            </w:r>
          </w:p>
        </w:tc>
      </w:tr>
      <w:tr w:rsidR="00BA19C5" w:rsidRPr="00BA19C5" w14:paraId="5C2E3B8C" w14:textId="77777777" w:rsidTr="00055370">
        <w:trPr>
          <w:jc w:val="center"/>
        </w:trPr>
        <w:tc>
          <w:tcPr>
            <w:tcW w:w="2040" w:type="dxa"/>
            <w:tcBorders>
              <w:top w:val="nil"/>
              <w:left w:val="nil"/>
              <w:bottom w:val="single" w:sz="12" w:space="0" w:color="000000"/>
              <w:right w:val="nil"/>
            </w:tcBorders>
            <w:shd w:val="clear" w:color="auto" w:fill="FFFFFF" w:themeFill="background1"/>
            <w:vAlign w:val="center"/>
          </w:tcPr>
          <w:p w14:paraId="7E4B193D" w14:textId="77777777" w:rsidR="00055370" w:rsidRPr="00BA19C5" w:rsidRDefault="00055370">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Output Interpolation</w:t>
            </w:r>
          </w:p>
        </w:tc>
        <w:tc>
          <w:tcPr>
            <w:tcW w:w="1831" w:type="dxa"/>
            <w:tcBorders>
              <w:top w:val="nil"/>
              <w:left w:val="nil"/>
              <w:bottom w:val="single" w:sz="12" w:space="0" w:color="000000"/>
              <w:right w:val="nil"/>
            </w:tcBorders>
            <w:shd w:val="clear" w:color="auto" w:fill="FFFFFF" w:themeFill="background1"/>
            <w:vAlign w:val="center"/>
          </w:tcPr>
          <w:p w14:paraId="22143133"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B-spline (3)</w:t>
            </w:r>
          </w:p>
        </w:tc>
        <w:tc>
          <w:tcPr>
            <w:tcW w:w="1828" w:type="dxa"/>
            <w:tcBorders>
              <w:top w:val="nil"/>
              <w:left w:val="nil"/>
              <w:bottom w:val="single" w:sz="12" w:space="0" w:color="000000"/>
              <w:right w:val="nil"/>
            </w:tcBorders>
            <w:shd w:val="clear" w:color="auto" w:fill="FFFFFF" w:themeFill="background1"/>
            <w:vAlign w:val="center"/>
          </w:tcPr>
          <w:p w14:paraId="7BB024B3"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B-spline (3)</w:t>
            </w:r>
          </w:p>
        </w:tc>
        <w:tc>
          <w:tcPr>
            <w:tcW w:w="1830" w:type="dxa"/>
            <w:tcBorders>
              <w:top w:val="nil"/>
              <w:left w:val="nil"/>
              <w:bottom w:val="single" w:sz="12" w:space="0" w:color="000000"/>
              <w:right w:val="nil"/>
            </w:tcBorders>
            <w:shd w:val="clear" w:color="auto" w:fill="FFFFFF" w:themeFill="background1"/>
            <w:vAlign w:val="center"/>
          </w:tcPr>
          <w:p w14:paraId="2F7CE98E" w14:textId="77777777" w:rsidR="00055370" w:rsidRPr="00BA19C5" w:rsidRDefault="00055370">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B-spline (3)</w:t>
            </w:r>
          </w:p>
        </w:tc>
      </w:tr>
    </w:tbl>
    <w:p w14:paraId="4634AFA5" w14:textId="77777777" w:rsidR="00055370" w:rsidRPr="00BA19C5" w:rsidRDefault="00055370">
      <w:pPr>
        <w:spacing w:after="0"/>
        <w:jc w:val="both"/>
        <w:rPr>
          <w:rFonts w:ascii="Times New Roman" w:eastAsia="Times New Roman" w:hAnsi="Times New Roman" w:cs="Times New Roman"/>
          <w:i/>
          <w:sz w:val="20"/>
          <w:szCs w:val="20"/>
        </w:rPr>
      </w:pPr>
    </w:p>
    <w:p w14:paraId="074887B7" w14:textId="7E2756AA" w:rsidR="005206A0" w:rsidRPr="00BA19C5" w:rsidRDefault="003F7FD2">
      <w:pPr>
        <w:spacing w:after="0"/>
        <w:jc w:val="both"/>
        <w:rPr>
          <w:rFonts w:ascii="Times New Roman" w:eastAsia="Times New Roman" w:hAnsi="Times New Roman" w:cs="Times New Roman"/>
          <w:i/>
          <w:sz w:val="20"/>
          <w:szCs w:val="20"/>
        </w:rPr>
      </w:pPr>
      <w:r w:rsidRPr="00BA19C5">
        <w:rPr>
          <w:rFonts w:ascii="Times New Roman" w:eastAsia="Times New Roman" w:hAnsi="Times New Roman" w:cs="Times New Roman"/>
          <w:i/>
          <w:sz w:val="20"/>
          <w:szCs w:val="20"/>
        </w:rPr>
        <w:t>Conditional Generative Adversarial Network (cGAN)</w:t>
      </w:r>
    </w:p>
    <w:p w14:paraId="048B2378" w14:textId="2E4AE239" w:rsidR="005206A0" w:rsidRPr="00BA19C5" w:rsidRDefault="003F7FD2">
      <w:pPr>
        <w:spacing w:after="0"/>
        <w:jc w:val="both"/>
        <w:rPr>
          <w:rFonts w:ascii="Times New Roman" w:eastAsia="Times New Roman" w:hAnsi="Times New Roman" w:cs="Times New Roman"/>
          <w:b/>
          <w:sz w:val="20"/>
          <w:szCs w:val="20"/>
        </w:rPr>
      </w:pPr>
      <w:r w:rsidRPr="00BA19C5">
        <w:rPr>
          <w:rFonts w:ascii="Times New Roman" w:eastAsia="Times New Roman" w:hAnsi="Times New Roman" w:cs="Times New Roman"/>
          <w:sz w:val="20"/>
          <w:szCs w:val="20"/>
        </w:rPr>
        <w:t xml:space="preserve">The implementation of cGAN and reported preliminary results were described elsewhere, with the </w:t>
      </w:r>
      <w:proofErr w:type="spellStart"/>
      <w:r w:rsidRPr="00BA19C5">
        <w:rPr>
          <w:rFonts w:ascii="Times New Roman" w:eastAsia="Times New Roman" w:hAnsi="Times New Roman" w:cs="Times New Roman"/>
          <w:sz w:val="20"/>
          <w:szCs w:val="20"/>
        </w:rPr>
        <w:t>optimised</w:t>
      </w:r>
      <w:proofErr w:type="spellEnd"/>
      <w:r w:rsidRPr="00BA19C5">
        <w:rPr>
          <w:rFonts w:ascii="Times New Roman" w:eastAsia="Times New Roman" w:hAnsi="Times New Roman" w:cs="Times New Roman"/>
          <w:sz w:val="20"/>
          <w:szCs w:val="20"/>
        </w:rPr>
        <w:t xml:space="preserve"> </w:t>
      </w:r>
      <w:proofErr w:type="spellStart"/>
      <w:r w:rsidRPr="00BA19C5">
        <w:rPr>
          <w:rFonts w:ascii="Times New Roman" w:eastAsia="Times New Roman" w:hAnsi="Times New Roman" w:cs="Times New Roman"/>
          <w:sz w:val="20"/>
          <w:szCs w:val="20"/>
        </w:rPr>
        <w:t>cGAN</w:t>
      </w:r>
      <w:proofErr w:type="spellEnd"/>
      <w:r w:rsidRPr="00BA19C5">
        <w:rPr>
          <w:rFonts w:ascii="Times New Roman" w:eastAsia="Times New Roman" w:hAnsi="Times New Roman" w:cs="Times New Roman"/>
          <w:sz w:val="20"/>
          <w:szCs w:val="20"/>
        </w:rPr>
        <w:t xml:space="preserve"> obtained using T2-weighted FLAIR images as input [6]</w:t>
      </w:r>
      <w:r w:rsidR="00055370" w:rsidRPr="00BA19C5">
        <w:rPr>
          <w:rFonts w:ascii="Times New Roman" w:eastAsia="Times New Roman" w:hAnsi="Times New Roman" w:cs="Times New Roman"/>
          <w:sz w:val="20"/>
          <w:szCs w:val="20"/>
        </w:rPr>
        <w:t>.</w:t>
      </w:r>
      <w:r w:rsidRPr="00BA19C5">
        <w:rPr>
          <w:rFonts w:ascii="Times New Roman" w:eastAsia="Times New Roman" w:hAnsi="Times New Roman" w:cs="Times New Roman"/>
          <w:sz w:val="20"/>
          <w:szCs w:val="20"/>
        </w:rPr>
        <w:t xml:space="preserve"> cGAN is coded in </w:t>
      </w:r>
      <w:proofErr w:type="spellStart"/>
      <w:r w:rsidRPr="00BA19C5">
        <w:rPr>
          <w:rFonts w:ascii="Times New Roman" w:eastAsia="Times New Roman" w:hAnsi="Times New Roman" w:cs="Times New Roman"/>
          <w:sz w:val="20"/>
          <w:szCs w:val="20"/>
        </w:rPr>
        <w:t>Keras</w:t>
      </w:r>
      <w:proofErr w:type="spellEnd"/>
      <w:r w:rsidRPr="00BA19C5">
        <w:rPr>
          <w:rFonts w:ascii="Times New Roman" w:eastAsia="Times New Roman" w:hAnsi="Times New Roman" w:cs="Times New Roman"/>
          <w:sz w:val="20"/>
          <w:szCs w:val="20"/>
        </w:rPr>
        <w:t xml:space="preserve"> and learns the mapping from an input MR image </w:t>
      </w:r>
      <w:r w:rsidRPr="00BA19C5">
        <w:rPr>
          <w:rFonts w:ascii="Times New Roman" w:eastAsia="Times New Roman" w:hAnsi="Times New Roman" w:cs="Times New Roman"/>
          <w:i/>
          <w:sz w:val="20"/>
          <w:szCs w:val="20"/>
        </w:rPr>
        <w:t>x</w:t>
      </w:r>
      <w:r w:rsidRPr="00BA19C5">
        <w:rPr>
          <w:rFonts w:ascii="Times New Roman" w:eastAsia="Times New Roman" w:hAnsi="Times New Roman" w:cs="Times New Roman"/>
          <w:sz w:val="20"/>
          <w:szCs w:val="20"/>
        </w:rPr>
        <w:t xml:space="preserve">, with a random noise vector </w:t>
      </w:r>
      <w:r w:rsidRPr="00BA19C5">
        <w:rPr>
          <w:rFonts w:ascii="Times New Roman" w:eastAsia="Times New Roman" w:hAnsi="Times New Roman" w:cs="Times New Roman"/>
          <w:i/>
          <w:sz w:val="20"/>
          <w:szCs w:val="20"/>
        </w:rPr>
        <w:t>z</w:t>
      </w:r>
      <w:r w:rsidRPr="00BA19C5">
        <w:rPr>
          <w:rFonts w:ascii="Times New Roman" w:eastAsia="Times New Roman" w:hAnsi="Times New Roman" w:cs="Times New Roman"/>
          <w:sz w:val="20"/>
          <w:szCs w:val="20"/>
        </w:rPr>
        <w:t xml:space="preserve">, to output PET image </w:t>
      </w:r>
      <w:r w:rsidRPr="00BA19C5">
        <w:rPr>
          <w:rFonts w:ascii="Times New Roman" w:eastAsia="Times New Roman" w:hAnsi="Times New Roman" w:cs="Times New Roman"/>
          <w:i/>
          <w:sz w:val="20"/>
          <w:szCs w:val="20"/>
        </w:rPr>
        <w:t>G(x)</w:t>
      </w:r>
      <w:r w:rsidRPr="00BA19C5">
        <w:rPr>
          <w:rFonts w:ascii="Times New Roman" w:eastAsia="Times New Roman" w:hAnsi="Times New Roman" w:cs="Times New Roman"/>
          <w:sz w:val="20"/>
          <w:szCs w:val="20"/>
        </w:rPr>
        <w:t xml:space="preserve">, </w:t>
      </w:r>
      <w:r w:rsidRPr="00BA19C5">
        <w:rPr>
          <w:rFonts w:ascii="Cardo" w:eastAsia="Cardo" w:hAnsi="Cardo" w:cs="Cardo"/>
          <w:i/>
          <w:sz w:val="20"/>
          <w:szCs w:val="20"/>
        </w:rPr>
        <w:t>G: {x, z} → G(x)</w:t>
      </w:r>
      <w:r w:rsidRPr="00BA19C5">
        <w:rPr>
          <w:rFonts w:ascii="Times New Roman" w:eastAsia="Times New Roman" w:hAnsi="Times New Roman" w:cs="Times New Roman"/>
          <w:sz w:val="20"/>
          <w:szCs w:val="20"/>
        </w:rPr>
        <w:t xml:space="preserve"> [7]. The generator G is trained to produce realistic PET images from the input MR image that cannot be distinguished from real PET images. Concurrently, the </w:t>
      </w:r>
      <w:proofErr w:type="spellStart"/>
      <w:r w:rsidRPr="00BA19C5">
        <w:rPr>
          <w:rFonts w:ascii="Times New Roman" w:eastAsia="Times New Roman" w:hAnsi="Times New Roman" w:cs="Times New Roman"/>
          <w:sz w:val="20"/>
          <w:szCs w:val="20"/>
        </w:rPr>
        <w:t>adversarially</w:t>
      </w:r>
      <w:proofErr w:type="spellEnd"/>
      <w:r w:rsidRPr="00BA19C5">
        <w:rPr>
          <w:rFonts w:ascii="Times New Roman" w:eastAsia="Times New Roman" w:hAnsi="Times New Roman" w:cs="Times New Roman"/>
          <w:sz w:val="20"/>
          <w:szCs w:val="20"/>
        </w:rPr>
        <w:t xml:space="preserve">-trained discriminator D is trained to detect the generator’s produced PET images and differentiate between the generated and real PET images. The objective of G is to not only reduce the error between the generated PET image and the real PET image, and to </w:t>
      </w:r>
      <w:proofErr w:type="spellStart"/>
      <w:r w:rsidRPr="00BA19C5">
        <w:rPr>
          <w:rFonts w:ascii="Times New Roman" w:eastAsia="Times New Roman" w:hAnsi="Times New Roman" w:cs="Times New Roman"/>
          <w:sz w:val="20"/>
          <w:szCs w:val="20"/>
        </w:rPr>
        <w:t>maximise</w:t>
      </w:r>
      <w:proofErr w:type="spellEnd"/>
      <w:r w:rsidRPr="00BA19C5">
        <w:rPr>
          <w:rFonts w:ascii="Times New Roman" w:eastAsia="Times New Roman" w:hAnsi="Times New Roman" w:cs="Times New Roman"/>
          <w:sz w:val="20"/>
          <w:szCs w:val="20"/>
        </w:rPr>
        <w:t xml:space="preserve"> the likelihood of the discriminator D classifying the generated image as “real”. </w:t>
      </w:r>
      <w:r w:rsidR="00470D0C" w:rsidRPr="00BA19C5">
        <w:rPr>
          <w:rFonts w:ascii="Times New Roman" w:eastAsia="Times New Roman" w:hAnsi="Times New Roman" w:cs="Times New Roman"/>
          <w:sz w:val="20"/>
          <w:szCs w:val="20"/>
        </w:rPr>
        <w:t>The Adam optimizer is used for both D and G, with a batch size of 1, Gaussian weight initialization, label smoothing, two-time scale update rule (TTUR) [8] and spectral normalization [9]. Additional preprocessing of the 3D MR and PET volumes are required for cGAN implementation, including slicing of 3D MR and PET volumes to 2D RGB images in the axial plane and taking 132 out of the 176 slices for training, and linear normalization of image data from [global minimum, global maximum + 0.5] to [-1, 1].</w:t>
      </w:r>
      <w:r w:rsidRPr="00BA19C5">
        <w:rPr>
          <w:rFonts w:ascii="Times New Roman" w:eastAsia="Times New Roman" w:hAnsi="Times New Roman" w:cs="Times New Roman"/>
          <w:sz w:val="20"/>
          <w:szCs w:val="20"/>
        </w:rPr>
        <w:t xml:space="preserve"> Similarly, the inverse was carried out for post-processing, after which the output images were smoothed using 2 mm Gaussian filter width using SPM (</w:t>
      </w:r>
      <w:hyperlink r:id="rId11" w:history="1">
        <w:r w:rsidR="00055370" w:rsidRPr="00BA19C5">
          <w:rPr>
            <w:rStyle w:val="Hyperlink"/>
            <w:rFonts w:ascii="Times New Roman" w:eastAsia="Times New Roman" w:hAnsi="Times New Roman" w:cs="Times New Roman"/>
            <w:color w:val="auto"/>
            <w:sz w:val="20"/>
            <w:szCs w:val="20"/>
          </w:rPr>
          <w:t>https://www.fil.ion.ucl.ac.uk/spm/</w:t>
        </w:r>
      </w:hyperlink>
      <w:r w:rsidRPr="00BA19C5">
        <w:rPr>
          <w:rFonts w:ascii="Times New Roman" w:eastAsia="Times New Roman" w:hAnsi="Times New Roman" w:cs="Times New Roman"/>
          <w:sz w:val="20"/>
          <w:szCs w:val="20"/>
        </w:rPr>
        <w:t>).</w:t>
      </w:r>
    </w:p>
    <w:p w14:paraId="68DC579B" w14:textId="77777777" w:rsidR="005206A0" w:rsidRPr="00BA19C5" w:rsidRDefault="003F7FD2">
      <w:pPr>
        <w:spacing w:after="80"/>
        <w:jc w:val="both"/>
        <w:rPr>
          <w:rFonts w:ascii="Times New Roman" w:eastAsia="Times New Roman" w:hAnsi="Times New Roman" w:cs="Times New Roman"/>
          <w:b/>
          <w:sz w:val="20"/>
          <w:szCs w:val="20"/>
        </w:rPr>
      </w:pPr>
      <w:r w:rsidRPr="00BA19C5">
        <w:rPr>
          <w:noProof/>
          <w:lang w:val="en-PH" w:eastAsia="en-PH"/>
        </w:rPr>
        <w:drawing>
          <wp:inline distT="0" distB="0" distL="0" distR="0" wp14:anchorId="623396D7" wp14:editId="702E8FF1">
            <wp:extent cx="5990590" cy="3200400"/>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noChangeArrowheads="1"/>
                    </pic:cNvPicPr>
                  </pic:nvPicPr>
                  <pic:blipFill>
                    <a:blip r:embed="rId12"/>
                    <a:stretch>
                      <a:fillRect/>
                    </a:stretch>
                  </pic:blipFill>
                  <pic:spPr bwMode="auto">
                    <a:xfrm>
                      <a:off x="0" y="0"/>
                      <a:ext cx="5990590" cy="3200400"/>
                    </a:xfrm>
                    <a:prstGeom prst="rect">
                      <a:avLst/>
                    </a:prstGeom>
                  </pic:spPr>
                </pic:pic>
              </a:graphicData>
            </a:graphic>
          </wp:inline>
        </w:drawing>
      </w:r>
    </w:p>
    <w:p w14:paraId="6819CB2B"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lastRenderedPageBreak/>
        <w:t>Supplementary Fig. 1</w:t>
      </w:r>
      <w:r w:rsidRPr="00BA19C5">
        <w:rPr>
          <w:rFonts w:ascii="Times New Roman" w:eastAsia="Times New Roman" w:hAnsi="Times New Roman" w:cs="Times New Roman"/>
          <w:sz w:val="20"/>
          <w:szCs w:val="20"/>
        </w:rPr>
        <w:t>: Overview of cGAN network: (a) cGAN training process and (b) pre- and post-processing of input and output images.</w:t>
      </w:r>
    </w:p>
    <w:p w14:paraId="4094261C" w14:textId="77777777" w:rsidR="005206A0" w:rsidRPr="00BA19C5" w:rsidRDefault="005206A0">
      <w:pPr>
        <w:spacing w:after="0"/>
        <w:jc w:val="both"/>
        <w:rPr>
          <w:rFonts w:ascii="Times New Roman" w:eastAsia="Times New Roman" w:hAnsi="Times New Roman" w:cs="Times New Roman"/>
          <w:sz w:val="20"/>
          <w:szCs w:val="20"/>
        </w:rPr>
      </w:pPr>
    </w:p>
    <w:p w14:paraId="0E86D2D2" w14:textId="77777777" w:rsidR="005206A0" w:rsidRPr="00BA19C5" w:rsidRDefault="003F7FD2">
      <w:pPr>
        <w:spacing w:after="0"/>
        <w:jc w:val="center"/>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Supplementary Table 2</w:t>
      </w:r>
      <w:r w:rsidRPr="00BA19C5">
        <w:rPr>
          <w:rFonts w:ascii="Times New Roman" w:eastAsia="Times New Roman" w:hAnsi="Times New Roman" w:cs="Times New Roman"/>
          <w:sz w:val="20"/>
          <w:szCs w:val="20"/>
        </w:rPr>
        <w:t>: Details of network configurations of cGAN.</w:t>
      </w:r>
    </w:p>
    <w:tbl>
      <w:tblPr>
        <w:tblStyle w:val="TableGrid"/>
        <w:tblW w:w="7007" w:type="dxa"/>
        <w:jc w:val="center"/>
        <w:tblInd w:w="0" w:type="dxa"/>
        <w:tblCellMar>
          <w:left w:w="85" w:type="dxa"/>
          <w:right w:w="85" w:type="dxa"/>
        </w:tblCellMar>
        <w:tblLook w:val="04A0" w:firstRow="1" w:lastRow="0" w:firstColumn="1" w:lastColumn="0" w:noHBand="0" w:noVBand="1"/>
      </w:tblPr>
      <w:tblGrid>
        <w:gridCol w:w="2069"/>
        <w:gridCol w:w="2688"/>
        <w:gridCol w:w="2250"/>
      </w:tblGrid>
      <w:tr w:rsidR="00BA19C5" w:rsidRPr="00BA19C5" w14:paraId="4BB2BCB9" w14:textId="77777777" w:rsidTr="00055370">
        <w:trPr>
          <w:trHeight w:val="301"/>
          <w:jc w:val="center"/>
        </w:trPr>
        <w:tc>
          <w:tcPr>
            <w:tcW w:w="2069" w:type="dxa"/>
            <w:tcBorders>
              <w:top w:val="single" w:sz="12" w:space="0" w:color="000000"/>
              <w:left w:val="nil"/>
              <w:bottom w:val="single" w:sz="12" w:space="0" w:color="000000"/>
              <w:right w:val="nil"/>
            </w:tcBorders>
            <w:shd w:val="clear" w:color="auto" w:fill="DBDBDB" w:themeFill="accent3" w:themeFillTint="66"/>
            <w:vAlign w:val="center"/>
          </w:tcPr>
          <w:p w14:paraId="6552832D"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Hyperparameters</w:t>
            </w:r>
            <w:proofErr w:type="spellEnd"/>
          </w:p>
        </w:tc>
        <w:tc>
          <w:tcPr>
            <w:tcW w:w="2688" w:type="dxa"/>
            <w:tcBorders>
              <w:top w:val="single" w:sz="12" w:space="0" w:color="000000"/>
              <w:left w:val="nil"/>
              <w:bottom w:val="single" w:sz="12" w:space="0" w:color="000000"/>
              <w:right w:val="nil"/>
            </w:tcBorders>
            <w:shd w:val="clear" w:color="auto" w:fill="DBDBDB" w:themeFill="accent3" w:themeFillTint="66"/>
            <w:vAlign w:val="center"/>
          </w:tcPr>
          <w:p w14:paraId="297F3ABA"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cGAN (generator)</w:t>
            </w:r>
          </w:p>
        </w:tc>
        <w:tc>
          <w:tcPr>
            <w:tcW w:w="2250" w:type="dxa"/>
            <w:tcBorders>
              <w:top w:val="single" w:sz="12" w:space="0" w:color="000000"/>
              <w:left w:val="nil"/>
              <w:bottom w:val="single" w:sz="12" w:space="0" w:color="000000"/>
              <w:right w:val="nil"/>
            </w:tcBorders>
            <w:shd w:val="clear" w:color="auto" w:fill="DBDBDB" w:themeFill="accent3" w:themeFillTint="66"/>
            <w:vAlign w:val="center"/>
          </w:tcPr>
          <w:p w14:paraId="10FCC232"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cGAN (discriminator)</w:t>
            </w:r>
          </w:p>
        </w:tc>
      </w:tr>
      <w:tr w:rsidR="00BA19C5" w:rsidRPr="00BA19C5" w14:paraId="5E013BB8" w14:textId="77777777">
        <w:trPr>
          <w:trHeight w:val="231"/>
          <w:jc w:val="center"/>
        </w:trPr>
        <w:tc>
          <w:tcPr>
            <w:tcW w:w="2069" w:type="dxa"/>
            <w:tcBorders>
              <w:top w:val="single" w:sz="12" w:space="0" w:color="000000"/>
              <w:left w:val="nil"/>
              <w:bottom w:val="nil"/>
              <w:right w:val="nil"/>
            </w:tcBorders>
            <w:vAlign w:val="center"/>
          </w:tcPr>
          <w:p w14:paraId="22FEE6C4"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Activation function</w:t>
            </w:r>
          </w:p>
        </w:tc>
        <w:tc>
          <w:tcPr>
            <w:tcW w:w="2688" w:type="dxa"/>
            <w:tcBorders>
              <w:top w:val="single" w:sz="12" w:space="0" w:color="000000"/>
              <w:left w:val="nil"/>
              <w:bottom w:val="nil"/>
              <w:right w:val="nil"/>
            </w:tcBorders>
            <w:vAlign w:val="center"/>
          </w:tcPr>
          <w:p w14:paraId="27E7B3B6"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lang w:eastAsia="en-US"/>
              </w:rPr>
              <w:t>tanh</w:t>
            </w:r>
            <w:proofErr w:type="spellEnd"/>
          </w:p>
        </w:tc>
        <w:tc>
          <w:tcPr>
            <w:tcW w:w="2250" w:type="dxa"/>
            <w:tcBorders>
              <w:top w:val="single" w:sz="12" w:space="0" w:color="000000"/>
              <w:left w:val="nil"/>
              <w:bottom w:val="nil"/>
              <w:right w:val="nil"/>
            </w:tcBorders>
            <w:vAlign w:val="center"/>
          </w:tcPr>
          <w:p w14:paraId="7EE62408"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sigmoid</w:t>
            </w:r>
          </w:p>
        </w:tc>
      </w:tr>
      <w:tr w:rsidR="00BA19C5" w:rsidRPr="00BA19C5" w14:paraId="10CC4A5F" w14:textId="77777777">
        <w:trPr>
          <w:trHeight w:val="231"/>
          <w:jc w:val="center"/>
        </w:trPr>
        <w:tc>
          <w:tcPr>
            <w:tcW w:w="2069" w:type="dxa"/>
            <w:tcBorders>
              <w:top w:val="nil"/>
              <w:left w:val="nil"/>
              <w:bottom w:val="nil"/>
              <w:right w:val="nil"/>
            </w:tcBorders>
            <w:shd w:val="clear" w:color="auto" w:fill="D9D9D9" w:themeFill="background1" w:themeFillShade="D9"/>
            <w:vAlign w:val="center"/>
          </w:tcPr>
          <w:p w14:paraId="705CE293"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Optimizers</w:t>
            </w:r>
          </w:p>
        </w:tc>
        <w:tc>
          <w:tcPr>
            <w:tcW w:w="4938" w:type="dxa"/>
            <w:gridSpan w:val="2"/>
            <w:tcBorders>
              <w:top w:val="nil"/>
              <w:left w:val="nil"/>
              <w:bottom w:val="nil"/>
              <w:right w:val="nil"/>
            </w:tcBorders>
            <w:shd w:val="clear" w:color="auto" w:fill="D9D9D9" w:themeFill="background1" w:themeFillShade="D9"/>
            <w:vAlign w:val="center"/>
          </w:tcPr>
          <w:p w14:paraId="366D0E59"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Adam</w:t>
            </w:r>
          </w:p>
        </w:tc>
      </w:tr>
      <w:tr w:rsidR="00BA19C5" w:rsidRPr="00BA19C5" w14:paraId="5FF285D0" w14:textId="77777777">
        <w:trPr>
          <w:trHeight w:val="224"/>
          <w:jc w:val="center"/>
        </w:trPr>
        <w:tc>
          <w:tcPr>
            <w:tcW w:w="2069" w:type="dxa"/>
            <w:tcBorders>
              <w:top w:val="nil"/>
              <w:left w:val="nil"/>
              <w:bottom w:val="nil"/>
              <w:right w:val="nil"/>
            </w:tcBorders>
            <w:vAlign w:val="center"/>
          </w:tcPr>
          <w:p w14:paraId="084DD06B"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Batch size</w:t>
            </w:r>
          </w:p>
        </w:tc>
        <w:tc>
          <w:tcPr>
            <w:tcW w:w="4938" w:type="dxa"/>
            <w:gridSpan w:val="2"/>
            <w:tcBorders>
              <w:top w:val="nil"/>
              <w:left w:val="nil"/>
              <w:bottom w:val="nil"/>
              <w:right w:val="nil"/>
            </w:tcBorders>
            <w:vAlign w:val="center"/>
          </w:tcPr>
          <w:p w14:paraId="2C414B4D"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w:t>
            </w:r>
          </w:p>
        </w:tc>
      </w:tr>
      <w:tr w:rsidR="00BA19C5" w:rsidRPr="00BA19C5" w14:paraId="3A2FAB58" w14:textId="77777777">
        <w:trPr>
          <w:trHeight w:val="298"/>
          <w:jc w:val="center"/>
        </w:trPr>
        <w:tc>
          <w:tcPr>
            <w:tcW w:w="2069" w:type="dxa"/>
            <w:tcBorders>
              <w:top w:val="nil"/>
              <w:left w:val="nil"/>
              <w:bottom w:val="nil"/>
              <w:right w:val="nil"/>
            </w:tcBorders>
            <w:shd w:val="clear" w:color="auto" w:fill="D9D9D9" w:themeFill="background1" w:themeFillShade="D9"/>
            <w:vAlign w:val="center"/>
          </w:tcPr>
          <w:p w14:paraId="76046948"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Weight Initialization</w:t>
            </w:r>
          </w:p>
        </w:tc>
        <w:tc>
          <w:tcPr>
            <w:tcW w:w="4938" w:type="dxa"/>
            <w:gridSpan w:val="2"/>
            <w:tcBorders>
              <w:top w:val="nil"/>
              <w:left w:val="nil"/>
              <w:bottom w:val="nil"/>
              <w:right w:val="nil"/>
            </w:tcBorders>
            <w:shd w:val="clear" w:color="auto" w:fill="D9D9D9" w:themeFill="background1" w:themeFillShade="D9"/>
            <w:vAlign w:val="center"/>
          </w:tcPr>
          <w:p w14:paraId="2247DE80"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Gaussian (Mean = 0, Standard Deviation = 0.02)</w:t>
            </w:r>
          </w:p>
        </w:tc>
      </w:tr>
      <w:tr w:rsidR="00BA19C5" w:rsidRPr="00BA19C5" w14:paraId="65A4FDF7" w14:textId="77777777">
        <w:trPr>
          <w:trHeight w:val="224"/>
          <w:jc w:val="center"/>
        </w:trPr>
        <w:tc>
          <w:tcPr>
            <w:tcW w:w="2069" w:type="dxa"/>
            <w:tcBorders>
              <w:top w:val="nil"/>
              <w:left w:val="nil"/>
              <w:bottom w:val="nil"/>
              <w:right w:val="nil"/>
            </w:tcBorders>
            <w:vAlign w:val="center"/>
          </w:tcPr>
          <w:p w14:paraId="51CD1673"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Learning rate</w:t>
            </w:r>
          </w:p>
        </w:tc>
        <w:tc>
          <w:tcPr>
            <w:tcW w:w="2688" w:type="dxa"/>
            <w:tcBorders>
              <w:top w:val="nil"/>
              <w:left w:val="nil"/>
              <w:bottom w:val="nil"/>
              <w:right w:val="nil"/>
            </w:tcBorders>
            <w:vAlign w:val="center"/>
          </w:tcPr>
          <w:p w14:paraId="43E31E8E"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0.0001</w:t>
            </w:r>
          </w:p>
        </w:tc>
        <w:tc>
          <w:tcPr>
            <w:tcW w:w="2250" w:type="dxa"/>
            <w:tcBorders>
              <w:top w:val="nil"/>
              <w:left w:val="nil"/>
              <w:bottom w:val="nil"/>
              <w:right w:val="nil"/>
            </w:tcBorders>
            <w:vAlign w:val="center"/>
          </w:tcPr>
          <w:p w14:paraId="7B18132F"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0.0004</w:t>
            </w:r>
          </w:p>
        </w:tc>
      </w:tr>
      <w:tr w:rsidR="00BA19C5" w:rsidRPr="00BA19C5" w14:paraId="1B28396E" w14:textId="77777777">
        <w:trPr>
          <w:trHeight w:val="463"/>
          <w:jc w:val="center"/>
        </w:trPr>
        <w:tc>
          <w:tcPr>
            <w:tcW w:w="2069" w:type="dxa"/>
            <w:tcBorders>
              <w:top w:val="nil"/>
              <w:left w:val="nil"/>
              <w:bottom w:val="nil"/>
              <w:right w:val="nil"/>
            </w:tcBorders>
            <w:shd w:val="clear" w:color="auto" w:fill="D9D9D9" w:themeFill="background1" w:themeFillShade="D9"/>
            <w:vAlign w:val="center"/>
          </w:tcPr>
          <w:p w14:paraId="05AFCB5E"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Loss function</w:t>
            </w:r>
          </w:p>
        </w:tc>
        <w:tc>
          <w:tcPr>
            <w:tcW w:w="2688" w:type="dxa"/>
            <w:tcBorders>
              <w:top w:val="nil"/>
              <w:left w:val="nil"/>
              <w:bottom w:val="nil"/>
              <w:right w:val="nil"/>
            </w:tcBorders>
            <w:shd w:val="clear" w:color="auto" w:fill="D9D9D9" w:themeFill="background1" w:themeFillShade="D9"/>
            <w:vAlign w:val="center"/>
          </w:tcPr>
          <w:p w14:paraId="4419986F"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L1+Binary Cross-Entropy</w:t>
            </w:r>
          </w:p>
        </w:tc>
        <w:tc>
          <w:tcPr>
            <w:tcW w:w="2250" w:type="dxa"/>
            <w:tcBorders>
              <w:top w:val="nil"/>
              <w:left w:val="nil"/>
              <w:bottom w:val="nil"/>
              <w:right w:val="nil"/>
            </w:tcBorders>
            <w:shd w:val="clear" w:color="auto" w:fill="D9D9D9" w:themeFill="background1" w:themeFillShade="D9"/>
            <w:vAlign w:val="center"/>
          </w:tcPr>
          <w:p w14:paraId="24F9B883"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Binary Cross-Entropy</w:t>
            </w:r>
          </w:p>
        </w:tc>
      </w:tr>
      <w:tr w:rsidR="00BA19C5" w:rsidRPr="00BA19C5" w14:paraId="525E168A" w14:textId="77777777">
        <w:trPr>
          <w:trHeight w:val="224"/>
          <w:jc w:val="center"/>
        </w:trPr>
        <w:tc>
          <w:tcPr>
            <w:tcW w:w="2069" w:type="dxa"/>
            <w:tcBorders>
              <w:top w:val="nil"/>
              <w:left w:val="nil"/>
              <w:bottom w:val="nil"/>
              <w:right w:val="nil"/>
            </w:tcBorders>
            <w:vAlign w:val="center"/>
          </w:tcPr>
          <w:p w14:paraId="71300182"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MRI Modality</w:t>
            </w:r>
          </w:p>
        </w:tc>
        <w:tc>
          <w:tcPr>
            <w:tcW w:w="4938" w:type="dxa"/>
            <w:gridSpan w:val="2"/>
            <w:tcBorders>
              <w:top w:val="nil"/>
              <w:left w:val="nil"/>
              <w:bottom w:val="nil"/>
              <w:right w:val="nil"/>
            </w:tcBorders>
            <w:vAlign w:val="center"/>
          </w:tcPr>
          <w:p w14:paraId="59B6BC2E"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T2-weighted</w:t>
            </w:r>
          </w:p>
        </w:tc>
      </w:tr>
      <w:tr w:rsidR="00BA19C5" w:rsidRPr="00BA19C5" w14:paraId="556072D2" w14:textId="77777777">
        <w:trPr>
          <w:trHeight w:val="231"/>
          <w:jc w:val="center"/>
        </w:trPr>
        <w:tc>
          <w:tcPr>
            <w:tcW w:w="2069" w:type="dxa"/>
            <w:tcBorders>
              <w:top w:val="nil"/>
              <w:left w:val="nil"/>
              <w:bottom w:val="nil"/>
              <w:right w:val="nil"/>
            </w:tcBorders>
            <w:shd w:val="clear" w:color="auto" w:fill="D9D9D9" w:themeFill="background1" w:themeFillShade="D9"/>
            <w:vAlign w:val="center"/>
          </w:tcPr>
          <w:p w14:paraId="7E938033"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Normalization</w:t>
            </w:r>
          </w:p>
        </w:tc>
        <w:tc>
          <w:tcPr>
            <w:tcW w:w="4938" w:type="dxa"/>
            <w:gridSpan w:val="2"/>
            <w:tcBorders>
              <w:top w:val="nil"/>
              <w:left w:val="nil"/>
              <w:bottom w:val="nil"/>
              <w:right w:val="nil"/>
            </w:tcBorders>
            <w:shd w:val="clear" w:color="auto" w:fill="D9D9D9" w:themeFill="background1" w:themeFillShade="D9"/>
            <w:vAlign w:val="center"/>
          </w:tcPr>
          <w:p w14:paraId="7BAA1D15" w14:textId="77777777" w:rsidR="005206A0" w:rsidRPr="00BA19C5" w:rsidRDefault="003F7FD2">
            <w:pPr>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Preprocessing:</w:t>
            </w:r>
          </w:p>
          <w:p w14:paraId="482AB8DF" w14:textId="77777777" w:rsidR="005206A0" w:rsidRPr="00BA19C5" w:rsidRDefault="003F7FD2">
            <w:pPr>
              <w:spacing w:after="0" w:line="240" w:lineRule="auto"/>
              <w:jc w:val="center"/>
              <w:rPr>
                <w:rFonts w:ascii="TimesNewRoman" w:eastAsiaTheme="minorEastAsia" w:hAnsi="TimesNewRoman" w:cs="TimesNewRoman"/>
                <w:sz w:val="20"/>
                <w:szCs w:val="20"/>
                <w:lang w:val="en-SG" w:eastAsia="ja-JP"/>
              </w:rPr>
            </w:pPr>
            <w:r w:rsidRPr="00BA19C5">
              <w:rPr>
                <w:rFonts w:ascii="Times New Roman" w:eastAsia="Times New Roman" w:hAnsi="Times New Roman" w:cs="Times New Roman"/>
                <w:sz w:val="20"/>
                <w:szCs w:val="20"/>
                <w:lang w:eastAsia="en-US"/>
              </w:rPr>
              <w:t xml:space="preserve">Linear from </w:t>
            </w:r>
            <w:r w:rsidRPr="00BA19C5">
              <w:rPr>
                <w:rFonts w:ascii="TimesNewRoman" w:eastAsiaTheme="minorEastAsia" w:hAnsi="TimesNewRoman" w:cs="TimesNewRoman"/>
                <w:sz w:val="20"/>
                <w:szCs w:val="20"/>
                <w:lang w:val="en-SG" w:eastAsia="ja-JP"/>
              </w:rPr>
              <w:t>[minimum, maximum+0.5] to [-1, 1]</w:t>
            </w:r>
          </w:p>
          <w:p w14:paraId="2A0321CC" w14:textId="77777777" w:rsidR="005206A0" w:rsidRPr="00BA19C5" w:rsidRDefault="003F7FD2">
            <w:pPr>
              <w:spacing w:after="0" w:line="240" w:lineRule="auto"/>
              <w:jc w:val="center"/>
              <w:rPr>
                <w:rFonts w:ascii="TimesNewRoman" w:eastAsiaTheme="minorEastAsia" w:hAnsi="TimesNewRoman" w:cs="TimesNewRoman"/>
                <w:sz w:val="20"/>
                <w:szCs w:val="20"/>
                <w:lang w:val="en-SG" w:eastAsia="ja-JP"/>
              </w:rPr>
            </w:pPr>
            <w:r w:rsidRPr="00BA19C5">
              <w:rPr>
                <w:rFonts w:ascii="TimesNewRoman" w:eastAsiaTheme="minorEastAsia" w:hAnsi="TimesNewRoman" w:cs="TimesNewRoman"/>
                <w:sz w:val="20"/>
                <w:szCs w:val="20"/>
                <w:lang w:val="en-SG" w:eastAsia="ja-JP"/>
              </w:rPr>
              <w:t>Post-processing:</w:t>
            </w:r>
          </w:p>
          <w:p w14:paraId="55346055" w14:textId="77777777" w:rsidR="005206A0" w:rsidRPr="00BA19C5" w:rsidRDefault="003F7FD2">
            <w:pPr>
              <w:spacing w:after="0" w:line="240" w:lineRule="auto"/>
              <w:jc w:val="center"/>
              <w:rPr>
                <w:rFonts w:ascii="TimesNewRoman" w:eastAsiaTheme="minorEastAsia" w:hAnsi="TimesNewRoman" w:cs="TimesNewRoman"/>
                <w:sz w:val="20"/>
                <w:szCs w:val="20"/>
                <w:lang w:val="en-SG" w:eastAsia="ja-JP"/>
              </w:rPr>
            </w:pPr>
            <w:r w:rsidRPr="00BA19C5">
              <w:rPr>
                <w:rFonts w:ascii="TimesNewRoman" w:eastAsiaTheme="minorEastAsia" w:hAnsi="TimesNewRoman" w:cs="TimesNewRoman"/>
                <w:sz w:val="20"/>
                <w:szCs w:val="20"/>
                <w:lang w:val="en-SG" w:eastAsia="ja-JP"/>
              </w:rPr>
              <w:t>Linear from [-1, 1] to [minimum, maximum+0.5]</w:t>
            </w:r>
          </w:p>
        </w:tc>
      </w:tr>
      <w:tr w:rsidR="00BA19C5" w:rsidRPr="00BA19C5" w14:paraId="2BF702BA" w14:textId="77777777">
        <w:trPr>
          <w:trHeight w:val="231"/>
          <w:jc w:val="center"/>
        </w:trPr>
        <w:tc>
          <w:tcPr>
            <w:tcW w:w="2069" w:type="dxa"/>
            <w:tcBorders>
              <w:top w:val="nil"/>
              <w:left w:val="nil"/>
              <w:bottom w:val="nil"/>
              <w:right w:val="nil"/>
            </w:tcBorders>
            <w:vAlign w:val="center"/>
          </w:tcPr>
          <w:p w14:paraId="7021C93D"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Spectral Normalization</w:t>
            </w:r>
          </w:p>
        </w:tc>
        <w:tc>
          <w:tcPr>
            <w:tcW w:w="4938" w:type="dxa"/>
            <w:gridSpan w:val="2"/>
            <w:tcBorders>
              <w:top w:val="nil"/>
              <w:left w:val="nil"/>
              <w:bottom w:val="nil"/>
              <w:right w:val="nil"/>
            </w:tcBorders>
            <w:vAlign w:val="center"/>
          </w:tcPr>
          <w:p w14:paraId="5B321907"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True</w:t>
            </w:r>
          </w:p>
        </w:tc>
      </w:tr>
      <w:tr w:rsidR="00BA19C5" w:rsidRPr="00BA19C5" w14:paraId="3AEE69DE" w14:textId="77777777">
        <w:trPr>
          <w:trHeight w:val="457"/>
          <w:jc w:val="center"/>
        </w:trPr>
        <w:tc>
          <w:tcPr>
            <w:tcW w:w="2069" w:type="dxa"/>
            <w:tcBorders>
              <w:top w:val="nil"/>
              <w:left w:val="nil"/>
              <w:bottom w:val="nil"/>
              <w:right w:val="nil"/>
            </w:tcBorders>
            <w:shd w:val="clear" w:color="auto" w:fill="D9D9D9" w:themeFill="background1" w:themeFillShade="D9"/>
            <w:vAlign w:val="center"/>
          </w:tcPr>
          <w:p w14:paraId="3E30639A"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Label Smoothing</w:t>
            </w:r>
          </w:p>
        </w:tc>
        <w:tc>
          <w:tcPr>
            <w:tcW w:w="4938" w:type="dxa"/>
            <w:gridSpan w:val="2"/>
            <w:tcBorders>
              <w:top w:val="nil"/>
              <w:left w:val="nil"/>
              <w:bottom w:val="nil"/>
              <w:right w:val="nil"/>
            </w:tcBorders>
            <w:shd w:val="clear" w:color="auto" w:fill="D9D9D9" w:themeFill="background1" w:themeFillShade="D9"/>
            <w:vAlign w:val="center"/>
          </w:tcPr>
          <w:p w14:paraId="6169D01A"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[0.7, 1.2] for real images</w:t>
            </w:r>
          </w:p>
          <w:p w14:paraId="33616863"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[0.0, 0.3] for generated images</w:t>
            </w:r>
          </w:p>
        </w:tc>
      </w:tr>
      <w:tr w:rsidR="00BA19C5" w:rsidRPr="00BA19C5" w14:paraId="4BC63CE9" w14:textId="77777777">
        <w:trPr>
          <w:trHeight w:val="231"/>
          <w:jc w:val="center"/>
        </w:trPr>
        <w:tc>
          <w:tcPr>
            <w:tcW w:w="2069" w:type="dxa"/>
            <w:tcBorders>
              <w:top w:val="nil"/>
              <w:left w:val="nil"/>
              <w:bottom w:val="nil"/>
              <w:right w:val="nil"/>
            </w:tcBorders>
            <w:vAlign w:val="center"/>
          </w:tcPr>
          <w:p w14:paraId="6760438F"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Slices taken</w:t>
            </w:r>
          </w:p>
        </w:tc>
        <w:tc>
          <w:tcPr>
            <w:tcW w:w="4938" w:type="dxa"/>
            <w:gridSpan w:val="2"/>
            <w:tcBorders>
              <w:top w:val="nil"/>
              <w:left w:val="nil"/>
              <w:bottom w:val="nil"/>
              <w:right w:val="nil"/>
            </w:tcBorders>
            <w:vAlign w:val="center"/>
          </w:tcPr>
          <w:p w14:paraId="730CC3F3"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132 out of 176 in the axial plane</w:t>
            </w:r>
          </w:p>
        </w:tc>
      </w:tr>
      <w:tr w:rsidR="00BA19C5" w:rsidRPr="00BA19C5" w14:paraId="03F3526B" w14:textId="77777777">
        <w:trPr>
          <w:trHeight w:val="224"/>
          <w:jc w:val="center"/>
        </w:trPr>
        <w:tc>
          <w:tcPr>
            <w:tcW w:w="2069" w:type="dxa"/>
            <w:tcBorders>
              <w:top w:val="nil"/>
              <w:left w:val="nil"/>
              <w:bottom w:val="nil"/>
              <w:right w:val="nil"/>
            </w:tcBorders>
            <w:shd w:val="clear" w:color="auto" w:fill="D9D9D9" w:themeFill="background1" w:themeFillShade="D9"/>
            <w:vAlign w:val="center"/>
          </w:tcPr>
          <w:p w14:paraId="0F1B8566"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Spatial window size</w:t>
            </w:r>
          </w:p>
        </w:tc>
        <w:tc>
          <w:tcPr>
            <w:tcW w:w="4938" w:type="dxa"/>
            <w:gridSpan w:val="2"/>
            <w:tcBorders>
              <w:top w:val="nil"/>
              <w:left w:val="nil"/>
              <w:bottom w:val="nil"/>
              <w:right w:val="nil"/>
            </w:tcBorders>
            <w:shd w:val="clear" w:color="auto" w:fill="D9D9D9" w:themeFill="background1" w:themeFillShade="D9"/>
            <w:vAlign w:val="center"/>
          </w:tcPr>
          <w:p w14:paraId="2DD949DC"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(256, 256, 1)</w:t>
            </w:r>
          </w:p>
        </w:tc>
      </w:tr>
      <w:tr w:rsidR="00BA19C5" w:rsidRPr="00BA19C5" w14:paraId="6D2519A5" w14:textId="77777777">
        <w:trPr>
          <w:trHeight w:val="231"/>
          <w:jc w:val="center"/>
        </w:trPr>
        <w:tc>
          <w:tcPr>
            <w:tcW w:w="2069" w:type="dxa"/>
            <w:tcBorders>
              <w:top w:val="nil"/>
              <w:left w:val="nil"/>
              <w:bottom w:val="nil"/>
              <w:right w:val="nil"/>
            </w:tcBorders>
            <w:vAlign w:val="center"/>
          </w:tcPr>
          <w:p w14:paraId="28AD9004"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Inference window size</w:t>
            </w:r>
          </w:p>
        </w:tc>
        <w:tc>
          <w:tcPr>
            <w:tcW w:w="4938" w:type="dxa"/>
            <w:gridSpan w:val="2"/>
            <w:tcBorders>
              <w:top w:val="nil"/>
              <w:left w:val="nil"/>
              <w:bottom w:val="nil"/>
              <w:right w:val="nil"/>
            </w:tcBorders>
            <w:vAlign w:val="center"/>
          </w:tcPr>
          <w:p w14:paraId="257AA553"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(256, 256, 1)</w:t>
            </w:r>
          </w:p>
        </w:tc>
      </w:tr>
      <w:tr w:rsidR="00BA19C5" w:rsidRPr="00BA19C5" w14:paraId="59B34833" w14:textId="77777777">
        <w:trPr>
          <w:trHeight w:val="231"/>
          <w:jc w:val="center"/>
        </w:trPr>
        <w:tc>
          <w:tcPr>
            <w:tcW w:w="2069" w:type="dxa"/>
            <w:tcBorders>
              <w:top w:val="nil"/>
              <w:left w:val="nil"/>
              <w:bottom w:val="single" w:sz="12" w:space="0" w:color="000000"/>
              <w:right w:val="nil"/>
            </w:tcBorders>
            <w:shd w:val="clear" w:color="auto" w:fill="D0CECE" w:themeFill="background2" w:themeFillShade="E6"/>
            <w:vAlign w:val="center"/>
          </w:tcPr>
          <w:p w14:paraId="4355CD7F" w14:textId="77777777" w:rsidR="005206A0" w:rsidRPr="00BA19C5" w:rsidRDefault="003F7FD2">
            <w:pPr>
              <w:widowControl w:val="0"/>
              <w:spacing w:after="0"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Output Interpolation</w:t>
            </w:r>
          </w:p>
        </w:tc>
        <w:tc>
          <w:tcPr>
            <w:tcW w:w="4938" w:type="dxa"/>
            <w:gridSpan w:val="2"/>
            <w:tcBorders>
              <w:top w:val="nil"/>
              <w:left w:val="nil"/>
              <w:bottom w:val="single" w:sz="12" w:space="0" w:color="000000"/>
              <w:right w:val="nil"/>
            </w:tcBorders>
            <w:shd w:val="clear" w:color="auto" w:fill="D0CECE" w:themeFill="background2" w:themeFillShade="E6"/>
            <w:vAlign w:val="center"/>
          </w:tcPr>
          <w:p w14:paraId="4DB95308" w14:textId="77777777" w:rsidR="005206A0" w:rsidRPr="00BA19C5" w:rsidRDefault="003F7FD2">
            <w:pPr>
              <w:widowControl w:val="0"/>
              <w:spacing w:after="0" w:line="240"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lang w:eastAsia="en-US"/>
              </w:rPr>
              <w:t>2mm Gaussian</w:t>
            </w:r>
          </w:p>
        </w:tc>
      </w:tr>
    </w:tbl>
    <w:p w14:paraId="4DE5B4C1" w14:textId="77777777" w:rsidR="005206A0" w:rsidRPr="00BA19C5" w:rsidRDefault="005206A0">
      <w:pPr>
        <w:spacing w:after="0"/>
        <w:jc w:val="both"/>
        <w:rPr>
          <w:rFonts w:ascii="Times New Roman" w:eastAsia="Times New Roman" w:hAnsi="Times New Roman" w:cs="Times New Roman"/>
          <w:sz w:val="20"/>
          <w:szCs w:val="20"/>
        </w:rPr>
      </w:pPr>
    </w:p>
    <w:p w14:paraId="00541CFE" w14:textId="77777777" w:rsidR="005206A0" w:rsidRPr="00BA19C5" w:rsidRDefault="003F7FD2">
      <w:pPr>
        <w:spacing w:after="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t>References</w:t>
      </w:r>
    </w:p>
    <w:p w14:paraId="35E8FDB0"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highlight w:val="white"/>
        </w:rPr>
        <w:t xml:space="preserve">Li W, Wang G, </w:t>
      </w:r>
      <w:proofErr w:type="spellStart"/>
      <w:r w:rsidRPr="00BA19C5">
        <w:rPr>
          <w:rFonts w:ascii="Times New Roman" w:eastAsia="Times New Roman" w:hAnsi="Times New Roman" w:cs="Times New Roman"/>
          <w:sz w:val="20"/>
          <w:szCs w:val="20"/>
          <w:highlight w:val="white"/>
        </w:rPr>
        <w:t>Fidon</w:t>
      </w:r>
      <w:proofErr w:type="spellEnd"/>
      <w:r w:rsidRPr="00BA19C5">
        <w:rPr>
          <w:rFonts w:ascii="Times New Roman" w:eastAsia="Times New Roman" w:hAnsi="Times New Roman" w:cs="Times New Roman"/>
          <w:sz w:val="20"/>
          <w:szCs w:val="20"/>
          <w:highlight w:val="white"/>
        </w:rPr>
        <w:t xml:space="preserve"> L, </w:t>
      </w:r>
      <w:proofErr w:type="spellStart"/>
      <w:r w:rsidRPr="00BA19C5">
        <w:rPr>
          <w:rFonts w:ascii="Times New Roman" w:eastAsia="Times New Roman" w:hAnsi="Times New Roman" w:cs="Times New Roman"/>
          <w:sz w:val="20"/>
          <w:szCs w:val="20"/>
          <w:highlight w:val="white"/>
        </w:rPr>
        <w:t>Ourselin</w:t>
      </w:r>
      <w:proofErr w:type="spellEnd"/>
      <w:r w:rsidRPr="00BA19C5">
        <w:rPr>
          <w:rFonts w:ascii="Times New Roman" w:eastAsia="Times New Roman" w:hAnsi="Times New Roman" w:cs="Times New Roman"/>
          <w:sz w:val="20"/>
          <w:szCs w:val="20"/>
          <w:highlight w:val="white"/>
        </w:rPr>
        <w:t xml:space="preserve"> S, Cardoso MJ, </w:t>
      </w:r>
      <w:proofErr w:type="spellStart"/>
      <w:r w:rsidRPr="00BA19C5">
        <w:rPr>
          <w:rFonts w:ascii="Times New Roman" w:eastAsia="Times New Roman" w:hAnsi="Times New Roman" w:cs="Times New Roman"/>
          <w:sz w:val="20"/>
          <w:szCs w:val="20"/>
          <w:highlight w:val="white"/>
        </w:rPr>
        <w:t>Vercauteren</w:t>
      </w:r>
      <w:proofErr w:type="spellEnd"/>
      <w:r w:rsidRPr="00BA19C5">
        <w:rPr>
          <w:rFonts w:ascii="Times New Roman" w:eastAsia="Times New Roman" w:hAnsi="Times New Roman" w:cs="Times New Roman"/>
          <w:sz w:val="20"/>
          <w:szCs w:val="20"/>
          <w:highlight w:val="white"/>
        </w:rPr>
        <w:t xml:space="preserve"> T. On the compactness, efficiency, and representation of 3D convolutional networks: brain </w:t>
      </w:r>
      <w:proofErr w:type="spellStart"/>
      <w:r w:rsidRPr="00BA19C5">
        <w:rPr>
          <w:rFonts w:ascii="Times New Roman" w:eastAsia="Times New Roman" w:hAnsi="Times New Roman" w:cs="Times New Roman"/>
          <w:sz w:val="20"/>
          <w:szCs w:val="20"/>
          <w:highlight w:val="white"/>
        </w:rPr>
        <w:t>parcellation</w:t>
      </w:r>
      <w:proofErr w:type="spellEnd"/>
      <w:r w:rsidRPr="00BA19C5">
        <w:rPr>
          <w:rFonts w:ascii="Times New Roman" w:eastAsia="Times New Roman" w:hAnsi="Times New Roman" w:cs="Times New Roman"/>
          <w:sz w:val="20"/>
          <w:szCs w:val="20"/>
          <w:highlight w:val="white"/>
        </w:rPr>
        <w:t xml:space="preserve"> as a pretext task. In: International conference on information processing in medical imaging. </w:t>
      </w:r>
      <w:r w:rsidRPr="00BA19C5">
        <w:rPr>
          <w:rFonts w:ascii="Times New Roman" w:eastAsia="Times New Roman" w:hAnsi="Times New Roman" w:cs="Times New Roman"/>
          <w:sz w:val="20"/>
          <w:szCs w:val="20"/>
        </w:rPr>
        <w:t xml:space="preserve">Springer, Cham; 2017. p. </w:t>
      </w:r>
      <w:r w:rsidRPr="00BA19C5">
        <w:rPr>
          <w:rFonts w:ascii="Times New Roman" w:eastAsia="Times New Roman" w:hAnsi="Times New Roman" w:cs="Times New Roman"/>
          <w:sz w:val="20"/>
          <w:szCs w:val="20"/>
          <w:highlight w:val="white"/>
        </w:rPr>
        <w:t>348-60.</w:t>
      </w:r>
    </w:p>
    <w:p w14:paraId="4659125E"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rPr>
        <w:t>Fidon</w:t>
      </w:r>
      <w:proofErr w:type="spellEnd"/>
      <w:r w:rsidRPr="00BA19C5">
        <w:rPr>
          <w:rFonts w:ascii="Times New Roman" w:eastAsia="Times New Roman" w:hAnsi="Times New Roman" w:cs="Times New Roman"/>
          <w:sz w:val="20"/>
          <w:szCs w:val="20"/>
        </w:rPr>
        <w:t xml:space="preserve"> L, Li W, Garcia-Peraza-Herrera LC, </w:t>
      </w:r>
      <w:proofErr w:type="spellStart"/>
      <w:r w:rsidRPr="00BA19C5">
        <w:rPr>
          <w:rFonts w:ascii="Times New Roman" w:eastAsia="Times New Roman" w:hAnsi="Times New Roman" w:cs="Times New Roman"/>
          <w:sz w:val="20"/>
          <w:szCs w:val="20"/>
        </w:rPr>
        <w:t>Ekanayake</w:t>
      </w:r>
      <w:proofErr w:type="spellEnd"/>
      <w:r w:rsidRPr="00BA19C5">
        <w:rPr>
          <w:rFonts w:ascii="Times New Roman" w:eastAsia="Times New Roman" w:hAnsi="Times New Roman" w:cs="Times New Roman"/>
          <w:sz w:val="20"/>
          <w:szCs w:val="20"/>
        </w:rPr>
        <w:t xml:space="preserve"> J, Kitchen N, </w:t>
      </w:r>
      <w:proofErr w:type="spellStart"/>
      <w:r w:rsidRPr="00BA19C5">
        <w:rPr>
          <w:rFonts w:ascii="Times New Roman" w:eastAsia="Times New Roman" w:hAnsi="Times New Roman" w:cs="Times New Roman"/>
          <w:sz w:val="20"/>
          <w:szCs w:val="20"/>
        </w:rPr>
        <w:t>Ourselin</w:t>
      </w:r>
      <w:proofErr w:type="spellEnd"/>
      <w:r w:rsidRPr="00BA19C5">
        <w:rPr>
          <w:rFonts w:ascii="Times New Roman" w:eastAsia="Times New Roman" w:hAnsi="Times New Roman" w:cs="Times New Roman"/>
          <w:sz w:val="20"/>
          <w:szCs w:val="20"/>
        </w:rPr>
        <w:t xml:space="preserve"> S, </w:t>
      </w:r>
      <w:proofErr w:type="spellStart"/>
      <w:r w:rsidRPr="00BA19C5">
        <w:rPr>
          <w:rFonts w:ascii="Times New Roman" w:eastAsia="Times New Roman" w:hAnsi="Times New Roman" w:cs="Times New Roman"/>
          <w:sz w:val="20"/>
          <w:szCs w:val="20"/>
        </w:rPr>
        <w:t>Vercauteren</w:t>
      </w:r>
      <w:proofErr w:type="spellEnd"/>
      <w:r w:rsidRPr="00BA19C5">
        <w:rPr>
          <w:rFonts w:ascii="Times New Roman" w:eastAsia="Times New Roman" w:hAnsi="Times New Roman" w:cs="Times New Roman"/>
          <w:sz w:val="20"/>
          <w:szCs w:val="20"/>
        </w:rPr>
        <w:t xml:space="preserve"> T. Scalable multimodal convolutional networks for brain </w:t>
      </w:r>
      <w:proofErr w:type="spellStart"/>
      <w:r w:rsidRPr="00BA19C5">
        <w:rPr>
          <w:rFonts w:ascii="Times New Roman" w:eastAsia="Times New Roman" w:hAnsi="Times New Roman" w:cs="Times New Roman"/>
          <w:sz w:val="20"/>
          <w:szCs w:val="20"/>
        </w:rPr>
        <w:t>tumour</w:t>
      </w:r>
      <w:proofErr w:type="spellEnd"/>
      <w:r w:rsidRPr="00BA19C5">
        <w:rPr>
          <w:rFonts w:ascii="Times New Roman" w:eastAsia="Times New Roman" w:hAnsi="Times New Roman" w:cs="Times New Roman"/>
          <w:sz w:val="20"/>
          <w:szCs w:val="20"/>
        </w:rPr>
        <w:t xml:space="preserve"> segmentation. In: International Conference on Medical Image Computing and Computer-Assisted Intervention. Springer, Cham; 2017. p. 285-93.</w:t>
      </w:r>
    </w:p>
    <w:p w14:paraId="622288AC"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He K, Zhang X, Ren S, Sun J. Deep residual learning for image recognition. In: Proceedings of the IEEE conference on computer vision and pattern recognition. IEEE; 2016. p. 770-8.</w:t>
      </w:r>
    </w:p>
    <w:p w14:paraId="61E2173B"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highlight w:val="white"/>
        </w:rPr>
        <w:t>He K, Zhang X, Ren S, Sun J. Identity mappings in deep residual networks. In: European conference on computer vision. Springer, Cham; 2016. p. 630-45.</w:t>
      </w:r>
    </w:p>
    <w:p w14:paraId="39A23017"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highlight w:val="white"/>
        </w:rPr>
        <w:t xml:space="preserve">Gibson E, Li W, </w:t>
      </w:r>
      <w:proofErr w:type="spellStart"/>
      <w:r w:rsidRPr="00BA19C5">
        <w:rPr>
          <w:rFonts w:ascii="Times New Roman" w:eastAsia="Times New Roman" w:hAnsi="Times New Roman" w:cs="Times New Roman"/>
          <w:sz w:val="20"/>
          <w:szCs w:val="20"/>
          <w:highlight w:val="white"/>
        </w:rPr>
        <w:t>Sudre</w:t>
      </w:r>
      <w:proofErr w:type="spellEnd"/>
      <w:r w:rsidRPr="00BA19C5">
        <w:rPr>
          <w:rFonts w:ascii="Times New Roman" w:eastAsia="Times New Roman" w:hAnsi="Times New Roman" w:cs="Times New Roman"/>
          <w:sz w:val="20"/>
          <w:szCs w:val="20"/>
          <w:highlight w:val="white"/>
        </w:rPr>
        <w:t xml:space="preserve"> C, </w:t>
      </w:r>
      <w:proofErr w:type="spellStart"/>
      <w:r w:rsidRPr="00BA19C5">
        <w:rPr>
          <w:rFonts w:ascii="Times New Roman" w:eastAsia="Times New Roman" w:hAnsi="Times New Roman" w:cs="Times New Roman"/>
          <w:sz w:val="20"/>
          <w:szCs w:val="20"/>
          <w:highlight w:val="white"/>
        </w:rPr>
        <w:t>Fidon</w:t>
      </w:r>
      <w:proofErr w:type="spellEnd"/>
      <w:r w:rsidRPr="00BA19C5">
        <w:rPr>
          <w:rFonts w:ascii="Times New Roman" w:eastAsia="Times New Roman" w:hAnsi="Times New Roman" w:cs="Times New Roman"/>
          <w:sz w:val="20"/>
          <w:szCs w:val="20"/>
          <w:highlight w:val="white"/>
        </w:rPr>
        <w:t xml:space="preserve"> L, </w:t>
      </w:r>
      <w:proofErr w:type="spellStart"/>
      <w:r w:rsidRPr="00BA19C5">
        <w:rPr>
          <w:rFonts w:ascii="Times New Roman" w:eastAsia="Times New Roman" w:hAnsi="Times New Roman" w:cs="Times New Roman"/>
          <w:sz w:val="20"/>
          <w:szCs w:val="20"/>
          <w:highlight w:val="white"/>
        </w:rPr>
        <w:t>Shakir</w:t>
      </w:r>
      <w:proofErr w:type="spellEnd"/>
      <w:r w:rsidRPr="00BA19C5">
        <w:rPr>
          <w:rFonts w:ascii="Times New Roman" w:eastAsia="Times New Roman" w:hAnsi="Times New Roman" w:cs="Times New Roman"/>
          <w:sz w:val="20"/>
          <w:szCs w:val="20"/>
          <w:highlight w:val="white"/>
        </w:rPr>
        <w:t xml:space="preserve"> DI, Wang G, et al. </w:t>
      </w:r>
      <w:proofErr w:type="spellStart"/>
      <w:r w:rsidRPr="00BA19C5">
        <w:rPr>
          <w:rFonts w:ascii="Times New Roman" w:eastAsia="Times New Roman" w:hAnsi="Times New Roman" w:cs="Times New Roman"/>
          <w:sz w:val="20"/>
          <w:szCs w:val="20"/>
          <w:highlight w:val="white"/>
        </w:rPr>
        <w:t>NiftyNet</w:t>
      </w:r>
      <w:proofErr w:type="spellEnd"/>
      <w:r w:rsidRPr="00BA19C5">
        <w:rPr>
          <w:rFonts w:ascii="Times New Roman" w:eastAsia="Times New Roman" w:hAnsi="Times New Roman" w:cs="Times New Roman"/>
          <w:sz w:val="20"/>
          <w:szCs w:val="20"/>
          <w:highlight w:val="white"/>
        </w:rPr>
        <w:t>: a deep-learning platform for medical imaging. Computer methods and programs in biomedicine. 2018 May 1</w:t>
      </w:r>
      <w:proofErr w:type="gramStart"/>
      <w:r w:rsidRPr="00BA19C5">
        <w:rPr>
          <w:rFonts w:ascii="Times New Roman" w:eastAsia="Times New Roman" w:hAnsi="Times New Roman" w:cs="Times New Roman"/>
          <w:sz w:val="20"/>
          <w:szCs w:val="20"/>
          <w:highlight w:val="white"/>
        </w:rPr>
        <w:t>;158:113</w:t>
      </w:r>
      <w:proofErr w:type="gramEnd"/>
      <w:r w:rsidRPr="00BA19C5">
        <w:rPr>
          <w:rFonts w:ascii="Times New Roman" w:eastAsia="Times New Roman" w:hAnsi="Times New Roman" w:cs="Times New Roman"/>
          <w:sz w:val="20"/>
          <w:szCs w:val="20"/>
          <w:highlight w:val="white"/>
        </w:rPr>
        <w:t xml:space="preserve">-22. </w:t>
      </w:r>
      <w:hyperlink r:id="rId13">
        <w:r w:rsidRPr="00BA19C5">
          <w:rPr>
            <w:rFonts w:ascii="Times New Roman" w:eastAsia="Times New Roman" w:hAnsi="Times New Roman" w:cs="Times New Roman"/>
            <w:sz w:val="20"/>
            <w:szCs w:val="20"/>
            <w:highlight w:val="white"/>
            <w:u w:val="single"/>
          </w:rPr>
          <w:t>https://doi.org/10.1016/j.cmpb.2018.01.025</w:t>
        </w:r>
      </w:hyperlink>
      <w:r w:rsidRPr="00BA19C5">
        <w:rPr>
          <w:rFonts w:ascii="Times New Roman" w:eastAsia="Times New Roman" w:hAnsi="Times New Roman" w:cs="Times New Roman"/>
          <w:sz w:val="20"/>
          <w:szCs w:val="20"/>
          <w:highlight w:val="white"/>
        </w:rPr>
        <w:t xml:space="preserve"> </w:t>
      </w:r>
    </w:p>
    <w:p w14:paraId="1E1BAD49"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Liu H, Nai YH, Chen C, Reilhac A. Deep Learning-Based Estimation of Non-Specific Uptake in Amyloid-PET Images from Structural MRI for Improved Quantification and Diagnosis of Alzheimer's Disease. In: 2020 IEEE 33rd International Symposium on Computer-Based Medical Systems (CBMS). IEEE; 2020. p. 576-81.</w:t>
      </w:r>
    </w:p>
    <w:p w14:paraId="26D39593"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highlight w:val="white"/>
        </w:rPr>
        <w:lastRenderedPageBreak/>
        <w:t xml:space="preserve">Isola P, Zhu JY, Zhou T, </w:t>
      </w:r>
      <w:proofErr w:type="spellStart"/>
      <w:r w:rsidRPr="00BA19C5">
        <w:rPr>
          <w:rFonts w:ascii="Times New Roman" w:eastAsia="Times New Roman" w:hAnsi="Times New Roman" w:cs="Times New Roman"/>
          <w:sz w:val="20"/>
          <w:szCs w:val="20"/>
          <w:highlight w:val="white"/>
        </w:rPr>
        <w:t>Efros</w:t>
      </w:r>
      <w:proofErr w:type="spellEnd"/>
      <w:r w:rsidRPr="00BA19C5">
        <w:rPr>
          <w:rFonts w:ascii="Times New Roman" w:eastAsia="Times New Roman" w:hAnsi="Times New Roman" w:cs="Times New Roman"/>
          <w:sz w:val="20"/>
          <w:szCs w:val="20"/>
          <w:highlight w:val="white"/>
        </w:rPr>
        <w:t xml:space="preserve"> AA. Image-to-image translation with conditional adversarial networks. In: Proceedings of the IEEE conference on computer vision and pattern recognition. IEEE; 2017. p. 1125-34.</w:t>
      </w:r>
    </w:p>
    <w:p w14:paraId="1E1DE9E4"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rPr>
        <w:t>Heusel</w:t>
      </w:r>
      <w:proofErr w:type="spellEnd"/>
      <w:r w:rsidRPr="00BA19C5">
        <w:rPr>
          <w:rFonts w:ascii="Times New Roman" w:eastAsia="Times New Roman" w:hAnsi="Times New Roman" w:cs="Times New Roman"/>
          <w:sz w:val="20"/>
          <w:szCs w:val="20"/>
        </w:rPr>
        <w:t xml:space="preserve"> M, </w:t>
      </w:r>
      <w:proofErr w:type="spellStart"/>
      <w:r w:rsidRPr="00BA19C5">
        <w:rPr>
          <w:rFonts w:ascii="Times New Roman" w:eastAsia="Times New Roman" w:hAnsi="Times New Roman" w:cs="Times New Roman"/>
          <w:sz w:val="20"/>
          <w:szCs w:val="20"/>
        </w:rPr>
        <w:t>Ramsauer</w:t>
      </w:r>
      <w:proofErr w:type="spellEnd"/>
      <w:r w:rsidRPr="00BA19C5">
        <w:rPr>
          <w:rFonts w:ascii="Times New Roman" w:eastAsia="Times New Roman" w:hAnsi="Times New Roman" w:cs="Times New Roman"/>
          <w:sz w:val="20"/>
          <w:szCs w:val="20"/>
        </w:rPr>
        <w:t xml:space="preserve"> H, </w:t>
      </w:r>
      <w:proofErr w:type="spellStart"/>
      <w:r w:rsidRPr="00BA19C5">
        <w:rPr>
          <w:rFonts w:ascii="Times New Roman" w:eastAsia="Times New Roman" w:hAnsi="Times New Roman" w:cs="Times New Roman"/>
          <w:sz w:val="20"/>
          <w:szCs w:val="20"/>
        </w:rPr>
        <w:t>Unterthiner</w:t>
      </w:r>
      <w:proofErr w:type="spellEnd"/>
      <w:r w:rsidRPr="00BA19C5">
        <w:rPr>
          <w:rFonts w:ascii="Times New Roman" w:eastAsia="Times New Roman" w:hAnsi="Times New Roman" w:cs="Times New Roman"/>
          <w:sz w:val="20"/>
          <w:szCs w:val="20"/>
        </w:rPr>
        <w:t xml:space="preserve"> T, Nessler B, </w:t>
      </w:r>
      <w:proofErr w:type="spellStart"/>
      <w:r w:rsidRPr="00BA19C5">
        <w:rPr>
          <w:rFonts w:ascii="Times New Roman" w:eastAsia="Times New Roman" w:hAnsi="Times New Roman" w:cs="Times New Roman"/>
          <w:sz w:val="20"/>
          <w:szCs w:val="20"/>
        </w:rPr>
        <w:t>Hochreiter</w:t>
      </w:r>
      <w:proofErr w:type="spellEnd"/>
      <w:r w:rsidRPr="00BA19C5">
        <w:rPr>
          <w:rFonts w:ascii="Times New Roman" w:eastAsia="Times New Roman" w:hAnsi="Times New Roman" w:cs="Times New Roman"/>
          <w:sz w:val="20"/>
          <w:szCs w:val="20"/>
        </w:rPr>
        <w:t xml:space="preserve"> S. </w:t>
      </w:r>
      <w:proofErr w:type="spellStart"/>
      <w:r w:rsidRPr="00BA19C5">
        <w:rPr>
          <w:rFonts w:ascii="Times New Roman" w:eastAsia="Times New Roman" w:hAnsi="Times New Roman" w:cs="Times New Roman"/>
          <w:sz w:val="20"/>
          <w:szCs w:val="20"/>
        </w:rPr>
        <w:t>Gans</w:t>
      </w:r>
      <w:proofErr w:type="spellEnd"/>
      <w:r w:rsidRPr="00BA19C5">
        <w:rPr>
          <w:rFonts w:ascii="Times New Roman" w:eastAsia="Times New Roman" w:hAnsi="Times New Roman" w:cs="Times New Roman"/>
          <w:sz w:val="20"/>
          <w:szCs w:val="20"/>
        </w:rPr>
        <w:t xml:space="preserve"> trained by a two time-scale update rule converge to a local </w:t>
      </w:r>
      <w:proofErr w:type="spellStart"/>
      <w:r w:rsidRPr="00BA19C5">
        <w:rPr>
          <w:rFonts w:ascii="Times New Roman" w:eastAsia="Times New Roman" w:hAnsi="Times New Roman" w:cs="Times New Roman"/>
          <w:sz w:val="20"/>
          <w:szCs w:val="20"/>
        </w:rPr>
        <w:t>nash</w:t>
      </w:r>
      <w:proofErr w:type="spellEnd"/>
      <w:r w:rsidRPr="00BA19C5">
        <w:rPr>
          <w:rFonts w:ascii="Times New Roman" w:eastAsia="Times New Roman" w:hAnsi="Times New Roman" w:cs="Times New Roman"/>
          <w:sz w:val="20"/>
          <w:szCs w:val="20"/>
        </w:rPr>
        <w:t xml:space="preserve"> equilibrium. In: Proceedings of the 31st International Conference on Neural Information Processing Systems. Curran Associates Inc.; 2017. p. 6626-37.</w:t>
      </w:r>
    </w:p>
    <w:p w14:paraId="7CA2A039" w14:textId="77777777" w:rsidR="005206A0" w:rsidRPr="00BA19C5" w:rsidRDefault="003F7FD2">
      <w:pPr>
        <w:pStyle w:val="ListParagraph"/>
        <w:numPr>
          <w:ilvl w:val="0"/>
          <w:numId w:val="1"/>
        </w:numPr>
        <w:spacing w:after="240"/>
        <w:ind w:left="426" w:hanging="426"/>
        <w:jc w:val="both"/>
        <w:rPr>
          <w:rFonts w:ascii="Times New Roman" w:eastAsia="Times New Roman" w:hAnsi="Times New Roman" w:cs="Times New Roman"/>
          <w:sz w:val="20"/>
          <w:szCs w:val="20"/>
        </w:rPr>
      </w:pPr>
      <w:proofErr w:type="spellStart"/>
      <w:r w:rsidRPr="00BA19C5">
        <w:rPr>
          <w:rFonts w:ascii="Times New Roman" w:eastAsia="Times New Roman" w:hAnsi="Times New Roman" w:cs="Times New Roman"/>
          <w:sz w:val="20"/>
          <w:szCs w:val="20"/>
        </w:rPr>
        <w:t>Miyato</w:t>
      </w:r>
      <w:proofErr w:type="spellEnd"/>
      <w:r w:rsidRPr="00BA19C5">
        <w:rPr>
          <w:rFonts w:ascii="Times New Roman" w:eastAsia="Times New Roman" w:hAnsi="Times New Roman" w:cs="Times New Roman"/>
          <w:sz w:val="20"/>
          <w:szCs w:val="20"/>
        </w:rPr>
        <w:t xml:space="preserve"> T, </w:t>
      </w:r>
      <w:proofErr w:type="spellStart"/>
      <w:r w:rsidRPr="00BA19C5">
        <w:rPr>
          <w:rFonts w:ascii="Times New Roman" w:eastAsia="Times New Roman" w:hAnsi="Times New Roman" w:cs="Times New Roman"/>
          <w:sz w:val="20"/>
          <w:szCs w:val="20"/>
        </w:rPr>
        <w:t>Kataoka</w:t>
      </w:r>
      <w:proofErr w:type="spellEnd"/>
      <w:r w:rsidRPr="00BA19C5">
        <w:rPr>
          <w:rFonts w:ascii="Times New Roman" w:eastAsia="Times New Roman" w:hAnsi="Times New Roman" w:cs="Times New Roman"/>
          <w:sz w:val="20"/>
          <w:szCs w:val="20"/>
        </w:rPr>
        <w:t xml:space="preserve"> T, Koyama M, Yoshida Y. Spectral normalization for generative adversarial networks. </w:t>
      </w:r>
      <w:proofErr w:type="spellStart"/>
      <w:r w:rsidRPr="00BA19C5">
        <w:rPr>
          <w:rFonts w:ascii="Times New Roman" w:eastAsia="Times New Roman" w:hAnsi="Times New Roman" w:cs="Times New Roman"/>
          <w:sz w:val="20"/>
          <w:szCs w:val="20"/>
        </w:rPr>
        <w:t>arXiv</w:t>
      </w:r>
      <w:proofErr w:type="spellEnd"/>
      <w:r w:rsidRPr="00BA19C5">
        <w:rPr>
          <w:rFonts w:ascii="Times New Roman" w:eastAsia="Times New Roman" w:hAnsi="Times New Roman" w:cs="Times New Roman"/>
          <w:sz w:val="20"/>
          <w:szCs w:val="20"/>
        </w:rPr>
        <w:t xml:space="preserve"> preprint arXiv:1802.05957. 2018 Feb 16.</w:t>
      </w:r>
    </w:p>
    <w:p w14:paraId="05E9A718" w14:textId="77777777" w:rsidR="005206A0" w:rsidRPr="00BA19C5" w:rsidRDefault="003F7FD2">
      <w:pPr>
        <w:spacing w:after="160" w:line="259" w:lineRule="auto"/>
        <w:rPr>
          <w:rFonts w:ascii="Times New Roman" w:eastAsia="Times New Roman" w:hAnsi="Times New Roman" w:cs="Times New Roman"/>
          <w:b/>
          <w:sz w:val="20"/>
          <w:szCs w:val="20"/>
        </w:rPr>
      </w:pPr>
      <w:r w:rsidRPr="00BA19C5">
        <w:br w:type="page"/>
      </w:r>
    </w:p>
    <w:p w14:paraId="6FBBE4E9" w14:textId="77777777" w:rsidR="005206A0" w:rsidRPr="00BA19C5" w:rsidRDefault="003F7FD2">
      <w:pPr>
        <w:spacing w:after="8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lastRenderedPageBreak/>
        <w:t>Supplementary Material 2</w:t>
      </w:r>
    </w:p>
    <w:p w14:paraId="1649AA65" w14:textId="77777777" w:rsidR="005206A0" w:rsidRPr="00BA19C5" w:rsidRDefault="003F7FD2">
      <w:pPr>
        <w:spacing w:after="80"/>
        <w:jc w:val="both"/>
        <w:rPr>
          <w:rFonts w:ascii="Times New Roman" w:eastAsia="Times New Roman" w:hAnsi="Times New Roman" w:cs="Times New Roman"/>
          <w:i/>
          <w:sz w:val="20"/>
          <w:szCs w:val="20"/>
          <w:vertAlign w:val="subscript"/>
        </w:rPr>
      </w:pPr>
      <w:r w:rsidRPr="00BA19C5">
        <w:rPr>
          <w:rFonts w:ascii="Times New Roman" w:eastAsia="Times New Roman" w:hAnsi="Times New Roman" w:cs="Times New Roman"/>
          <w:i/>
          <w:sz w:val="20"/>
          <w:szCs w:val="20"/>
        </w:rPr>
        <w:t>Derivation of SUVr and AB</w:t>
      </w:r>
      <w:r w:rsidRPr="00BA19C5">
        <w:rPr>
          <w:rFonts w:ascii="Times New Roman" w:eastAsia="Times New Roman" w:hAnsi="Times New Roman" w:cs="Times New Roman"/>
          <w:i/>
          <w:sz w:val="20"/>
          <w:szCs w:val="20"/>
          <w:vertAlign w:val="subscript"/>
        </w:rPr>
        <w:t>L</w:t>
      </w:r>
    </w:p>
    <w:p w14:paraId="231A9FF6" w14:textId="77777777" w:rsidR="005206A0" w:rsidRPr="00BA19C5" w:rsidRDefault="003F7FD2">
      <w:pPr>
        <w:spacing w:after="0"/>
        <w:jc w:val="both"/>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SUVr volumes were generated in the MRI native space using the cerebellar GM as the reference region. Global SUVr values were then measured using a cortical target encompassing 6 predefined Aβ-specific regions (orbitofrontal, frontal, posterior cingulate, parietal, temporal, occipital). Aβ</w:t>
      </w:r>
      <w:r w:rsidRPr="00BA19C5">
        <w:rPr>
          <w:rFonts w:ascii="Times New Roman" w:eastAsia="Times New Roman" w:hAnsi="Times New Roman" w:cs="Times New Roman"/>
          <w:sz w:val="20"/>
          <w:szCs w:val="20"/>
          <w:vertAlign w:val="subscript"/>
        </w:rPr>
        <w:t xml:space="preserve">L </w:t>
      </w:r>
      <w:r w:rsidRPr="00BA19C5">
        <w:rPr>
          <w:rFonts w:ascii="Times New Roman" w:eastAsia="Times New Roman" w:hAnsi="Times New Roman" w:cs="Times New Roman"/>
          <w:sz w:val="20"/>
          <w:szCs w:val="20"/>
        </w:rPr>
        <w:t xml:space="preserve">values were obtained after spatial </w:t>
      </w:r>
      <w:proofErr w:type="spellStart"/>
      <w:r w:rsidRPr="00BA19C5">
        <w:rPr>
          <w:rFonts w:ascii="Times New Roman" w:eastAsia="Times New Roman" w:hAnsi="Times New Roman" w:cs="Times New Roman"/>
          <w:sz w:val="20"/>
          <w:szCs w:val="20"/>
        </w:rPr>
        <w:t>normalisation</w:t>
      </w:r>
      <w:proofErr w:type="spellEnd"/>
      <w:r w:rsidRPr="00BA19C5">
        <w:rPr>
          <w:rFonts w:ascii="Times New Roman" w:eastAsia="Times New Roman" w:hAnsi="Times New Roman" w:cs="Times New Roman"/>
          <w:sz w:val="20"/>
          <w:szCs w:val="20"/>
        </w:rPr>
        <w:t xml:space="preserve"> of the Aβ-PET images into the MNI-space. SUVr volumes were first generated using a generic reference ROI for the cerebellar GM</w:t>
      </w:r>
      <w:r w:rsidRPr="00BA19C5">
        <w:rPr>
          <w:rFonts w:ascii="Times New Roman" w:eastAsia="Times New Roman" w:hAnsi="Times New Roman" w:cs="Times New Roman"/>
          <w:sz w:val="20"/>
          <w:szCs w:val="20"/>
          <w:highlight w:val="white"/>
        </w:rPr>
        <w:t xml:space="preserve">. </w:t>
      </w:r>
      <w:r w:rsidRPr="00BA19C5">
        <w:rPr>
          <w:rFonts w:ascii="Times New Roman" w:eastAsia="Times New Roman" w:hAnsi="Times New Roman" w:cs="Times New Roman"/>
          <w:sz w:val="20"/>
          <w:szCs w:val="20"/>
        </w:rPr>
        <w:t>The global Aβ load (Aβ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 was then derived from the modeling of the SUVr volume as a linear combination of two template images describing the nonspecific binding component (NS) and the carrying capacity or the maximum possible concentration of Aβ (K) [1]:</w:t>
      </w:r>
    </w:p>
    <w:tbl>
      <w:tblPr>
        <w:tblW w:w="9135" w:type="dxa"/>
        <w:tblCellMar>
          <w:top w:w="100" w:type="dxa"/>
          <w:left w:w="100" w:type="dxa"/>
          <w:bottom w:w="100" w:type="dxa"/>
          <w:right w:w="100" w:type="dxa"/>
        </w:tblCellMar>
        <w:tblLook w:val="0600" w:firstRow="0" w:lastRow="0" w:firstColumn="0" w:lastColumn="0" w:noHBand="1" w:noVBand="1"/>
      </w:tblPr>
      <w:tblGrid>
        <w:gridCol w:w="8386"/>
        <w:gridCol w:w="749"/>
      </w:tblGrid>
      <w:tr w:rsidR="00BA19C5" w:rsidRPr="00BA19C5" w14:paraId="13056188" w14:textId="77777777">
        <w:trPr>
          <w:trHeight w:val="293"/>
        </w:trPr>
        <w:tc>
          <w:tcPr>
            <w:tcW w:w="8385" w:type="dxa"/>
          </w:tcPr>
          <w:p w14:paraId="4F776DD8" w14:textId="77777777" w:rsidR="005206A0" w:rsidRPr="00BA19C5" w:rsidRDefault="003F7FD2">
            <w:pPr>
              <w:spacing w:after="0"/>
              <w:jc w:val="center"/>
              <w:rPr>
                <w:rFonts w:ascii="Times New Roman" w:eastAsia="Times New Roman" w:hAnsi="Times New Roman" w:cs="Times New Roman"/>
                <w:sz w:val="20"/>
                <w:szCs w:val="20"/>
              </w:rPr>
            </w:pPr>
            <m:oMathPara>
              <m:oMath>
                <m:r>
                  <w:rPr>
                    <w:rFonts w:ascii="Cambria Math" w:hAnsi="Cambria Math"/>
                  </w:rPr>
                  <m:t>SUVr=ns×NS+</m:t>
                </m:r>
                <m:sSub>
                  <m:sSubPr>
                    <m:ctrlPr>
                      <w:rPr>
                        <w:rFonts w:ascii="Cambria Math" w:hAnsi="Cambria Math"/>
                      </w:rPr>
                    </m:ctrlPr>
                  </m:sSubPr>
                  <m:e>
                    <m:r>
                      <w:rPr>
                        <w:rFonts w:ascii="Cambria Math" w:hAnsi="Cambria Math"/>
                      </w:rPr>
                      <m:t>Aβ</m:t>
                    </m:r>
                  </m:e>
                  <m:sub>
                    <m:r>
                      <w:rPr>
                        <w:rFonts w:ascii="Cambria Math" w:hAnsi="Cambria Math"/>
                      </w:rPr>
                      <m:t>L</m:t>
                    </m:r>
                  </m:sub>
                </m:sSub>
                <m:r>
                  <w:rPr>
                    <w:rFonts w:ascii="Cambria Math" w:hAnsi="Cambria Math"/>
                  </w:rPr>
                  <m:t>×K</m:t>
                </m:r>
              </m:oMath>
            </m:oMathPara>
          </w:p>
        </w:tc>
        <w:tc>
          <w:tcPr>
            <w:tcW w:w="749" w:type="dxa"/>
          </w:tcPr>
          <w:p w14:paraId="33BDCA44" w14:textId="77777777" w:rsidR="005206A0" w:rsidRPr="00BA19C5" w:rsidRDefault="003F7FD2">
            <w:pPr>
              <w:spacing w:after="0"/>
              <w:jc w:val="right"/>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w:t>
            </w:r>
          </w:p>
        </w:tc>
      </w:tr>
    </w:tbl>
    <w:p w14:paraId="507B552E" w14:textId="77777777" w:rsidR="005206A0" w:rsidRPr="00BA19C5" w:rsidRDefault="003F7FD2">
      <w:pPr>
        <w:spacing w:after="80"/>
        <w:jc w:val="both"/>
        <w:rPr>
          <w:rFonts w:ascii="Times New Roman" w:eastAsia="Times New Roman" w:hAnsi="Times New Roman" w:cs="Times New Roman"/>
          <w:b/>
          <w:sz w:val="20"/>
          <w:szCs w:val="20"/>
          <w:highlight w:val="white"/>
        </w:rPr>
      </w:pPr>
      <w:r w:rsidRPr="00BA19C5">
        <w:rPr>
          <w:rFonts w:ascii="Times New Roman" w:eastAsia="Times New Roman" w:hAnsi="Times New Roman" w:cs="Times New Roman"/>
          <w:b/>
          <w:sz w:val="20"/>
          <w:szCs w:val="20"/>
          <w:highlight w:val="white"/>
        </w:rPr>
        <w:t>References</w:t>
      </w:r>
    </w:p>
    <w:p w14:paraId="267F9716" w14:textId="77777777" w:rsidR="005206A0" w:rsidRPr="00BA19C5" w:rsidRDefault="003F7FD2">
      <w:pPr>
        <w:pStyle w:val="ListParagraph"/>
        <w:numPr>
          <w:ilvl w:val="0"/>
          <w:numId w:val="2"/>
        </w:numPr>
        <w:spacing w:after="80"/>
        <w:ind w:left="426" w:hanging="426"/>
        <w:jc w:val="both"/>
        <w:rPr>
          <w:rFonts w:ascii="Times New Roman" w:eastAsia="Times New Roman" w:hAnsi="Times New Roman" w:cs="Times New Roman"/>
          <w:sz w:val="20"/>
          <w:szCs w:val="20"/>
          <w:highlight w:val="white"/>
        </w:rPr>
      </w:pPr>
      <w:r w:rsidRPr="00BA19C5">
        <w:rPr>
          <w:rFonts w:ascii="Times New Roman" w:eastAsia="Times New Roman" w:hAnsi="Times New Roman" w:cs="Times New Roman"/>
          <w:sz w:val="20"/>
          <w:szCs w:val="20"/>
        </w:rPr>
        <w:t xml:space="preserve">Tanaka T, Stephenson MC, Nai YH, Khor D, </w:t>
      </w:r>
      <w:proofErr w:type="spellStart"/>
      <w:r w:rsidRPr="00BA19C5">
        <w:rPr>
          <w:rFonts w:ascii="Times New Roman" w:eastAsia="Times New Roman" w:hAnsi="Times New Roman" w:cs="Times New Roman"/>
          <w:sz w:val="20"/>
          <w:szCs w:val="20"/>
        </w:rPr>
        <w:t>Saridin</w:t>
      </w:r>
      <w:proofErr w:type="spellEnd"/>
      <w:r w:rsidRPr="00BA19C5">
        <w:rPr>
          <w:rFonts w:ascii="Times New Roman" w:eastAsia="Times New Roman" w:hAnsi="Times New Roman" w:cs="Times New Roman"/>
          <w:sz w:val="20"/>
          <w:szCs w:val="20"/>
        </w:rPr>
        <w:t xml:space="preserve"> FN, </w:t>
      </w:r>
      <w:proofErr w:type="spellStart"/>
      <w:r w:rsidRPr="00BA19C5">
        <w:rPr>
          <w:rFonts w:ascii="Times New Roman" w:eastAsia="Times New Roman" w:hAnsi="Times New Roman" w:cs="Times New Roman"/>
          <w:sz w:val="20"/>
          <w:szCs w:val="20"/>
        </w:rPr>
        <w:t>Hilal</w:t>
      </w:r>
      <w:proofErr w:type="spellEnd"/>
      <w:r w:rsidRPr="00BA19C5">
        <w:rPr>
          <w:rFonts w:ascii="Times New Roman" w:eastAsia="Times New Roman" w:hAnsi="Times New Roman" w:cs="Times New Roman"/>
          <w:sz w:val="20"/>
          <w:szCs w:val="20"/>
        </w:rPr>
        <w:t xml:space="preserve"> S, et al. Improved quantification of amyloid burden and associated biomarker cut-off points: results from the first amyloid Singaporean cohort with overlapping cerebrovascular disease. </w:t>
      </w:r>
      <w:proofErr w:type="spellStart"/>
      <w:r w:rsidRPr="00BA19C5">
        <w:rPr>
          <w:rFonts w:ascii="Times New Roman" w:eastAsia="Times New Roman" w:hAnsi="Times New Roman" w:cs="Times New Roman"/>
          <w:sz w:val="20"/>
          <w:szCs w:val="20"/>
        </w:rPr>
        <w:t>Eur</w:t>
      </w:r>
      <w:proofErr w:type="spellEnd"/>
      <w:r w:rsidRPr="00BA19C5">
        <w:rPr>
          <w:rFonts w:ascii="Times New Roman" w:eastAsia="Times New Roman" w:hAnsi="Times New Roman" w:cs="Times New Roman"/>
          <w:sz w:val="20"/>
          <w:szCs w:val="20"/>
        </w:rPr>
        <w:t xml:space="preserve"> J </w:t>
      </w:r>
      <w:proofErr w:type="spellStart"/>
      <w:r w:rsidRPr="00BA19C5">
        <w:rPr>
          <w:rFonts w:ascii="Times New Roman" w:eastAsia="Times New Roman" w:hAnsi="Times New Roman" w:cs="Times New Roman"/>
          <w:sz w:val="20"/>
          <w:szCs w:val="20"/>
        </w:rPr>
        <w:t>Nucl</w:t>
      </w:r>
      <w:proofErr w:type="spellEnd"/>
      <w:r w:rsidRPr="00BA19C5">
        <w:rPr>
          <w:rFonts w:ascii="Times New Roman" w:eastAsia="Times New Roman" w:hAnsi="Times New Roman" w:cs="Times New Roman"/>
          <w:sz w:val="20"/>
          <w:szCs w:val="20"/>
        </w:rPr>
        <w:t xml:space="preserve"> Med </w:t>
      </w:r>
      <w:proofErr w:type="spellStart"/>
      <w:r w:rsidRPr="00BA19C5">
        <w:rPr>
          <w:rFonts w:ascii="Times New Roman" w:eastAsia="Times New Roman" w:hAnsi="Times New Roman" w:cs="Times New Roman"/>
          <w:sz w:val="20"/>
          <w:szCs w:val="20"/>
        </w:rPr>
        <w:t>Mol</w:t>
      </w:r>
      <w:proofErr w:type="spellEnd"/>
      <w:r w:rsidRPr="00BA19C5">
        <w:rPr>
          <w:rFonts w:ascii="Times New Roman" w:eastAsia="Times New Roman" w:hAnsi="Times New Roman" w:cs="Times New Roman"/>
          <w:sz w:val="20"/>
          <w:szCs w:val="20"/>
        </w:rPr>
        <w:t xml:space="preserve"> Imaging. 2020 Feb 1;47(2):319–31.</w:t>
      </w:r>
    </w:p>
    <w:p w14:paraId="07D3E483" w14:textId="77777777" w:rsidR="005206A0" w:rsidRPr="00BA19C5" w:rsidRDefault="005206A0">
      <w:pPr>
        <w:spacing w:after="160" w:line="259" w:lineRule="auto"/>
        <w:rPr>
          <w:rFonts w:ascii="Times New Roman" w:eastAsia="Times New Roman" w:hAnsi="Times New Roman" w:cs="Times New Roman"/>
          <w:sz w:val="20"/>
          <w:szCs w:val="20"/>
          <w:highlight w:val="white"/>
        </w:rPr>
      </w:pPr>
    </w:p>
    <w:p w14:paraId="66F22DEF" w14:textId="77777777" w:rsidR="005206A0" w:rsidRPr="00BA19C5" w:rsidRDefault="003F7FD2">
      <w:pPr>
        <w:spacing w:after="160" w:line="259" w:lineRule="auto"/>
        <w:rPr>
          <w:rFonts w:ascii="Times New Roman" w:eastAsia="Times New Roman" w:hAnsi="Times New Roman" w:cs="Times New Roman"/>
          <w:sz w:val="20"/>
          <w:szCs w:val="20"/>
          <w:highlight w:val="white"/>
        </w:rPr>
      </w:pPr>
      <w:r w:rsidRPr="00BA19C5">
        <w:br w:type="page"/>
      </w:r>
    </w:p>
    <w:p w14:paraId="73D91A70" w14:textId="77777777" w:rsidR="005206A0" w:rsidRPr="00BA19C5" w:rsidRDefault="003F7FD2">
      <w:pPr>
        <w:spacing w:after="0"/>
        <w:jc w:val="both"/>
        <w:rPr>
          <w:rFonts w:ascii="Times New Roman" w:eastAsia="Times New Roman" w:hAnsi="Times New Roman" w:cs="Times New Roman"/>
          <w:b/>
          <w:sz w:val="20"/>
          <w:szCs w:val="20"/>
        </w:rPr>
      </w:pPr>
      <w:r w:rsidRPr="00BA19C5">
        <w:rPr>
          <w:noProof/>
          <w:lang w:val="en-PH" w:eastAsia="en-PH"/>
        </w:rPr>
        <w:lastRenderedPageBreak/>
        <w:drawing>
          <wp:inline distT="0" distB="0" distL="0" distR="0" wp14:anchorId="45550896" wp14:editId="6A373C07">
            <wp:extent cx="5939790" cy="756221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4"/>
                    <a:stretch>
                      <a:fillRect/>
                    </a:stretch>
                  </pic:blipFill>
                  <pic:spPr bwMode="auto">
                    <a:xfrm>
                      <a:off x="0" y="0"/>
                      <a:ext cx="5939790" cy="7562215"/>
                    </a:xfrm>
                    <a:prstGeom prst="rect">
                      <a:avLst/>
                    </a:prstGeom>
                  </pic:spPr>
                </pic:pic>
              </a:graphicData>
            </a:graphic>
          </wp:inline>
        </w:drawing>
      </w:r>
    </w:p>
    <w:p w14:paraId="6AD83B1D" w14:textId="77777777" w:rsidR="005206A0" w:rsidRPr="00BA19C5" w:rsidRDefault="003F7FD2">
      <w:pPr>
        <w:spacing w:after="0"/>
        <w:jc w:val="both"/>
        <w:rPr>
          <w:rFonts w:ascii="Times New Roman" w:eastAsia="Times New Roman" w:hAnsi="Times New Roman" w:cs="Times New Roman"/>
          <w:b/>
          <w:sz w:val="20"/>
          <w:szCs w:val="20"/>
        </w:rPr>
      </w:pPr>
      <w:r w:rsidRPr="00BA19C5">
        <w:rPr>
          <w:rFonts w:ascii="Times New Roman" w:eastAsia="Times New Roman" w:hAnsi="Times New Roman" w:cs="Times New Roman"/>
          <w:b/>
          <w:sz w:val="20"/>
          <w:szCs w:val="20"/>
        </w:rPr>
        <w:t xml:space="preserve">Supplementary Fig. 2: </w:t>
      </w:r>
      <w:r w:rsidRPr="00BA19C5">
        <w:rPr>
          <w:rFonts w:ascii="Times New Roman" w:eastAsia="Times New Roman" w:hAnsi="Times New Roman" w:cs="Times New Roman"/>
          <w:sz w:val="20"/>
          <w:szCs w:val="20"/>
        </w:rPr>
        <w:t xml:space="preserve">Histograms of ground truth image (GT, green) versus ScaleNet (SN, pink) and cGAN (purple) estimated images generated on three test subjects: (a) with stroke, (b) with white matter </w:t>
      </w:r>
      <w:proofErr w:type="spellStart"/>
      <w:r w:rsidRPr="00BA19C5">
        <w:rPr>
          <w:rFonts w:ascii="Times New Roman" w:eastAsia="Times New Roman" w:hAnsi="Times New Roman" w:cs="Times New Roman"/>
          <w:sz w:val="20"/>
          <w:szCs w:val="20"/>
        </w:rPr>
        <w:t>hyperintensity</w:t>
      </w:r>
      <w:proofErr w:type="spellEnd"/>
      <w:r w:rsidRPr="00BA19C5">
        <w:rPr>
          <w:rFonts w:ascii="Times New Roman" w:eastAsia="Times New Roman" w:hAnsi="Times New Roman" w:cs="Times New Roman"/>
          <w:sz w:val="20"/>
          <w:szCs w:val="20"/>
        </w:rPr>
        <w:t xml:space="preserve"> and (c) normal.</w:t>
      </w:r>
    </w:p>
    <w:p w14:paraId="0460AE44" w14:textId="77777777" w:rsidR="005206A0" w:rsidRPr="00BA19C5" w:rsidRDefault="005206A0">
      <w:pPr>
        <w:spacing w:line="240" w:lineRule="auto"/>
        <w:rPr>
          <w:rFonts w:ascii="Times New Roman" w:eastAsia="Times New Roman" w:hAnsi="Times New Roman" w:cs="Times New Roman"/>
          <w:sz w:val="20"/>
          <w:szCs w:val="20"/>
        </w:rPr>
      </w:pPr>
    </w:p>
    <w:p w14:paraId="0C0A1B62" w14:textId="77777777" w:rsidR="005206A0" w:rsidRPr="00BA19C5" w:rsidRDefault="003F7FD2">
      <w:pPr>
        <w:spacing w:line="240" w:lineRule="auto"/>
        <w:rPr>
          <w:rFonts w:ascii="Times New Roman" w:eastAsia="Times New Roman" w:hAnsi="Times New Roman" w:cs="Times New Roman"/>
          <w:sz w:val="20"/>
          <w:szCs w:val="20"/>
        </w:rPr>
      </w:pPr>
      <w:r w:rsidRPr="00BA19C5">
        <w:rPr>
          <w:noProof/>
          <w:lang w:val="en-PH" w:eastAsia="en-PH"/>
        </w:rPr>
        <w:drawing>
          <wp:inline distT="0" distB="0" distL="0" distR="0" wp14:anchorId="6406DB11" wp14:editId="760F050C">
            <wp:extent cx="5988050" cy="3759200"/>
            <wp:effectExtent l="0" t="0" r="0" b="0"/>
            <wp:docPr id="3"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pic:cNvPicPr>
                      <a:picLocks noChangeAspect="1" noChangeArrowheads="1"/>
                    </pic:cNvPicPr>
                  </pic:nvPicPr>
                  <pic:blipFill>
                    <a:blip r:embed="rId15"/>
                    <a:stretch>
                      <a:fillRect/>
                    </a:stretch>
                  </pic:blipFill>
                  <pic:spPr bwMode="auto">
                    <a:xfrm>
                      <a:off x="0" y="0"/>
                      <a:ext cx="5988050" cy="3759200"/>
                    </a:xfrm>
                    <a:prstGeom prst="rect">
                      <a:avLst/>
                    </a:prstGeom>
                  </pic:spPr>
                </pic:pic>
              </a:graphicData>
            </a:graphic>
          </wp:inline>
        </w:drawing>
      </w:r>
    </w:p>
    <w:p w14:paraId="7AC9264F" w14:textId="77777777" w:rsidR="005206A0" w:rsidRPr="00BA19C5" w:rsidRDefault="003F7FD2">
      <w:pPr>
        <w:spacing w:line="240" w:lineRule="auto"/>
        <w:jc w:val="both"/>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Supplementary Fig. 3</w:t>
      </w:r>
      <w:r w:rsidRPr="00BA19C5">
        <w:rPr>
          <w:rFonts w:ascii="Times New Roman" w:eastAsia="Times New Roman" w:hAnsi="Times New Roman" w:cs="Times New Roman"/>
          <w:sz w:val="20"/>
          <w:szCs w:val="20"/>
        </w:rPr>
        <w:t>: Association (Spearman’s ρ) and confidence (p-values) of 4 tested PET biomarkers of the brain Aβ burden with cognition and neurodegeneration using the subset of subjects with CeVD (n=81). The novel biomarkers SAβ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(cGAN) and SAβ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 xml:space="preserve"> (SN) can be compared with the standard approach using SUVr measured in MRI-space, or with 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 xml:space="preserve">, the previously proposed Aβ load computed in MNI-space using generic NS and specific templates. </w:t>
      </w:r>
    </w:p>
    <w:p w14:paraId="11CFAF3F" w14:textId="77777777" w:rsidR="005206A0" w:rsidRPr="00BA19C5" w:rsidRDefault="005206A0">
      <w:pPr>
        <w:spacing w:line="240" w:lineRule="auto"/>
        <w:jc w:val="both"/>
        <w:rPr>
          <w:rFonts w:ascii="Times New Roman" w:eastAsia="Times New Roman" w:hAnsi="Times New Roman" w:cs="Times New Roman"/>
          <w:sz w:val="20"/>
          <w:szCs w:val="20"/>
        </w:rPr>
      </w:pPr>
    </w:p>
    <w:p w14:paraId="6782B1D1" w14:textId="77777777" w:rsidR="005206A0" w:rsidRPr="00BA19C5" w:rsidRDefault="005206A0">
      <w:pPr>
        <w:spacing w:line="240" w:lineRule="auto"/>
        <w:rPr>
          <w:rFonts w:ascii="Times New Roman" w:eastAsia="Times New Roman" w:hAnsi="Times New Roman" w:cs="Times New Roman"/>
          <w:sz w:val="20"/>
          <w:szCs w:val="20"/>
        </w:rPr>
      </w:pPr>
    </w:p>
    <w:p w14:paraId="1BEC8608" w14:textId="77777777" w:rsidR="005206A0" w:rsidRPr="00BA19C5" w:rsidRDefault="005206A0">
      <w:pPr>
        <w:spacing w:line="240" w:lineRule="auto"/>
        <w:rPr>
          <w:rFonts w:ascii="Times New Roman" w:eastAsia="Times New Roman" w:hAnsi="Times New Roman" w:cs="Times New Roman"/>
          <w:sz w:val="20"/>
          <w:szCs w:val="20"/>
        </w:rPr>
      </w:pPr>
    </w:p>
    <w:p w14:paraId="5BDE91FC" w14:textId="77777777" w:rsidR="005206A0" w:rsidRPr="00BA19C5" w:rsidRDefault="003F7FD2">
      <w:pPr>
        <w:spacing w:line="240" w:lineRule="auto"/>
        <w:rPr>
          <w:rFonts w:ascii="Times New Roman" w:eastAsia="Times New Roman" w:hAnsi="Times New Roman" w:cs="Times New Roman"/>
          <w:sz w:val="20"/>
          <w:szCs w:val="20"/>
        </w:rPr>
      </w:pPr>
      <w:r w:rsidRPr="00BA19C5">
        <w:br w:type="page"/>
      </w:r>
    </w:p>
    <w:p w14:paraId="0493496A" w14:textId="77777777" w:rsidR="005206A0" w:rsidRPr="00BA19C5" w:rsidRDefault="005206A0">
      <w:pPr>
        <w:spacing w:line="240" w:lineRule="auto"/>
        <w:rPr>
          <w:rFonts w:ascii="Times New Roman" w:eastAsia="Times New Roman" w:hAnsi="Times New Roman" w:cs="Times New Roman"/>
          <w:sz w:val="20"/>
          <w:szCs w:val="20"/>
        </w:rPr>
      </w:pPr>
    </w:p>
    <w:p w14:paraId="21742B52" w14:textId="7476DA4F" w:rsidR="005206A0" w:rsidRPr="00BA19C5" w:rsidRDefault="003F7FD2">
      <w:pPr>
        <w:spacing w:line="240" w:lineRule="auto"/>
        <w:jc w:val="both"/>
        <w:rPr>
          <w:rFonts w:ascii="Times New Roman" w:eastAsia="Times New Roman" w:hAnsi="Times New Roman" w:cs="Times New Roman"/>
          <w:sz w:val="20"/>
          <w:szCs w:val="20"/>
        </w:rPr>
      </w:pPr>
      <w:r w:rsidRPr="00BA19C5">
        <w:rPr>
          <w:noProof/>
          <w:lang w:val="en-PH" w:eastAsia="en-PH"/>
        </w:rPr>
        <w:drawing>
          <wp:anchor distT="0" distB="0" distL="0" distR="0" simplePos="0" relativeHeight="7" behindDoc="0" locked="0" layoutInCell="1" allowOverlap="1" wp14:anchorId="39419073" wp14:editId="234F659E">
            <wp:simplePos x="0" y="0"/>
            <wp:positionH relativeFrom="column">
              <wp:align>center</wp:align>
            </wp:positionH>
            <wp:positionV relativeFrom="paragraph">
              <wp:posOffset>635</wp:posOffset>
            </wp:positionV>
            <wp:extent cx="5943600" cy="3729355"/>
            <wp:effectExtent l="0" t="0" r="0" b="0"/>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6"/>
                    <a:stretch>
                      <a:fillRect/>
                    </a:stretch>
                  </pic:blipFill>
                  <pic:spPr bwMode="auto">
                    <a:xfrm>
                      <a:off x="0" y="0"/>
                      <a:ext cx="5943600" cy="3729355"/>
                    </a:xfrm>
                    <a:prstGeom prst="rect">
                      <a:avLst/>
                    </a:prstGeom>
                  </pic:spPr>
                </pic:pic>
              </a:graphicData>
            </a:graphic>
          </wp:anchor>
        </w:drawing>
      </w:r>
      <w:r w:rsidRPr="00BA19C5">
        <w:rPr>
          <w:rFonts w:ascii="Times New Roman" w:eastAsia="Times New Roman" w:hAnsi="Times New Roman" w:cs="Times New Roman"/>
          <w:b/>
          <w:sz w:val="20"/>
          <w:szCs w:val="20"/>
        </w:rPr>
        <w:t>Supplementary Fig. 4</w:t>
      </w:r>
      <w:r w:rsidRPr="00BA19C5">
        <w:rPr>
          <w:rFonts w:ascii="Times New Roman" w:eastAsia="Times New Roman" w:hAnsi="Times New Roman" w:cs="Times New Roman"/>
          <w:sz w:val="20"/>
          <w:szCs w:val="20"/>
        </w:rPr>
        <w:t xml:space="preserve">: Association (Spearman’s ρ) and confidence (p-values) of 4 tested PET biomarkers of the brain Aβ burden with cognition and neurodegeneration using the subset of </w:t>
      </w:r>
      <w:r w:rsidR="00992FF9" w:rsidRPr="00BA19C5">
        <w:rPr>
          <w:rFonts w:ascii="Times New Roman" w:eastAsia="Times New Roman" w:hAnsi="Times New Roman" w:cs="Times New Roman"/>
          <w:sz w:val="20"/>
          <w:szCs w:val="20"/>
        </w:rPr>
        <w:t xml:space="preserve">subjects </w:t>
      </w:r>
      <w:r w:rsidRPr="00BA19C5">
        <w:rPr>
          <w:rFonts w:ascii="Times New Roman" w:eastAsia="Times New Roman" w:hAnsi="Times New Roman" w:cs="Times New Roman"/>
          <w:sz w:val="20"/>
          <w:szCs w:val="20"/>
        </w:rPr>
        <w:t>with moderate to high level of amyloid (SUVr &gt; 1.2, n = 90). The novel biomarkers SAβ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(cGAN) and SAβ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(SN) can be compared with the standard approach using SUVr measured in MRI-space, or with Aβ</w:t>
      </w:r>
      <w:r w:rsidRPr="00BA19C5">
        <w:rPr>
          <w:rFonts w:ascii="Times New Roman" w:eastAsia="Times New Roman" w:hAnsi="Times New Roman" w:cs="Times New Roman"/>
          <w:sz w:val="20"/>
          <w:szCs w:val="20"/>
          <w:vertAlign w:val="subscript"/>
        </w:rPr>
        <w:t>L</w:t>
      </w:r>
      <w:r w:rsidRPr="00BA19C5">
        <w:rPr>
          <w:rFonts w:ascii="Times New Roman" w:eastAsia="Times New Roman" w:hAnsi="Times New Roman" w:cs="Times New Roman"/>
          <w:sz w:val="20"/>
          <w:szCs w:val="20"/>
        </w:rPr>
        <w:t xml:space="preserve">, the previously proposed Aβ load computed in MNI-space using generic NS and specific templates. </w:t>
      </w:r>
    </w:p>
    <w:p w14:paraId="00AEAB08" w14:textId="77777777" w:rsidR="005206A0" w:rsidRPr="00BA19C5" w:rsidRDefault="003F7FD2">
      <w:pPr>
        <w:spacing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lastRenderedPageBreak/>
        <w:t xml:space="preserve"> </w:t>
      </w:r>
      <w:r w:rsidRPr="00BA19C5">
        <w:rPr>
          <w:noProof/>
          <w:lang w:val="en-PH" w:eastAsia="en-PH"/>
        </w:rPr>
        <w:drawing>
          <wp:inline distT="0" distB="0" distL="0" distR="0" wp14:anchorId="37FA3012" wp14:editId="1412FBEE">
            <wp:extent cx="5988050" cy="3759200"/>
            <wp:effectExtent l="0" t="0" r="0" b="0"/>
            <wp:docPr id="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g"/>
                    <pic:cNvPicPr>
                      <a:picLocks noChangeAspect="1" noChangeArrowheads="1"/>
                    </pic:cNvPicPr>
                  </pic:nvPicPr>
                  <pic:blipFill>
                    <a:blip r:embed="rId17"/>
                    <a:srcRect l="24" r="24"/>
                    <a:stretch>
                      <a:fillRect/>
                    </a:stretch>
                  </pic:blipFill>
                  <pic:spPr bwMode="auto">
                    <a:xfrm>
                      <a:off x="0" y="0"/>
                      <a:ext cx="5988050" cy="3759200"/>
                    </a:xfrm>
                    <a:prstGeom prst="rect">
                      <a:avLst/>
                    </a:prstGeom>
                  </pic:spPr>
                </pic:pic>
              </a:graphicData>
            </a:graphic>
          </wp:inline>
        </w:drawing>
      </w:r>
    </w:p>
    <w:p w14:paraId="47E3F4E6" w14:textId="59E9B8BE" w:rsidR="005206A0" w:rsidRPr="00BA19C5" w:rsidRDefault="003F7FD2">
      <w:pPr>
        <w:spacing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Supplementary Fig. 5</w:t>
      </w:r>
      <w:r w:rsidRPr="00BA19C5">
        <w:rPr>
          <w:rFonts w:ascii="Times New Roman" w:eastAsia="Times New Roman" w:hAnsi="Times New Roman" w:cs="Times New Roman"/>
          <w:sz w:val="20"/>
          <w:szCs w:val="20"/>
        </w:rPr>
        <w:t xml:space="preserve">: Mean </w:t>
      </w:r>
      <w:r w:rsidR="00381F5B" w:rsidRPr="00BA19C5">
        <w:rPr>
          <w:rFonts w:ascii="Times New Roman" w:eastAsia="Times New Roman" w:hAnsi="Times New Roman" w:cs="Times New Roman"/>
          <w:sz w:val="20"/>
          <w:szCs w:val="20"/>
        </w:rPr>
        <w:t>SUVr</w:t>
      </w:r>
      <w:r w:rsidRPr="00BA19C5">
        <w:rPr>
          <w:rFonts w:ascii="Times New Roman" w:eastAsia="Times New Roman" w:hAnsi="Times New Roman" w:cs="Times New Roman"/>
          <w:sz w:val="20"/>
          <w:szCs w:val="20"/>
        </w:rPr>
        <w:t xml:space="preserve"> measured in the central WM areas from the training and unseen original PET scans as well as from the NS estimates generated using the ScaleNet model. </w:t>
      </w:r>
      <w:r w:rsidR="00470D0C" w:rsidRPr="00BA19C5">
        <w:rPr>
          <w:rFonts w:ascii="Times New Roman" w:eastAsia="Times New Roman" w:hAnsi="Times New Roman" w:cs="Times New Roman"/>
          <w:sz w:val="20"/>
          <w:szCs w:val="20"/>
          <w:shd w:val="clear" w:color="auto" w:fill="FFFFFF"/>
        </w:rPr>
        <w:t xml:space="preserve">WM SUVr values </w:t>
      </w:r>
      <w:r w:rsidRPr="00BA19C5">
        <w:rPr>
          <w:rFonts w:ascii="Times New Roman" w:eastAsia="Times New Roman" w:hAnsi="Times New Roman" w:cs="Times New Roman"/>
          <w:sz w:val="20"/>
          <w:szCs w:val="20"/>
        </w:rPr>
        <w:t xml:space="preserve">are plotted as a function of the SUVr measured in the GM. </w:t>
      </w:r>
    </w:p>
    <w:p w14:paraId="0F36EEBB" w14:textId="77777777" w:rsidR="005206A0" w:rsidRPr="00BA19C5" w:rsidRDefault="003F7FD2">
      <w:pPr>
        <w:spacing w:line="240" w:lineRule="auto"/>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 xml:space="preserve"> </w:t>
      </w:r>
      <w:r w:rsidRPr="00BA19C5">
        <w:rPr>
          <w:rFonts w:ascii="Times New Roman" w:eastAsia="Times New Roman" w:hAnsi="Times New Roman" w:cs="Times New Roman"/>
          <w:sz w:val="20"/>
          <w:szCs w:val="20"/>
        </w:rPr>
        <w:tab/>
        <w:t xml:space="preserve"> </w:t>
      </w:r>
      <w:r w:rsidRPr="00BA19C5">
        <w:rPr>
          <w:rFonts w:ascii="Times New Roman" w:eastAsia="Times New Roman" w:hAnsi="Times New Roman" w:cs="Times New Roman"/>
          <w:sz w:val="20"/>
          <w:szCs w:val="20"/>
        </w:rPr>
        <w:tab/>
      </w:r>
    </w:p>
    <w:tbl>
      <w:tblPr>
        <w:tblW w:w="9346" w:type="dxa"/>
        <w:tblCellMar>
          <w:left w:w="10" w:type="dxa"/>
          <w:right w:w="10" w:type="dxa"/>
        </w:tblCellMar>
        <w:tblLook w:val="0600" w:firstRow="0" w:lastRow="0" w:firstColumn="0" w:lastColumn="0" w:noHBand="1" w:noVBand="1"/>
      </w:tblPr>
      <w:tblGrid>
        <w:gridCol w:w="1558"/>
        <w:gridCol w:w="1558"/>
        <w:gridCol w:w="1558"/>
        <w:gridCol w:w="1557"/>
        <w:gridCol w:w="1558"/>
        <w:gridCol w:w="1557"/>
      </w:tblGrid>
      <w:tr w:rsidR="00BA19C5" w:rsidRPr="00BA19C5" w14:paraId="65A0332A" w14:textId="77777777">
        <w:tc>
          <w:tcPr>
            <w:tcW w:w="1557" w:type="dxa"/>
            <w:tcBorders>
              <w:top w:val="single" w:sz="8" w:space="0" w:color="000000"/>
              <w:left w:val="single" w:sz="8" w:space="0" w:color="000000"/>
              <w:bottom w:val="single" w:sz="8" w:space="0" w:color="000000"/>
              <w:right w:val="single" w:sz="8" w:space="0" w:color="000000"/>
            </w:tcBorders>
            <w:shd w:val="clear" w:color="auto" w:fill="B7B7B7"/>
          </w:tcPr>
          <w:p w14:paraId="49712C56"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CeVD</w:t>
            </w:r>
          </w:p>
        </w:tc>
        <w:tc>
          <w:tcPr>
            <w:tcW w:w="1558" w:type="dxa"/>
            <w:tcBorders>
              <w:top w:val="single" w:sz="8" w:space="0" w:color="000000"/>
              <w:left w:val="single" w:sz="8" w:space="0" w:color="000000"/>
              <w:bottom w:val="single" w:sz="8" w:space="0" w:color="000000"/>
              <w:right w:val="single" w:sz="8" w:space="0" w:color="000000"/>
            </w:tcBorders>
            <w:shd w:val="clear" w:color="auto" w:fill="B7B7B7"/>
          </w:tcPr>
          <w:p w14:paraId="15BEC61F"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Total</w:t>
            </w:r>
          </w:p>
        </w:tc>
        <w:tc>
          <w:tcPr>
            <w:tcW w:w="1558" w:type="dxa"/>
            <w:tcBorders>
              <w:top w:val="single" w:sz="8" w:space="0" w:color="000000"/>
              <w:left w:val="single" w:sz="8" w:space="0" w:color="000000"/>
              <w:bottom w:val="single" w:sz="8" w:space="0" w:color="000000"/>
              <w:right w:val="single" w:sz="8" w:space="0" w:color="000000"/>
            </w:tcBorders>
            <w:shd w:val="clear" w:color="auto" w:fill="B7B7B7"/>
          </w:tcPr>
          <w:p w14:paraId="52C355CC"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WMH</w:t>
            </w:r>
          </w:p>
        </w:tc>
        <w:tc>
          <w:tcPr>
            <w:tcW w:w="1557" w:type="dxa"/>
            <w:tcBorders>
              <w:top w:val="single" w:sz="8" w:space="0" w:color="000000"/>
              <w:left w:val="single" w:sz="8" w:space="0" w:color="000000"/>
              <w:bottom w:val="single" w:sz="8" w:space="0" w:color="000000"/>
              <w:right w:val="single" w:sz="8" w:space="0" w:color="000000"/>
            </w:tcBorders>
            <w:shd w:val="clear" w:color="auto" w:fill="B7B7B7"/>
          </w:tcPr>
          <w:p w14:paraId="2ABF5857"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CMBs</w:t>
            </w:r>
          </w:p>
        </w:tc>
        <w:tc>
          <w:tcPr>
            <w:tcW w:w="1558" w:type="dxa"/>
            <w:tcBorders>
              <w:top w:val="single" w:sz="8" w:space="0" w:color="000000"/>
              <w:left w:val="single" w:sz="8" w:space="0" w:color="000000"/>
              <w:bottom w:val="single" w:sz="8" w:space="0" w:color="000000"/>
              <w:right w:val="single" w:sz="8" w:space="0" w:color="000000"/>
            </w:tcBorders>
            <w:shd w:val="clear" w:color="auto" w:fill="B7B7B7"/>
          </w:tcPr>
          <w:p w14:paraId="09ACC44C"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Cortical infarcts</w:t>
            </w:r>
          </w:p>
        </w:tc>
        <w:tc>
          <w:tcPr>
            <w:tcW w:w="1557" w:type="dxa"/>
            <w:tcBorders>
              <w:top w:val="single" w:sz="8" w:space="0" w:color="000000"/>
              <w:left w:val="single" w:sz="8" w:space="0" w:color="000000"/>
              <w:bottom w:val="single" w:sz="8" w:space="0" w:color="000000"/>
              <w:right w:val="single" w:sz="8" w:space="0" w:color="000000"/>
            </w:tcBorders>
            <w:shd w:val="clear" w:color="auto" w:fill="B7B7B7"/>
          </w:tcPr>
          <w:p w14:paraId="43F33E0C"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Lacunes</w:t>
            </w:r>
          </w:p>
        </w:tc>
      </w:tr>
      <w:tr w:rsidR="00BA19C5" w:rsidRPr="00BA19C5" w14:paraId="26E95C71" w14:textId="77777777">
        <w:tc>
          <w:tcPr>
            <w:tcW w:w="1557" w:type="dxa"/>
            <w:tcBorders>
              <w:top w:val="single" w:sz="8" w:space="0" w:color="000000"/>
              <w:left w:val="single" w:sz="8" w:space="0" w:color="000000"/>
              <w:bottom w:val="single" w:sz="8" w:space="0" w:color="000000"/>
              <w:right w:val="single" w:sz="8" w:space="0" w:color="000000"/>
            </w:tcBorders>
          </w:tcPr>
          <w:p w14:paraId="4DD7C62C"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WMH</w:t>
            </w:r>
          </w:p>
        </w:tc>
        <w:tc>
          <w:tcPr>
            <w:tcW w:w="1558" w:type="dxa"/>
            <w:tcBorders>
              <w:top w:val="single" w:sz="8" w:space="0" w:color="000000"/>
              <w:left w:val="single" w:sz="8" w:space="0" w:color="000000"/>
              <w:bottom w:val="single" w:sz="8" w:space="0" w:color="000000"/>
              <w:right w:val="single" w:sz="8" w:space="0" w:color="000000"/>
            </w:tcBorders>
          </w:tcPr>
          <w:p w14:paraId="69DA5FBF"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129</w:t>
            </w:r>
          </w:p>
        </w:tc>
        <w:tc>
          <w:tcPr>
            <w:tcW w:w="1558" w:type="dxa"/>
            <w:tcBorders>
              <w:top w:val="single" w:sz="8" w:space="0" w:color="000000"/>
              <w:left w:val="single" w:sz="8" w:space="0" w:color="000000"/>
              <w:bottom w:val="single" w:sz="8" w:space="0" w:color="000000"/>
              <w:right w:val="single" w:sz="8" w:space="0" w:color="000000"/>
            </w:tcBorders>
          </w:tcPr>
          <w:p w14:paraId="79981373"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28.83</w:t>
            </w:r>
          </w:p>
        </w:tc>
        <w:tc>
          <w:tcPr>
            <w:tcW w:w="1557" w:type="dxa"/>
            <w:tcBorders>
              <w:top w:val="single" w:sz="8" w:space="0" w:color="000000"/>
              <w:left w:val="single" w:sz="8" w:space="0" w:color="000000"/>
              <w:bottom w:val="single" w:sz="8" w:space="0" w:color="000000"/>
              <w:right w:val="single" w:sz="8" w:space="0" w:color="000000"/>
            </w:tcBorders>
          </w:tcPr>
          <w:p w14:paraId="5A2F26A6"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45.03</w:t>
            </w:r>
          </w:p>
        </w:tc>
        <w:tc>
          <w:tcPr>
            <w:tcW w:w="1558" w:type="dxa"/>
            <w:tcBorders>
              <w:top w:val="single" w:sz="8" w:space="0" w:color="000000"/>
              <w:left w:val="single" w:sz="8" w:space="0" w:color="000000"/>
              <w:bottom w:val="single" w:sz="8" w:space="0" w:color="000000"/>
              <w:right w:val="single" w:sz="8" w:space="0" w:color="000000"/>
            </w:tcBorders>
          </w:tcPr>
          <w:p w14:paraId="5DEAA284"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15.89</w:t>
            </w:r>
          </w:p>
        </w:tc>
        <w:tc>
          <w:tcPr>
            <w:tcW w:w="1557" w:type="dxa"/>
            <w:tcBorders>
              <w:top w:val="single" w:sz="8" w:space="0" w:color="000000"/>
              <w:left w:val="single" w:sz="8" w:space="0" w:color="000000"/>
              <w:bottom w:val="single" w:sz="8" w:space="0" w:color="000000"/>
              <w:right w:val="single" w:sz="8" w:space="0" w:color="000000"/>
            </w:tcBorders>
          </w:tcPr>
          <w:p w14:paraId="0D699798"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33.11</w:t>
            </w:r>
          </w:p>
        </w:tc>
      </w:tr>
      <w:tr w:rsidR="00BA19C5" w:rsidRPr="00BA19C5" w14:paraId="4B08EE16" w14:textId="77777777">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618C13B2"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CMBs</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55DC79CA"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84</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06392A54"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45.03</w:t>
            </w:r>
          </w:p>
        </w:tc>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5A199A3A"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6.62</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233E8860"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11.92</w:t>
            </w:r>
          </w:p>
        </w:tc>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31029488"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27.15</w:t>
            </w:r>
          </w:p>
        </w:tc>
      </w:tr>
      <w:tr w:rsidR="00BA19C5" w:rsidRPr="00BA19C5" w14:paraId="59EBF62F" w14:textId="77777777">
        <w:tc>
          <w:tcPr>
            <w:tcW w:w="1557" w:type="dxa"/>
            <w:tcBorders>
              <w:top w:val="single" w:sz="8" w:space="0" w:color="000000"/>
              <w:left w:val="single" w:sz="8" w:space="0" w:color="000000"/>
              <w:bottom w:val="single" w:sz="8" w:space="0" w:color="000000"/>
              <w:right w:val="single" w:sz="8" w:space="0" w:color="000000"/>
            </w:tcBorders>
          </w:tcPr>
          <w:p w14:paraId="30A2A32D"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Cortical infarcts</w:t>
            </w:r>
          </w:p>
        </w:tc>
        <w:tc>
          <w:tcPr>
            <w:tcW w:w="1558" w:type="dxa"/>
            <w:tcBorders>
              <w:top w:val="single" w:sz="8" w:space="0" w:color="000000"/>
              <w:left w:val="single" w:sz="8" w:space="0" w:color="000000"/>
              <w:bottom w:val="single" w:sz="8" w:space="0" w:color="000000"/>
              <w:right w:val="single" w:sz="8" w:space="0" w:color="000000"/>
            </w:tcBorders>
          </w:tcPr>
          <w:p w14:paraId="6A5ABF60"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29</w:t>
            </w:r>
          </w:p>
        </w:tc>
        <w:tc>
          <w:tcPr>
            <w:tcW w:w="1558" w:type="dxa"/>
            <w:tcBorders>
              <w:top w:val="single" w:sz="8" w:space="0" w:color="000000"/>
              <w:left w:val="single" w:sz="8" w:space="0" w:color="000000"/>
              <w:bottom w:val="single" w:sz="8" w:space="0" w:color="000000"/>
              <w:right w:val="single" w:sz="8" w:space="0" w:color="000000"/>
            </w:tcBorders>
          </w:tcPr>
          <w:p w14:paraId="366CB166"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15.89</w:t>
            </w:r>
          </w:p>
        </w:tc>
        <w:tc>
          <w:tcPr>
            <w:tcW w:w="1557" w:type="dxa"/>
            <w:tcBorders>
              <w:top w:val="single" w:sz="8" w:space="0" w:color="000000"/>
              <w:left w:val="single" w:sz="8" w:space="0" w:color="000000"/>
              <w:bottom w:val="single" w:sz="8" w:space="0" w:color="000000"/>
              <w:right w:val="single" w:sz="8" w:space="0" w:color="000000"/>
            </w:tcBorders>
          </w:tcPr>
          <w:p w14:paraId="02DE62A3"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11.92</w:t>
            </w:r>
          </w:p>
        </w:tc>
        <w:tc>
          <w:tcPr>
            <w:tcW w:w="1558" w:type="dxa"/>
            <w:tcBorders>
              <w:top w:val="single" w:sz="8" w:space="0" w:color="000000"/>
              <w:left w:val="single" w:sz="8" w:space="0" w:color="000000"/>
              <w:bottom w:val="single" w:sz="8" w:space="0" w:color="000000"/>
              <w:right w:val="single" w:sz="8" w:space="0" w:color="000000"/>
            </w:tcBorders>
          </w:tcPr>
          <w:p w14:paraId="287AACC1"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0</w:t>
            </w:r>
          </w:p>
        </w:tc>
        <w:tc>
          <w:tcPr>
            <w:tcW w:w="1557" w:type="dxa"/>
            <w:tcBorders>
              <w:top w:val="single" w:sz="8" w:space="0" w:color="000000"/>
              <w:left w:val="single" w:sz="8" w:space="0" w:color="000000"/>
              <w:bottom w:val="single" w:sz="8" w:space="0" w:color="000000"/>
              <w:right w:val="single" w:sz="8" w:space="0" w:color="000000"/>
            </w:tcBorders>
          </w:tcPr>
          <w:p w14:paraId="05424209"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10.60</w:t>
            </w:r>
          </w:p>
        </w:tc>
      </w:tr>
      <w:tr w:rsidR="00BA19C5" w:rsidRPr="00BA19C5" w14:paraId="3A596412" w14:textId="77777777">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4C505BA4"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Lacunes</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41D87201"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58</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279A5885"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33.11</w:t>
            </w:r>
          </w:p>
        </w:tc>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6742BD15"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27.15</w:t>
            </w:r>
          </w:p>
        </w:tc>
        <w:tc>
          <w:tcPr>
            <w:tcW w:w="1558" w:type="dxa"/>
            <w:tcBorders>
              <w:top w:val="single" w:sz="8" w:space="0" w:color="000000"/>
              <w:left w:val="single" w:sz="8" w:space="0" w:color="000000"/>
              <w:bottom w:val="single" w:sz="8" w:space="0" w:color="000000"/>
              <w:right w:val="single" w:sz="8" w:space="0" w:color="000000"/>
            </w:tcBorders>
            <w:shd w:val="clear" w:color="auto" w:fill="D9D9D9"/>
          </w:tcPr>
          <w:p w14:paraId="065CB582"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10.60</w:t>
            </w:r>
          </w:p>
        </w:tc>
        <w:tc>
          <w:tcPr>
            <w:tcW w:w="1557" w:type="dxa"/>
            <w:tcBorders>
              <w:top w:val="single" w:sz="8" w:space="0" w:color="000000"/>
              <w:left w:val="single" w:sz="8" w:space="0" w:color="000000"/>
              <w:bottom w:val="single" w:sz="8" w:space="0" w:color="000000"/>
              <w:right w:val="single" w:sz="8" w:space="0" w:color="000000"/>
            </w:tcBorders>
            <w:shd w:val="clear" w:color="auto" w:fill="D9D9D9"/>
          </w:tcPr>
          <w:p w14:paraId="2DABFEC4" w14:textId="77777777" w:rsidR="005206A0" w:rsidRPr="00BA19C5" w:rsidRDefault="003F7FD2">
            <w:pPr>
              <w:widowControl w:val="0"/>
              <w:spacing w:after="0" w:line="276" w:lineRule="auto"/>
              <w:jc w:val="center"/>
              <w:rPr>
                <w:rFonts w:ascii="Times New Roman" w:eastAsia="Times New Roman" w:hAnsi="Times New Roman" w:cs="Times New Roman"/>
                <w:sz w:val="20"/>
                <w:szCs w:val="20"/>
              </w:rPr>
            </w:pPr>
            <w:r w:rsidRPr="00BA19C5">
              <w:rPr>
                <w:rFonts w:ascii="Times New Roman" w:eastAsia="Times New Roman" w:hAnsi="Times New Roman" w:cs="Times New Roman"/>
                <w:sz w:val="20"/>
                <w:szCs w:val="20"/>
              </w:rPr>
              <w:t>0.66</w:t>
            </w:r>
          </w:p>
        </w:tc>
      </w:tr>
    </w:tbl>
    <w:p w14:paraId="1260C93A" w14:textId="1AFC64F5" w:rsidR="005206A0" w:rsidRPr="00BA19C5" w:rsidRDefault="003F7FD2">
      <w:pPr>
        <w:spacing w:line="240" w:lineRule="auto"/>
        <w:jc w:val="both"/>
        <w:rPr>
          <w:rFonts w:ascii="Times New Roman" w:eastAsia="Times New Roman" w:hAnsi="Times New Roman" w:cs="Times New Roman"/>
          <w:sz w:val="20"/>
          <w:szCs w:val="20"/>
        </w:rPr>
      </w:pPr>
      <w:r w:rsidRPr="00BA19C5">
        <w:rPr>
          <w:rFonts w:ascii="Times New Roman" w:eastAsia="Times New Roman" w:hAnsi="Times New Roman" w:cs="Times New Roman"/>
          <w:b/>
          <w:sz w:val="20"/>
          <w:szCs w:val="20"/>
        </w:rPr>
        <w:t>Supplementary Table 3</w:t>
      </w:r>
      <w:r w:rsidRPr="00BA19C5">
        <w:rPr>
          <w:rFonts w:ascii="Times New Roman" w:eastAsia="Times New Roman" w:hAnsi="Times New Roman" w:cs="Times New Roman"/>
          <w:sz w:val="20"/>
          <w:szCs w:val="20"/>
        </w:rPr>
        <w:t>: Number of subjects with each CeVD (Total) and their overlapping factors (%). For instance, out of the 151 subjects presen</w:t>
      </w:r>
      <w:bookmarkStart w:id="0" w:name="_GoBack"/>
      <w:bookmarkEnd w:id="0"/>
      <w:r w:rsidRPr="00BA19C5">
        <w:rPr>
          <w:rFonts w:ascii="Times New Roman" w:eastAsia="Times New Roman" w:hAnsi="Times New Roman" w:cs="Times New Roman"/>
          <w:sz w:val="20"/>
          <w:szCs w:val="20"/>
        </w:rPr>
        <w:t>ting CeVD, 28.83% present WMH lesions only and 45.03% concomitantly with CMBs.</w:t>
      </w:r>
    </w:p>
    <w:p w14:paraId="261482E0" w14:textId="77777777" w:rsidR="005206A0" w:rsidRPr="00BA19C5" w:rsidRDefault="005206A0">
      <w:pPr>
        <w:spacing w:after="80"/>
        <w:jc w:val="both"/>
        <w:rPr>
          <w:rFonts w:ascii="Times New Roman" w:eastAsia="Times New Roman" w:hAnsi="Times New Roman" w:cs="Times New Roman"/>
          <w:sz w:val="20"/>
          <w:szCs w:val="20"/>
          <w:highlight w:val="white"/>
        </w:rPr>
      </w:pPr>
    </w:p>
    <w:p w14:paraId="7BED85D1" w14:textId="77777777" w:rsidR="005206A0" w:rsidRPr="00BA19C5" w:rsidRDefault="005206A0">
      <w:pPr>
        <w:spacing w:after="240"/>
        <w:jc w:val="both"/>
        <w:rPr>
          <w:rFonts w:ascii="Times New Roman" w:eastAsia="Times New Roman" w:hAnsi="Times New Roman" w:cs="Times New Roman"/>
          <w:sz w:val="20"/>
          <w:szCs w:val="20"/>
        </w:rPr>
      </w:pPr>
    </w:p>
    <w:sectPr w:rsidR="005206A0" w:rsidRPr="00BA19C5" w:rsidSect="00055370">
      <w:footerReference w:type="default" r:id="rId18"/>
      <w:pgSz w:w="12240" w:h="15840"/>
      <w:pgMar w:top="1440" w:right="1440" w:bottom="1440" w:left="1440" w:header="0" w:footer="1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6A19D" w14:textId="77777777" w:rsidR="004970D1" w:rsidRDefault="004970D1" w:rsidP="00055370">
      <w:pPr>
        <w:spacing w:after="0" w:line="240" w:lineRule="auto"/>
      </w:pPr>
      <w:r>
        <w:separator/>
      </w:r>
    </w:p>
  </w:endnote>
  <w:endnote w:type="continuationSeparator" w:id="0">
    <w:p w14:paraId="45F216B9" w14:textId="77777777" w:rsidR="004970D1" w:rsidRDefault="004970D1" w:rsidP="00055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rdo">
    <w:altName w:val="Times New Roman"/>
    <w:charset w:val="00"/>
    <w:family w:val="auto"/>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997456"/>
      <w:docPartObj>
        <w:docPartGallery w:val="Page Numbers (Bottom of Page)"/>
        <w:docPartUnique/>
      </w:docPartObj>
    </w:sdtPr>
    <w:sdtEndPr>
      <w:rPr>
        <w:rFonts w:ascii="Times New Roman" w:hAnsi="Times New Roman" w:cs="Times New Roman"/>
        <w:noProof/>
        <w:sz w:val="20"/>
        <w:szCs w:val="20"/>
      </w:rPr>
    </w:sdtEndPr>
    <w:sdtContent>
      <w:p w14:paraId="6369C337" w14:textId="22F1DD14" w:rsidR="00055370" w:rsidRPr="00055370" w:rsidRDefault="00055370">
        <w:pPr>
          <w:pStyle w:val="Footer"/>
          <w:jc w:val="right"/>
          <w:rPr>
            <w:rFonts w:ascii="Times New Roman" w:hAnsi="Times New Roman" w:cs="Times New Roman"/>
            <w:sz w:val="20"/>
            <w:szCs w:val="20"/>
          </w:rPr>
        </w:pPr>
        <w:r w:rsidRPr="00055370">
          <w:rPr>
            <w:rFonts w:ascii="Times New Roman" w:hAnsi="Times New Roman" w:cs="Times New Roman"/>
            <w:sz w:val="20"/>
            <w:szCs w:val="20"/>
          </w:rPr>
          <w:fldChar w:fldCharType="begin"/>
        </w:r>
        <w:r w:rsidRPr="00055370">
          <w:rPr>
            <w:rFonts w:ascii="Times New Roman" w:hAnsi="Times New Roman" w:cs="Times New Roman"/>
            <w:sz w:val="20"/>
            <w:szCs w:val="20"/>
          </w:rPr>
          <w:instrText xml:space="preserve"> PAGE   \* MERGEFORMAT </w:instrText>
        </w:r>
        <w:r w:rsidRPr="00055370">
          <w:rPr>
            <w:rFonts w:ascii="Times New Roman" w:hAnsi="Times New Roman" w:cs="Times New Roman"/>
            <w:sz w:val="20"/>
            <w:szCs w:val="20"/>
          </w:rPr>
          <w:fldChar w:fldCharType="separate"/>
        </w:r>
        <w:r w:rsidR="00850CBF">
          <w:rPr>
            <w:rFonts w:ascii="Times New Roman" w:hAnsi="Times New Roman" w:cs="Times New Roman"/>
            <w:noProof/>
            <w:sz w:val="20"/>
            <w:szCs w:val="20"/>
          </w:rPr>
          <w:t>10</w:t>
        </w:r>
        <w:r w:rsidRPr="00055370">
          <w:rPr>
            <w:rFonts w:ascii="Times New Roman" w:hAnsi="Times New Roman" w:cs="Times New Roman"/>
            <w:noProof/>
            <w:sz w:val="20"/>
            <w:szCs w:val="20"/>
          </w:rPr>
          <w:fldChar w:fldCharType="end"/>
        </w:r>
      </w:p>
    </w:sdtContent>
  </w:sdt>
  <w:p w14:paraId="23CC88D1" w14:textId="77777777" w:rsidR="00055370" w:rsidRDefault="00055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2784B" w14:textId="77777777" w:rsidR="004970D1" w:rsidRDefault="004970D1" w:rsidP="00055370">
      <w:pPr>
        <w:spacing w:after="0" w:line="240" w:lineRule="auto"/>
      </w:pPr>
      <w:r>
        <w:separator/>
      </w:r>
    </w:p>
  </w:footnote>
  <w:footnote w:type="continuationSeparator" w:id="0">
    <w:p w14:paraId="56DE5581" w14:textId="77777777" w:rsidR="004970D1" w:rsidRDefault="004970D1" w:rsidP="000553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17E6C"/>
    <w:multiLevelType w:val="multilevel"/>
    <w:tmpl w:val="B8B474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4D83B76"/>
    <w:multiLevelType w:val="multilevel"/>
    <w:tmpl w:val="D430C9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4C65E0A"/>
    <w:multiLevelType w:val="multilevel"/>
    <w:tmpl w:val="C30E8DA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Q0NjUzMDE0MjEyNTZV0lEKTi0uzszPAykwqQUAqJPH/CwAAAA="/>
  </w:docVars>
  <w:rsids>
    <w:rsidRoot w:val="005206A0"/>
    <w:rsid w:val="00055370"/>
    <w:rsid w:val="00223AED"/>
    <w:rsid w:val="00381F5B"/>
    <w:rsid w:val="003F7FD2"/>
    <w:rsid w:val="00470D0C"/>
    <w:rsid w:val="004970D1"/>
    <w:rsid w:val="005206A0"/>
    <w:rsid w:val="005E0675"/>
    <w:rsid w:val="006D05FD"/>
    <w:rsid w:val="00850CBF"/>
    <w:rsid w:val="00992FF9"/>
    <w:rsid w:val="00BA19C5"/>
    <w:rsid w:val="00EA6FEF"/>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US" w:eastAsia="ja-JP"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7EC"/>
    <w:pPr>
      <w:spacing w:after="120" w:line="360" w:lineRule="auto"/>
    </w:pPr>
    <w:rPr>
      <w:rFonts w:ascii="Arial" w:eastAsia="Arial" w:hAnsi="Arial" w:cs="Arial"/>
      <w:sz w:val="22"/>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A054A"/>
    <w:rPr>
      <w:rFonts w:ascii="Segoe UI" w:eastAsia="Arial" w:hAnsi="Segoe UI" w:cs="Segoe UI"/>
      <w:sz w:val="18"/>
      <w:szCs w:val="18"/>
      <w:lang w:val="en" w:eastAsia="zh-CN"/>
    </w:rPr>
  </w:style>
  <w:style w:type="character" w:styleId="CommentReference">
    <w:name w:val="annotation reference"/>
    <w:basedOn w:val="DefaultParagraphFont"/>
    <w:uiPriority w:val="99"/>
    <w:semiHidden/>
    <w:unhideWhenUsed/>
    <w:qFormat/>
    <w:rsid w:val="00F56CB5"/>
    <w:rPr>
      <w:sz w:val="16"/>
      <w:szCs w:val="16"/>
    </w:rPr>
  </w:style>
  <w:style w:type="character" w:customStyle="1" w:styleId="CommentTextChar">
    <w:name w:val="Comment Text Char"/>
    <w:basedOn w:val="DefaultParagraphFont"/>
    <w:link w:val="CommentText"/>
    <w:uiPriority w:val="99"/>
    <w:semiHidden/>
    <w:qFormat/>
    <w:rsid w:val="00F56CB5"/>
    <w:rPr>
      <w:rFonts w:ascii="Arial" w:eastAsia="Arial" w:hAnsi="Arial" w:cs="Arial"/>
      <w:sz w:val="20"/>
      <w:szCs w:val="20"/>
      <w:lang w:val="en" w:eastAsia="zh-CN"/>
    </w:rPr>
  </w:style>
  <w:style w:type="character" w:customStyle="1" w:styleId="CommentSubjectChar">
    <w:name w:val="Comment Subject Char"/>
    <w:basedOn w:val="CommentTextChar"/>
    <w:link w:val="CommentSubject"/>
    <w:uiPriority w:val="99"/>
    <w:semiHidden/>
    <w:qFormat/>
    <w:rsid w:val="00F56CB5"/>
    <w:rPr>
      <w:rFonts w:ascii="Arial" w:eastAsia="Arial" w:hAnsi="Arial" w:cs="Arial"/>
      <w:b/>
      <w:bCs/>
      <w:sz w:val="20"/>
      <w:szCs w:val="20"/>
      <w:lang w:val="en" w:eastAsia="zh-CN"/>
    </w:rPr>
  </w:style>
  <w:style w:type="character" w:styleId="Hyperlink">
    <w:name w:val="Hyperlink"/>
    <w:rPr>
      <w:color w:val="000080"/>
      <w:u w:val="single"/>
    </w:rPr>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4417EC"/>
    <w:pPr>
      <w:ind w:left="720"/>
      <w:contextualSpacing/>
    </w:pPr>
  </w:style>
  <w:style w:type="paragraph" w:styleId="BalloonText">
    <w:name w:val="Balloon Text"/>
    <w:basedOn w:val="Normal"/>
    <w:link w:val="BalloonTextChar"/>
    <w:uiPriority w:val="99"/>
    <w:semiHidden/>
    <w:unhideWhenUsed/>
    <w:qFormat/>
    <w:rsid w:val="00DA054A"/>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F56CB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56CB5"/>
    <w:rPr>
      <w:b/>
      <w:bCs/>
    </w:rPr>
  </w:style>
  <w:style w:type="table" w:styleId="TableGrid">
    <w:name w:val="Table Grid"/>
    <w:basedOn w:val="TableNormal"/>
    <w:uiPriority w:val="39"/>
    <w:rsid w:val="00C31A5A"/>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370"/>
    <w:rPr>
      <w:rFonts w:ascii="Arial" w:eastAsia="Arial" w:hAnsi="Arial" w:cs="Arial"/>
      <w:sz w:val="22"/>
      <w:lang w:val="en" w:eastAsia="zh-CN"/>
    </w:rPr>
  </w:style>
  <w:style w:type="paragraph" w:styleId="Footer">
    <w:name w:val="footer"/>
    <w:basedOn w:val="Normal"/>
    <w:link w:val="FooterChar"/>
    <w:uiPriority w:val="99"/>
    <w:unhideWhenUsed/>
    <w:rsid w:val="00055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370"/>
    <w:rPr>
      <w:rFonts w:ascii="Arial" w:eastAsia="Arial" w:hAnsi="Arial" w:cs="Arial"/>
      <w:sz w:val="22"/>
      <w:lang w:val="e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en-US" w:eastAsia="ja-JP"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7EC"/>
    <w:pPr>
      <w:spacing w:after="120" w:line="360" w:lineRule="auto"/>
    </w:pPr>
    <w:rPr>
      <w:rFonts w:ascii="Arial" w:eastAsia="Arial" w:hAnsi="Arial" w:cs="Arial"/>
      <w:sz w:val="22"/>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A054A"/>
    <w:rPr>
      <w:rFonts w:ascii="Segoe UI" w:eastAsia="Arial" w:hAnsi="Segoe UI" w:cs="Segoe UI"/>
      <w:sz w:val="18"/>
      <w:szCs w:val="18"/>
      <w:lang w:val="en" w:eastAsia="zh-CN"/>
    </w:rPr>
  </w:style>
  <w:style w:type="character" w:styleId="CommentReference">
    <w:name w:val="annotation reference"/>
    <w:basedOn w:val="DefaultParagraphFont"/>
    <w:uiPriority w:val="99"/>
    <w:semiHidden/>
    <w:unhideWhenUsed/>
    <w:qFormat/>
    <w:rsid w:val="00F56CB5"/>
    <w:rPr>
      <w:sz w:val="16"/>
      <w:szCs w:val="16"/>
    </w:rPr>
  </w:style>
  <w:style w:type="character" w:customStyle="1" w:styleId="CommentTextChar">
    <w:name w:val="Comment Text Char"/>
    <w:basedOn w:val="DefaultParagraphFont"/>
    <w:link w:val="CommentText"/>
    <w:uiPriority w:val="99"/>
    <w:semiHidden/>
    <w:qFormat/>
    <w:rsid w:val="00F56CB5"/>
    <w:rPr>
      <w:rFonts w:ascii="Arial" w:eastAsia="Arial" w:hAnsi="Arial" w:cs="Arial"/>
      <w:sz w:val="20"/>
      <w:szCs w:val="20"/>
      <w:lang w:val="en" w:eastAsia="zh-CN"/>
    </w:rPr>
  </w:style>
  <w:style w:type="character" w:customStyle="1" w:styleId="CommentSubjectChar">
    <w:name w:val="Comment Subject Char"/>
    <w:basedOn w:val="CommentTextChar"/>
    <w:link w:val="CommentSubject"/>
    <w:uiPriority w:val="99"/>
    <w:semiHidden/>
    <w:qFormat/>
    <w:rsid w:val="00F56CB5"/>
    <w:rPr>
      <w:rFonts w:ascii="Arial" w:eastAsia="Arial" w:hAnsi="Arial" w:cs="Arial"/>
      <w:b/>
      <w:bCs/>
      <w:sz w:val="20"/>
      <w:szCs w:val="20"/>
      <w:lang w:val="en" w:eastAsia="zh-CN"/>
    </w:rPr>
  </w:style>
  <w:style w:type="character" w:styleId="Hyperlink">
    <w:name w:val="Hyperlink"/>
    <w:rPr>
      <w:color w:val="000080"/>
      <w:u w:val="single"/>
    </w:rPr>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4417EC"/>
    <w:pPr>
      <w:ind w:left="720"/>
      <w:contextualSpacing/>
    </w:pPr>
  </w:style>
  <w:style w:type="paragraph" w:styleId="BalloonText">
    <w:name w:val="Balloon Text"/>
    <w:basedOn w:val="Normal"/>
    <w:link w:val="BalloonTextChar"/>
    <w:uiPriority w:val="99"/>
    <w:semiHidden/>
    <w:unhideWhenUsed/>
    <w:qFormat/>
    <w:rsid w:val="00DA054A"/>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F56CB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56CB5"/>
    <w:rPr>
      <w:b/>
      <w:bCs/>
    </w:rPr>
  </w:style>
  <w:style w:type="table" w:styleId="TableGrid">
    <w:name w:val="Table Grid"/>
    <w:basedOn w:val="TableNormal"/>
    <w:uiPriority w:val="39"/>
    <w:rsid w:val="00C31A5A"/>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370"/>
    <w:rPr>
      <w:rFonts w:ascii="Arial" w:eastAsia="Arial" w:hAnsi="Arial" w:cs="Arial"/>
      <w:sz w:val="22"/>
      <w:lang w:val="en" w:eastAsia="zh-CN"/>
    </w:rPr>
  </w:style>
  <w:style w:type="paragraph" w:styleId="Footer">
    <w:name w:val="footer"/>
    <w:basedOn w:val="Normal"/>
    <w:link w:val="FooterChar"/>
    <w:uiPriority w:val="99"/>
    <w:unhideWhenUsed/>
    <w:rsid w:val="00055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370"/>
    <w:rPr>
      <w:rFonts w:ascii="Arial" w:eastAsia="Arial" w:hAnsi="Arial" w:cs="Arial"/>
      <w:sz w:val="22"/>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ednyh@nus.edu.sg" TargetMode="External"/><Relationship Id="rId13" Type="http://schemas.openxmlformats.org/officeDocument/2006/relationships/hyperlink" Target="https://doi.org/10.1016/j.cmpb.2018.01.025"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il.ion.ucl.ac.uk/sp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niftynet.readthedocs.io/en/dev/config_spec.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inghweynai@yahoo.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12671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 Ying Hwey</dc:creator>
  <cp:lastModifiedBy>DVILLARUBIA</cp:lastModifiedBy>
  <cp:revision>2</cp:revision>
  <dcterms:created xsi:type="dcterms:W3CDTF">2020-11-25T00:54:00Z</dcterms:created>
  <dcterms:modified xsi:type="dcterms:W3CDTF">2020-11-25T00:54:00Z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National University of Singapore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