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61B87F" w14:textId="3B5290ED" w:rsidR="00681FB2" w:rsidRPr="00591564" w:rsidRDefault="00852C32" w:rsidP="00681FB2">
      <w:pPr>
        <w:spacing w:after="0" w:line="240" w:lineRule="auto"/>
        <w:rPr>
          <w:rFonts w:ascii="Arial" w:hAnsi="Arial" w:cs="Arial"/>
          <w:b/>
          <w:bCs/>
          <w:sz w:val="20"/>
          <w:szCs w:val="20"/>
          <w:lang w:val="en-GB"/>
        </w:rPr>
      </w:pPr>
      <w:r w:rsidRPr="00591564">
        <w:rPr>
          <w:rFonts w:ascii="Arial" w:hAnsi="Arial" w:cs="Arial"/>
          <w:b/>
          <w:bCs/>
          <w:sz w:val="20"/>
          <w:szCs w:val="20"/>
          <w:lang w:val="en-GB"/>
        </w:rPr>
        <w:t>Supplementary Figure 1</w:t>
      </w:r>
      <w:r w:rsidR="00681FB2" w:rsidRPr="00591564">
        <w:rPr>
          <w:rFonts w:ascii="Arial" w:hAnsi="Arial" w:cs="Arial"/>
          <w:b/>
          <w:bCs/>
          <w:sz w:val="20"/>
          <w:szCs w:val="20"/>
          <w:lang w:val="en-GB"/>
        </w:rPr>
        <w:t>. HSROC plots</w:t>
      </w:r>
      <w:r w:rsidRPr="00591564">
        <w:rPr>
          <w:rFonts w:ascii="Arial" w:hAnsi="Arial" w:cs="Arial"/>
          <w:b/>
          <w:bCs/>
          <w:sz w:val="20"/>
          <w:szCs w:val="20"/>
          <w:lang w:val="en-GB"/>
        </w:rPr>
        <w:t xml:space="preserve"> showing sensitivity and specificity of [18F]FDG-PET/CT for PMR. </w:t>
      </w:r>
      <w:r w:rsidRPr="00591564">
        <w:rPr>
          <w:rFonts w:ascii="Arial" w:hAnsi="Arial" w:cs="Arial"/>
          <w:sz w:val="20"/>
          <w:szCs w:val="20"/>
          <w:lang w:val="en-GB"/>
        </w:rPr>
        <w:t xml:space="preserve">Data are shown for the anatomic sites reported by at least </w:t>
      </w:r>
      <w:r w:rsidR="00DD1103" w:rsidRPr="00591564">
        <w:rPr>
          <w:rFonts w:ascii="Arial" w:hAnsi="Arial" w:cs="Arial"/>
          <w:sz w:val="20"/>
          <w:szCs w:val="20"/>
          <w:lang w:val="en-GB"/>
        </w:rPr>
        <w:t xml:space="preserve">four </w:t>
      </w:r>
      <w:r w:rsidRPr="00591564">
        <w:rPr>
          <w:rFonts w:ascii="Arial" w:hAnsi="Arial" w:cs="Arial"/>
          <w:sz w:val="20"/>
          <w:szCs w:val="20"/>
          <w:lang w:val="en-GB"/>
        </w:rPr>
        <w:t>unique studies.</w:t>
      </w:r>
    </w:p>
    <w:p w14:paraId="66EFD4F3" w14:textId="77777777" w:rsidR="00681FB2" w:rsidRPr="00591564" w:rsidRDefault="00681FB2" w:rsidP="00681FB2">
      <w:pPr>
        <w:spacing w:after="0" w:line="240" w:lineRule="auto"/>
        <w:rPr>
          <w:rFonts w:ascii="Arial" w:hAnsi="Arial" w:cs="Arial"/>
          <w:b/>
          <w:bCs/>
          <w:lang w:val="en-GB"/>
        </w:rPr>
      </w:pPr>
    </w:p>
    <w:tbl>
      <w:tblPr>
        <w:tblStyle w:val="Rastertabel1licht-Accent31"/>
        <w:tblW w:w="0" w:type="auto"/>
        <w:tblLook w:val="04A0" w:firstRow="1" w:lastRow="0" w:firstColumn="1" w:lastColumn="0" w:noHBand="0" w:noVBand="1"/>
      </w:tblPr>
      <w:tblGrid>
        <w:gridCol w:w="3283"/>
        <w:gridCol w:w="3283"/>
        <w:gridCol w:w="2946"/>
      </w:tblGrid>
      <w:tr w:rsidR="00681FB2" w:rsidRPr="00591564" w14:paraId="5B09C13B" w14:textId="77777777" w:rsidTr="00C3298E">
        <w:trPr>
          <w:cnfStyle w:val="100000000000" w:firstRow="1" w:lastRow="0" w:firstColumn="0" w:lastColumn="0" w:oddVBand="0" w:evenVBand="0" w:oddHBand="0" w:evenHBand="0" w:firstRowFirstColumn="0" w:firstRowLastColumn="0" w:lastRowFirstColumn="0" w:lastRowLastColumn="0"/>
          <w:trHeight w:val="2835"/>
        </w:trPr>
        <w:tc>
          <w:tcPr>
            <w:cnfStyle w:val="001000000000" w:firstRow="0" w:lastRow="0" w:firstColumn="1" w:lastColumn="0" w:oddVBand="0" w:evenVBand="0" w:oddHBand="0" w:evenHBand="0" w:firstRowFirstColumn="0" w:firstRowLastColumn="0" w:lastRowFirstColumn="0" w:lastRowLastColumn="0"/>
            <w:tcW w:w="3283" w:type="dxa"/>
          </w:tcPr>
          <w:p w14:paraId="19C94EF0" w14:textId="77777777" w:rsidR="00681FB2" w:rsidRPr="00591564" w:rsidRDefault="00681FB2" w:rsidP="00852C32">
            <w:pPr>
              <w:jc w:val="center"/>
              <w:rPr>
                <w:rFonts w:ascii="Arial" w:hAnsi="Arial" w:cs="Arial"/>
                <w:sz w:val="20"/>
                <w:szCs w:val="20"/>
                <w:lang w:val="en-GB"/>
              </w:rPr>
            </w:pPr>
            <w:r w:rsidRPr="00591564">
              <w:rPr>
                <w:rFonts w:ascii="Arial" w:hAnsi="Arial" w:cs="Arial"/>
                <w:sz w:val="20"/>
                <w:szCs w:val="20"/>
                <w:lang w:val="en-GB"/>
              </w:rPr>
              <w:t>Hip</w:t>
            </w:r>
          </w:p>
          <w:p w14:paraId="5AE60CCD" w14:textId="77777777" w:rsidR="00681FB2" w:rsidRPr="00591564" w:rsidRDefault="00681FB2" w:rsidP="00C3298E">
            <w:pPr>
              <w:rPr>
                <w:rFonts w:ascii="Arial" w:hAnsi="Arial" w:cs="Arial"/>
                <w:sz w:val="20"/>
                <w:szCs w:val="20"/>
                <w:lang w:val="en-GB"/>
              </w:rPr>
            </w:pPr>
            <w:r w:rsidRPr="00591564">
              <w:rPr>
                <w:rFonts w:ascii="Arial" w:hAnsi="Arial" w:cs="Arial"/>
                <w:noProof/>
                <w:sz w:val="20"/>
                <w:szCs w:val="20"/>
                <w:lang w:val="en-GB" w:eastAsia="fr-BE"/>
              </w:rPr>
              <w:drawing>
                <wp:inline distT="0" distB="0" distL="0" distR="0" wp14:anchorId="45571F75" wp14:editId="3A5EA4BF">
                  <wp:extent cx="1728000" cy="2160000"/>
                  <wp:effectExtent l="0" t="0" r="571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8000" cy="2160000"/>
                          </a:xfrm>
                          <a:prstGeom prst="rect">
                            <a:avLst/>
                          </a:prstGeom>
                          <a:noFill/>
                          <a:ln>
                            <a:noFill/>
                          </a:ln>
                        </pic:spPr>
                      </pic:pic>
                    </a:graphicData>
                  </a:graphic>
                </wp:inline>
              </w:drawing>
            </w:r>
          </w:p>
        </w:tc>
        <w:tc>
          <w:tcPr>
            <w:tcW w:w="3283" w:type="dxa"/>
          </w:tcPr>
          <w:p w14:paraId="4685F67B" w14:textId="77777777" w:rsidR="00681FB2" w:rsidRPr="00591564" w:rsidRDefault="00681FB2" w:rsidP="00852C3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591564">
              <w:rPr>
                <w:rFonts w:ascii="Arial" w:hAnsi="Arial" w:cs="Arial"/>
                <w:sz w:val="20"/>
                <w:szCs w:val="20"/>
                <w:lang w:val="en-GB"/>
              </w:rPr>
              <w:t>Greater trochanter</w:t>
            </w:r>
          </w:p>
          <w:p w14:paraId="1C4D96A4" w14:textId="77777777" w:rsidR="00681FB2" w:rsidRPr="00591564" w:rsidRDefault="00681FB2" w:rsidP="00C3298E">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591564">
              <w:rPr>
                <w:rFonts w:ascii="Arial" w:hAnsi="Arial" w:cs="Arial"/>
                <w:noProof/>
                <w:sz w:val="20"/>
                <w:szCs w:val="20"/>
                <w:lang w:val="en-GB" w:eastAsia="fr-BE"/>
              </w:rPr>
              <w:drawing>
                <wp:inline distT="0" distB="0" distL="0" distR="0" wp14:anchorId="5BE2F3AC" wp14:editId="2CAB07D8">
                  <wp:extent cx="1728000" cy="2160000"/>
                  <wp:effectExtent l="0" t="0" r="571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8000" cy="2160000"/>
                          </a:xfrm>
                          <a:prstGeom prst="rect">
                            <a:avLst/>
                          </a:prstGeom>
                          <a:noFill/>
                          <a:ln>
                            <a:noFill/>
                          </a:ln>
                        </pic:spPr>
                      </pic:pic>
                    </a:graphicData>
                  </a:graphic>
                </wp:inline>
              </w:drawing>
            </w:r>
          </w:p>
        </w:tc>
        <w:tc>
          <w:tcPr>
            <w:tcW w:w="2496" w:type="dxa"/>
          </w:tcPr>
          <w:p w14:paraId="6798CFC4" w14:textId="77777777" w:rsidR="00681FB2" w:rsidRPr="00591564" w:rsidRDefault="00681FB2" w:rsidP="00852C3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591564">
              <w:rPr>
                <w:rFonts w:ascii="Arial" w:hAnsi="Arial" w:cs="Arial"/>
                <w:sz w:val="20"/>
                <w:szCs w:val="20"/>
                <w:lang w:val="en-GB"/>
              </w:rPr>
              <w:t>Interspinous bursa</w:t>
            </w:r>
          </w:p>
          <w:p w14:paraId="6C678943" w14:textId="77777777" w:rsidR="00681FB2" w:rsidRPr="00591564" w:rsidRDefault="00681FB2" w:rsidP="00C3298E">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591564">
              <w:rPr>
                <w:rFonts w:ascii="Arial" w:hAnsi="Arial" w:cs="Arial"/>
                <w:noProof/>
                <w:sz w:val="20"/>
                <w:szCs w:val="20"/>
                <w:lang w:val="en-GB" w:eastAsia="fr-BE"/>
              </w:rPr>
              <w:drawing>
                <wp:inline distT="0" distB="0" distL="0" distR="0" wp14:anchorId="3858B4B3" wp14:editId="3E18F897">
                  <wp:extent cx="1728000" cy="2160000"/>
                  <wp:effectExtent l="0" t="0" r="5715"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8000" cy="2160000"/>
                          </a:xfrm>
                          <a:prstGeom prst="rect">
                            <a:avLst/>
                          </a:prstGeom>
                          <a:noFill/>
                          <a:ln>
                            <a:noFill/>
                          </a:ln>
                        </pic:spPr>
                      </pic:pic>
                    </a:graphicData>
                  </a:graphic>
                </wp:inline>
              </w:drawing>
            </w:r>
          </w:p>
        </w:tc>
      </w:tr>
      <w:tr w:rsidR="00681FB2" w:rsidRPr="00591564" w14:paraId="6098147E" w14:textId="77777777" w:rsidTr="00C3298E">
        <w:tc>
          <w:tcPr>
            <w:cnfStyle w:val="001000000000" w:firstRow="0" w:lastRow="0" w:firstColumn="1" w:lastColumn="0" w:oddVBand="0" w:evenVBand="0" w:oddHBand="0" w:evenHBand="0" w:firstRowFirstColumn="0" w:firstRowLastColumn="0" w:lastRowFirstColumn="0" w:lastRowLastColumn="0"/>
            <w:tcW w:w="3283" w:type="dxa"/>
          </w:tcPr>
          <w:p w14:paraId="2046D1DF" w14:textId="77777777" w:rsidR="00681FB2" w:rsidRPr="00591564" w:rsidRDefault="00681FB2" w:rsidP="00852C32">
            <w:pPr>
              <w:jc w:val="center"/>
              <w:rPr>
                <w:rFonts w:ascii="Arial" w:hAnsi="Arial" w:cs="Arial"/>
                <w:sz w:val="20"/>
                <w:szCs w:val="20"/>
                <w:lang w:val="en-GB"/>
              </w:rPr>
            </w:pPr>
            <w:r w:rsidRPr="00591564">
              <w:rPr>
                <w:rFonts w:ascii="Arial" w:hAnsi="Arial" w:cs="Arial"/>
                <w:sz w:val="20"/>
                <w:szCs w:val="20"/>
                <w:lang w:val="en-GB"/>
              </w:rPr>
              <w:t>Ischial tuberosity</w:t>
            </w:r>
          </w:p>
          <w:p w14:paraId="57EE1EE5" w14:textId="77777777" w:rsidR="00681FB2" w:rsidRPr="00591564" w:rsidRDefault="00681FB2" w:rsidP="00C3298E">
            <w:pPr>
              <w:rPr>
                <w:rFonts w:ascii="Arial" w:hAnsi="Arial" w:cs="Arial"/>
                <w:sz w:val="20"/>
                <w:szCs w:val="20"/>
                <w:lang w:val="en-GB"/>
              </w:rPr>
            </w:pPr>
            <w:r w:rsidRPr="00591564">
              <w:rPr>
                <w:rFonts w:ascii="Arial" w:hAnsi="Arial" w:cs="Arial"/>
                <w:noProof/>
                <w:sz w:val="20"/>
                <w:szCs w:val="20"/>
                <w:lang w:val="en-GB"/>
              </w:rPr>
              <w:drawing>
                <wp:inline distT="0" distB="0" distL="0" distR="0" wp14:anchorId="5F059038" wp14:editId="737AAC9A">
                  <wp:extent cx="1728000" cy="2160000"/>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8000" cy="2160000"/>
                          </a:xfrm>
                          <a:prstGeom prst="rect">
                            <a:avLst/>
                          </a:prstGeom>
                          <a:noFill/>
                          <a:ln>
                            <a:noFill/>
                          </a:ln>
                        </pic:spPr>
                      </pic:pic>
                    </a:graphicData>
                  </a:graphic>
                </wp:inline>
              </w:drawing>
            </w:r>
          </w:p>
        </w:tc>
        <w:tc>
          <w:tcPr>
            <w:tcW w:w="3283" w:type="dxa"/>
          </w:tcPr>
          <w:p w14:paraId="65240A96" w14:textId="77777777" w:rsidR="00681FB2" w:rsidRPr="00591564" w:rsidRDefault="00681FB2" w:rsidP="00852C3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591564">
              <w:rPr>
                <w:rFonts w:ascii="Arial" w:hAnsi="Arial" w:cs="Arial"/>
                <w:b/>
                <w:bCs/>
                <w:sz w:val="20"/>
                <w:szCs w:val="20"/>
                <w:lang w:val="en-GB"/>
              </w:rPr>
              <w:t>Shoulder</w:t>
            </w:r>
          </w:p>
          <w:p w14:paraId="32B6FCB4" w14:textId="77777777" w:rsidR="00681FB2" w:rsidRPr="00591564" w:rsidRDefault="00681FB2" w:rsidP="00C3298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591564">
              <w:rPr>
                <w:rFonts w:ascii="Arial" w:hAnsi="Arial" w:cs="Arial"/>
                <w:b/>
                <w:bCs/>
                <w:noProof/>
                <w:sz w:val="20"/>
                <w:szCs w:val="20"/>
                <w:lang w:val="en-GB" w:eastAsia="fr-BE"/>
              </w:rPr>
              <w:drawing>
                <wp:inline distT="0" distB="0" distL="0" distR="0" wp14:anchorId="443C7E3D" wp14:editId="5FC3D262">
                  <wp:extent cx="1728000" cy="2160000"/>
                  <wp:effectExtent l="0" t="0" r="571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8000" cy="2160000"/>
                          </a:xfrm>
                          <a:prstGeom prst="rect">
                            <a:avLst/>
                          </a:prstGeom>
                          <a:noFill/>
                          <a:ln>
                            <a:noFill/>
                          </a:ln>
                        </pic:spPr>
                      </pic:pic>
                    </a:graphicData>
                  </a:graphic>
                </wp:inline>
              </w:drawing>
            </w:r>
          </w:p>
        </w:tc>
        <w:tc>
          <w:tcPr>
            <w:tcW w:w="2496" w:type="dxa"/>
          </w:tcPr>
          <w:p w14:paraId="3109418F" w14:textId="77777777" w:rsidR="00681FB2" w:rsidRPr="00591564" w:rsidRDefault="00681FB2" w:rsidP="00852C3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591564">
              <w:rPr>
                <w:rFonts w:ascii="Arial" w:hAnsi="Arial" w:cs="Arial"/>
                <w:b/>
                <w:bCs/>
                <w:sz w:val="20"/>
                <w:szCs w:val="20"/>
                <w:lang w:val="en-GB"/>
              </w:rPr>
              <w:t>Sternoclavicular</w:t>
            </w:r>
          </w:p>
          <w:p w14:paraId="4B24DF51" w14:textId="77777777" w:rsidR="00681FB2" w:rsidRPr="00591564" w:rsidRDefault="00681FB2" w:rsidP="00C3298E">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591564">
              <w:rPr>
                <w:rFonts w:ascii="Arial" w:hAnsi="Arial" w:cs="Arial"/>
                <w:b/>
                <w:bCs/>
                <w:noProof/>
                <w:sz w:val="20"/>
                <w:szCs w:val="20"/>
                <w:lang w:val="en-GB" w:eastAsia="fr-BE"/>
              </w:rPr>
              <w:drawing>
                <wp:inline distT="0" distB="0" distL="0" distR="0" wp14:anchorId="766AECD7" wp14:editId="7F0CDBE1">
                  <wp:extent cx="1728000" cy="2160000"/>
                  <wp:effectExtent l="0" t="0" r="571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8000" cy="2160000"/>
                          </a:xfrm>
                          <a:prstGeom prst="rect">
                            <a:avLst/>
                          </a:prstGeom>
                          <a:noFill/>
                          <a:ln>
                            <a:noFill/>
                          </a:ln>
                        </pic:spPr>
                      </pic:pic>
                    </a:graphicData>
                  </a:graphic>
                </wp:inline>
              </w:drawing>
            </w:r>
          </w:p>
        </w:tc>
      </w:tr>
    </w:tbl>
    <w:p w14:paraId="7DFDCA22" w14:textId="77777777" w:rsidR="00681FB2" w:rsidRPr="00591564" w:rsidRDefault="00681FB2" w:rsidP="00052EB3">
      <w:pPr>
        <w:spacing w:after="0" w:line="240" w:lineRule="auto"/>
        <w:jc w:val="both"/>
        <w:rPr>
          <w:rFonts w:ascii="Arial" w:hAnsi="Arial" w:cs="Arial"/>
          <w:b/>
          <w:bCs/>
          <w:lang w:val="en-GB"/>
        </w:rPr>
      </w:pPr>
    </w:p>
    <w:p w14:paraId="1FAA96EC" w14:textId="77777777" w:rsidR="00681FB2" w:rsidRPr="00591564" w:rsidRDefault="00681FB2" w:rsidP="00052EB3">
      <w:pPr>
        <w:spacing w:after="0" w:line="240" w:lineRule="auto"/>
        <w:jc w:val="both"/>
        <w:rPr>
          <w:rFonts w:ascii="Arial" w:hAnsi="Arial" w:cs="Arial"/>
          <w:b/>
          <w:bCs/>
          <w:lang w:val="en-GB"/>
        </w:rPr>
      </w:pPr>
    </w:p>
    <w:p w14:paraId="15AEE0A7" w14:textId="77777777" w:rsidR="00681FB2" w:rsidRPr="00591564" w:rsidRDefault="00681FB2" w:rsidP="00052EB3">
      <w:pPr>
        <w:spacing w:after="0" w:line="240" w:lineRule="auto"/>
        <w:jc w:val="both"/>
        <w:rPr>
          <w:rFonts w:ascii="Arial" w:hAnsi="Arial" w:cs="Arial"/>
          <w:b/>
          <w:bCs/>
          <w:lang w:val="en-GB"/>
        </w:rPr>
      </w:pPr>
    </w:p>
    <w:p w14:paraId="716C6388" w14:textId="6A0F681D" w:rsidR="006E3607" w:rsidRPr="00591564" w:rsidRDefault="00F67638" w:rsidP="00052EB3">
      <w:pPr>
        <w:spacing w:after="0" w:line="240" w:lineRule="auto"/>
        <w:jc w:val="both"/>
        <w:rPr>
          <w:rFonts w:ascii="Arial" w:hAnsi="Arial" w:cs="Arial"/>
          <w:b/>
          <w:bCs/>
          <w:sz w:val="20"/>
          <w:szCs w:val="20"/>
          <w:lang w:val="en-GB"/>
        </w:rPr>
      </w:pPr>
      <w:r w:rsidRPr="00591564">
        <w:rPr>
          <w:rFonts w:ascii="Arial" w:hAnsi="Arial" w:cs="Arial"/>
          <w:b/>
          <w:bCs/>
          <w:sz w:val="20"/>
          <w:szCs w:val="20"/>
          <w:lang w:val="en-GB"/>
        </w:rPr>
        <w:lastRenderedPageBreak/>
        <w:t>Supplementary</w:t>
      </w:r>
      <w:r w:rsidR="006E3607" w:rsidRPr="00591564">
        <w:rPr>
          <w:rFonts w:ascii="Arial" w:hAnsi="Arial" w:cs="Arial"/>
          <w:b/>
          <w:bCs/>
          <w:sz w:val="20"/>
          <w:szCs w:val="20"/>
          <w:lang w:val="en-GB"/>
        </w:rPr>
        <w:t xml:space="preserve"> Table 1. Composite </w:t>
      </w:r>
      <w:r w:rsidR="006F0573" w:rsidRPr="00591564">
        <w:rPr>
          <w:rFonts w:ascii="Arial" w:hAnsi="Arial" w:cs="Arial"/>
          <w:b/>
          <w:bCs/>
          <w:sz w:val="20"/>
          <w:szCs w:val="20"/>
          <w:lang w:val="en-GB"/>
        </w:rPr>
        <w:t>[18F]</w:t>
      </w:r>
      <w:r w:rsidR="006E3607" w:rsidRPr="00591564">
        <w:rPr>
          <w:rFonts w:ascii="Arial" w:hAnsi="Arial" w:cs="Arial"/>
          <w:b/>
          <w:bCs/>
          <w:sz w:val="20"/>
          <w:szCs w:val="20"/>
          <w:lang w:val="en-GB"/>
        </w:rPr>
        <w:t xml:space="preserve">FDG-PET/CT scores. </w:t>
      </w:r>
      <w:r w:rsidR="006E3607" w:rsidRPr="00591564">
        <w:rPr>
          <w:rFonts w:ascii="Arial" w:hAnsi="Arial" w:cs="Arial"/>
          <w:sz w:val="20"/>
          <w:szCs w:val="20"/>
          <w:lang w:val="en-GB"/>
        </w:rPr>
        <w:t xml:space="preserve">Overview of studies reporting a </w:t>
      </w:r>
      <w:r w:rsidR="006F0573" w:rsidRPr="00591564">
        <w:rPr>
          <w:rFonts w:ascii="Arial" w:hAnsi="Arial" w:cs="Arial"/>
          <w:sz w:val="20"/>
          <w:szCs w:val="20"/>
          <w:lang w:val="en-GB"/>
        </w:rPr>
        <w:t>[18F]</w:t>
      </w:r>
      <w:r w:rsidR="006E3607" w:rsidRPr="00591564">
        <w:rPr>
          <w:rFonts w:ascii="Arial" w:hAnsi="Arial" w:cs="Arial"/>
          <w:sz w:val="20"/>
          <w:szCs w:val="20"/>
          <w:lang w:val="en-GB"/>
        </w:rPr>
        <w:t>FDG-PET/CT score for PMR. Data on the scoring systems are provided.</w:t>
      </w:r>
      <w:r w:rsidR="006E3607" w:rsidRPr="00591564">
        <w:rPr>
          <w:rFonts w:ascii="Arial" w:hAnsi="Arial" w:cs="Arial"/>
          <w:b/>
          <w:bCs/>
          <w:sz w:val="20"/>
          <w:szCs w:val="20"/>
          <w:lang w:val="en-GB"/>
        </w:rPr>
        <w:t xml:space="preserve"> </w:t>
      </w:r>
    </w:p>
    <w:p w14:paraId="070F52BD" w14:textId="77777777" w:rsidR="00852C32" w:rsidRPr="00591564" w:rsidRDefault="00852C32" w:rsidP="00052EB3">
      <w:pPr>
        <w:spacing w:after="0" w:line="240" w:lineRule="auto"/>
        <w:jc w:val="both"/>
        <w:rPr>
          <w:rFonts w:ascii="Arial" w:hAnsi="Arial" w:cs="Arial"/>
          <w:b/>
          <w:bCs/>
          <w:lang w:val="en-GB"/>
        </w:rPr>
      </w:pPr>
    </w:p>
    <w:tbl>
      <w:tblPr>
        <w:tblStyle w:val="Tabelraster"/>
        <w:tblW w:w="0" w:type="auto"/>
        <w:tblLook w:val="04A0" w:firstRow="1" w:lastRow="0" w:firstColumn="1" w:lastColumn="0" w:noHBand="0" w:noVBand="1"/>
      </w:tblPr>
      <w:tblGrid>
        <w:gridCol w:w="1555"/>
        <w:gridCol w:w="4536"/>
        <w:gridCol w:w="2693"/>
        <w:gridCol w:w="3402"/>
        <w:gridCol w:w="1808"/>
      </w:tblGrid>
      <w:tr w:rsidR="006E3607" w:rsidRPr="00591564" w14:paraId="500AE44E" w14:textId="77777777" w:rsidTr="000C37D2">
        <w:tc>
          <w:tcPr>
            <w:tcW w:w="1555" w:type="dxa"/>
          </w:tcPr>
          <w:p w14:paraId="4A91B107" w14:textId="77777777" w:rsidR="006E3607" w:rsidRPr="00591564" w:rsidRDefault="006E3607" w:rsidP="00052EB3">
            <w:pPr>
              <w:rPr>
                <w:rFonts w:ascii="Arial" w:hAnsi="Arial" w:cs="Arial"/>
                <w:b/>
                <w:bCs/>
                <w:sz w:val="18"/>
                <w:szCs w:val="18"/>
                <w:lang w:val="en-GB"/>
              </w:rPr>
            </w:pPr>
            <w:r w:rsidRPr="00591564">
              <w:rPr>
                <w:rFonts w:ascii="Arial" w:hAnsi="Arial" w:cs="Arial"/>
                <w:b/>
                <w:bCs/>
                <w:sz w:val="18"/>
                <w:szCs w:val="18"/>
                <w:lang w:val="en-GB"/>
              </w:rPr>
              <w:t>Study</w:t>
            </w:r>
          </w:p>
        </w:tc>
        <w:tc>
          <w:tcPr>
            <w:tcW w:w="4536" w:type="dxa"/>
          </w:tcPr>
          <w:p w14:paraId="52412F09" w14:textId="22B694CB" w:rsidR="006E3607" w:rsidRPr="00591564" w:rsidRDefault="006E3607" w:rsidP="00052EB3">
            <w:pPr>
              <w:rPr>
                <w:rFonts w:ascii="Arial" w:hAnsi="Arial" w:cs="Arial"/>
                <w:b/>
                <w:bCs/>
                <w:sz w:val="18"/>
                <w:szCs w:val="18"/>
                <w:lang w:val="en-GB"/>
              </w:rPr>
            </w:pPr>
            <w:r w:rsidRPr="00591564">
              <w:rPr>
                <w:rFonts w:ascii="Arial" w:hAnsi="Arial" w:cs="Arial"/>
                <w:b/>
                <w:bCs/>
                <w:sz w:val="18"/>
                <w:szCs w:val="18"/>
                <w:lang w:val="en-GB"/>
              </w:rPr>
              <w:t>Anatomic sites included in the FDG-PET/CT score (total no. of sites)</w:t>
            </w:r>
          </w:p>
        </w:tc>
        <w:tc>
          <w:tcPr>
            <w:tcW w:w="2693" w:type="dxa"/>
          </w:tcPr>
          <w:p w14:paraId="29B64FC7" w14:textId="0398D06D" w:rsidR="006E3607" w:rsidRPr="00591564" w:rsidRDefault="006E3607" w:rsidP="00052EB3">
            <w:pPr>
              <w:rPr>
                <w:rFonts w:ascii="Arial" w:hAnsi="Arial" w:cs="Arial"/>
                <w:b/>
                <w:bCs/>
                <w:sz w:val="18"/>
                <w:szCs w:val="18"/>
                <w:lang w:val="en-GB"/>
              </w:rPr>
            </w:pPr>
            <w:r w:rsidRPr="00591564">
              <w:rPr>
                <w:rFonts w:ascii="Arial" w:eastAsia="Times New Roman" w:hAnsi="Arial" w:cs="Arial"/>
                <w:b/>
                <w:bCs/>
                <w:sz w:val="18"/>
                <w:szCs w:val="18"/>
                <w:lang w:val="en-GB" w:eastAsia="nl-NL"/>
              </w:rPr>
              <w:t>Definition of positive FDG-PET/CT finding</w:t>
            </w:r>
          </w:p>
        </w:tc>
        <w:tc>
          <w:tcPr>
            <w:tcW w:w="3402" w:type="dxa"/>
          </w:tcPr>
          <w:p w14:paraId="521F4129" w14:textId="77777777" w:rsidR="006E3607" w:rsidRPr="00591564" w:rsidRDefault="006E3607" w:rsidP="00052EB3">
            <w:pPr>
              <w:rPr>
                <w:rFonts w:ascii="Arial" w:hAnsi="Arial" w:cs="Arial"/>
                <w:b/>
                <w:bCs/>
                <w:sz w:val="18"/>
                <w:szCs w:val="18"/>
                <w:lang w:val="en-GB"/>
              </w:rPr>
            </w:pPr>
            <w:r w:rsidRPr="00591564">
              <w:rPr>
                <w:rFonts w:ascii="Arial" w:hAnsi="Arial" w:cs="Arial"/>
                <w:b/>
                <w:bCs/>
                <w:sz w:val="18"/>
                <w:szCs w:val="18"/>
                <w:lang w:val="en-GB"/>
              </w:rPr>
              <w:t>Scoring system (range of potential scores)</w:t>
            </w:r>
          </w:p>
        </w:tc>
        <w:tc>
          <w:tcPr>
            <w:tcW w:w="1808" w:type="dxa"/>
          </w:tcPr>
          <w:p w14:paraId="1413A0C2" w14:textId="77777777" w:rsidR="006E3607" w:rsidRPr="00591564" w:rsidRDefault="006E3607" w:rsidP="00052EB3">
            <w:pPr>
              <w:rPr>
                <w:rFonts w:ascii="Arial" w:hAnsi="Arial" w:cs="Arial"/>
                <w:b/>
                <w:bCs/>
                <w:sz w:val="18"/>
                <w:szCs w:val="18"/>
                <w:lang w:val="en-GB"/>
              </w:rPr>
            </w:pPr>
            <w:r w:rsidRPr="00591564">
              <w:rPr>
                <w:rFonts w:ascii="Arial" w:hAnsi="Arial" w:cs="Arial"/>
                <w:b/>
                <w:bCs/>
                <w:sz w:val="18"/>
                <w:szCs w:val="18"/>
                <w:lang w:val="en-GB"/>
              </w:rPr>
              <w:t>Optimal cut-off reported in study</w:t>
            </w:r>
          </w:p>
        </w:tc>
      </w:tr>
      <w:tr w:rsidR="00052EB3" w:rsidRPr="00591564" w14:paraId="1201BD05" w14:textId="77777777" w:rsidTr="000C37D2">
        <w:tc>
          <w:tcPr>
            <w:tcW w:w="1555" w:type="dxa"/>
          </w:tcPr>
          <w:p w14:paraId="1DA20546" w14:textId="67139B45" w:rsidR="00052EB3" w:rsidRPr="00591564" w:rsidRDefault="00052EB3" w:rsidP="00052EB3">
            <w:pPr>
              <w:rPr>
                <w:rFonts w:ascii="Arial" w:hAnsi="Arial" w:cs="Arial"/>
                <w:sz w:val="17"/>
                <w:szCs w:val="17"/>
                <w:lang w:val="en-GB"/>
              </w:rPr>
            </w:pPr>
            <w:proofErr w:type="spellStart"/>
            <w:r w:rsidRPr="00591564">
              <w:rPr>
                <w:rFonts w:ascii="Arial" w:hAnsi="Arial" w:cs="Arial"/>
                <w:sz w:val="17"/>
                <w:szCs w:val="17"/>
                <w:lang w:val="en-GB"/>
              </w:rPr>
              <w:t>Henckaerts</w:t>
            </w:r>
            <w:proofErr w:type="spellEnd"/>
            <w:r w:rsidRPr="00591564">
              <w:rPr>
                <w:rFonts w:ascii="Arial" w:hAnsi="Arial" w:cs="Arial"/>
                <w:sz w:val="17"/>
                <w:szCs w:val="17"/>
                <w:lang w:val="en-GB"/>
              </w:rPr>
              <w:t xml:space="preserve"> et al. 2018 </w:t>
            </w:r>
            <w:r w:rsidRPr="00591564">
              <w:rPr>
                <w:rFonts w:ascii="Arial" w:hAnsi="Arial" w:cs="Arial"/>
                <w:sz w:val="17"/>
                <w:szCs w:val="17"/>
                <w:vertAlign w:val="superscript"/>
                <w:lang w:val="en-GB"/>
              </w:rPr>
              <w:t>a</w:t>
            </w:r>
          </w:p>
          <w:p w14:paraId="2EC135CB" w14:textId="178D2A72" w:rsidR="00052EB3" w:rsidRPr="00591564" w:rsidRDefault="00052EB3" w:rsidP="00052EB3">
            <w:pPr>
              <w:rPr>
                <w:rFonts w:ascii="Arial" w:hAnsi="Arial" w:cs="Arial"/>
                <w:sz w:val="17"/>
                <w:szCs w:val="17"/>
                <w:lang w:val="en-GB"/>
              </w:rPr>
            </w:pPr>
          </w:p>
        </w:tc>
        <w:tc>
          <w:tcPr>
            <w:tcW w:w="4536" w:type="dxa"/>
          </w:tcPr>
          <w:p w14:paraId="45397414" w14:textId="181BA291" w:rsidR="00052EB3" w:rsidRPr="00591564" w:rsidRDefault="00052EB3" w:rsidP="00052EB3">
            <w:pPr>
              <w:rPr>
                <w:rFonts w:ascii="Arial" w:hAnsi="Arial" w:cs="Arial"/>
                <w:sz w:val="17"/>
                <w:szCs w:val="17"/>
                <w:lang w:val="en-GB"/>
              </w:rPr>
            </w:pPr>
            <w:r w:rsidRPr="00591564">
              <w:rPr>
                <w:rFonts w:ascii="Arial" w:hAnsi="Arial" w:cs="Arial"/>
                <w:sz w:val="17"/>
                <w:szCs w:val="17"/>
                <w:lang w:val="en-GB"/>
              </w:rPr>
              <w:t>Cervical spinous processes, lumbar spinous processes, left and right sternoclavicular joint, left and right ischial tuberosity, left and right greater trochanter, left and right hip, and left and right shoulder (n = 12)</w:t>
            </w:r>
          </w:p>
        </w:tc>
        <w:tc>
          <w:tcPr>
            <w:tcW w:w="2693" w:type="dxa"/>
          </w:tcPr>
          <w:p w14:paraId="1EEDF176" w14:textId="060EC780" w:rsidR="00052EB3" w:rsidRPr="00591564" w:rsidRDefault="00052EB3" w:rsidP="00052EB3">
            <w:pPr>
              <w:rPr>
                <w:rFonts w:ascii="Arial" w:eastAsia="Times New Roman" w:hAnsi="Arial" w:cs="Arial"/>
                <w:sz w:val="17"/>
                <w:szCs w:val="17"/>
                <w:lang w:val="en-GB" w:eastAsia="nl-NL"/>
              </w:rPr>
            </w:pPr>
            <w:r w:rsidRPr="00591564">
              <w:rPr>
                <w:rFonts w:ascii="Arial" w:eastAsia="Times New Roman" w:hAnsi="Arial" w:cs="Arial"/>
                <w:sz w:val="17"/>
                <w:szCs w:val="17"/>
                <w:lang w:val="en-GB" w:eastAsia="nl-NL"/>
              </w:rPr>
              <w:t>No definition used for this FDG-PET/CT score. Visual scoring 0-2 performed (0 = no FDG uptake, 1 = uptake less</w:t>
            </w:r>
          </w:p>
          <w:p w14:paraId="4826FA1B" w14:textId="00081EE5" w:rsidR="00052EB3" w:rsidRPr="00591564" w:rsidRDefault="00052EB3" w:rsidP="00052EB3">
            <w:pPr>
              <w:rPr>
                <w:rFonts w:ascii="Arial" w:eastAsia="Times New Roman" w:hAnsi="Arial" w:cs="Arial"/>
                <w:sz w:val="17"/>
                <w:szCs w:val="17"/>
                <w:lang w:val="en-GB" w:eastAsia="nl-NL"/>
              </w:rPr>
            </w:pPr>
            <w:r w:rsidRPr="00591564">
              <w:rPr>
                <w:rFonts w:ascii="Arial" w:eastAsia="Times New Roman" w:hAnsi="Arial" w:cs="Arial"/>
                <w:sz w:val="17"/>
                <w:szCs w:val="17"/>
                <w:lang w:val="en-GB" w:eastAsia="nl-NL"/>
              </w:rPr>
              <w:t xml:space="preserve">than liver uptake, 2 = uptake equal or more than liver uptake) </w:t>
            </w:r>
          </w:p>
        </w:tc>
        <w:tc>
          <w:tcPr>
            <w:tcW w:w="3402" w:type="dxa"/>
          </w:tcPr>
          <w:p w14:paraId="1A55CBA8" w14:textId="301E143B" w:rsidR="00052EB3" w:rsidRPr="00591564" w:rsidRDefault="00052EB3" w:rsidP="00052EB3">
            <w:pPr>
              <w:rPr>
                <w:rFonts w:ascii="Arial" w:hAnsi="Arial" w:cs="Arial"/>
                <w:sz w:val="17"/>
                <w:szCs w:val="17"/>
                <w:lang w:val="en-GB"/>
              </w:rPr>
            </w:pPr>
            <w:r w:rsidRPr="00591564">
              <w:rPr>
                <w:rFonts w:ascii="Arial" w:hAnsi="Arial" w:cs="Arial"/>
                <w:sz w:val="17"/>
                <w:szCs w:val="17"/>
                <w:lang w:val="en-GB"/>
              </w:rPr>
              <w:t>Sum of visual scores at all sites (Range 0-24 points).</w:t>
            </w:r>
          </w:p>
        </w:tc>
        <w:tc>
          <w:tcPr>
            <w:tcW w:w="1808" w:type="dxa"/>
          </w:tcPr>
          <w:p w14:paraId="6872AA72" w14:textId="35AEC019" w:rsidR="00052EB3" w:rsidRPr="00591564" w:rsidRDefault="00052EB3" w:rsidP="00052EB3">
            <w:pPr>
              <w:rPr>
                <w:rFonts w:ascii="Arial" w:hAnsi="Arial" w:cs="Arial"/>
                <w:sz w:val="17"/>
                <w:szCs w:val="17"/>
                <w:lang w:val="en-GB"/>
              </w:rPr>
            </w:pPr>
            <w:r w:rsidRPr="00591564">
              <w:rPr>
                <w:rFonts w:ascii="Arial" w:hAnsi="Arial" w:cs="Arial"/>
                <w:sz w:val="17"/>
                <w:szCs w:val="17"/>
                <w:lang w:val="en-GB"/>
              </w:rPr>
              <w:t>16 points</w:t>
            </w:r>
          </w:p>
        </w:tc>
      </w:tr>
      <w:tr w:rsidR="006E3607" w:rsidRPr="00591564" w14:paraId="2BB539AD" w14:textId="77777777" w:rsidTr="000C37D2">
        <w:tc>
          <w:tcPr>
            <w:tcW w:w="1555" w:type="dxa"/>
            <w:vMerge w:val="restart"/>
          </w:tcPr>
          <w:p w14:paraId="4CE55628" w14:textId="1AFD4931" w:rsidR="006E3607" w:rsidRPr="00591564" w:rsidRDefault="006E3607" w:rsidP="00052EB3">
            <w:pPr>
              <w:rPr>
                <w:rFonts w:ascii="Arial" w:hAnsi="Arial" w:cs="Arial"/>
                <w:sz w:val="17"/>
                <w:szCs w:val="17"/>
                <w:lang w:val="en-GB"/>
              </w:rPr>
            </w:pPr>
            <w:proofErr w:type="spellStart"/>
            <w:r w:rsidRPr="00591564">
              <w:rPr>
                <w:rFonts w:ascii="Arial" w:hAnsi="Arial" w:cs="Arial"/>
                <w:sz w:val="17"/>
                <w:szCs w:val="17"/>
                <w:lang w:val="en-GB"/>
              </w:rPr>
              <w:t>Sondag</w:t>
            </w:r>
            <w:proofErr w:type="spellEnd"/>
            <w:r w:rsidRPr="00591564">
              <w:rPr>
                <w:rFonts w:ascii="Arial" w:hAnsi="Arial" w:cs="Arial"/>
                <w:sz w:val="17"/>
                <w:szCs w:val="17"/>
                <w:lang w:val="en-GB"/>
              </w:rPr>
              <w:t xml:space="preserve"> et al. 201</w:t>
            </w:r>
            <w:r w:rsidR="009F03EF" w:rsidRPr="00591564">
              <w:rPr>
                <w:rFonts w:ascii="Arial" w:hAnsi="Arial" w:cs="Arial"/>
                <w:sz w:val="17"/>
                <w:szCs w:val="17"/>
                <w:lang w:val="en-GB"/>
              </w:rPr>
              <w:t>6</w:t>
            </w:r>
          </w:p>
        </w:tc>
        <w:tc>
          <w:tcPr>
            <w:tcW w:w="4536" w:type="dxa"/>
            <w:vMerge w:val="restart"/>
          </w:tcPr>
          <w:p w14:paraId="152723DC"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Two shoulders, two acromioclavicular and two sternoclavicular joints, two greater trochanter, two hips, two ischial tuberosities, two iliopectineal bursitis, two symphysis pubis enthesis and the most inflammatory interspinous bursa (n = 17).</w:t>
            </w:r>
          </w:p>
        </w:tc>
        <w:tc>
          <w:tcPr>
            <w:tcW w:w="2693" w:type="dxa"/>
          </w:tcPr>
          <w:p w14:paraId="199774E8" w14:textId="01A1A86B" w:rsidR="006E3607" w:rsidRPr="00591564" w:rsidRDefault="006E3607" w:rsidP="00052EB3">
            <w:pPr>
              <w:rPr>
                <w:rFonts w:ascii="Arial" w:eastAsia="Times New Roman" w:hAnsi="Arial" w:cs="Arial"/>
                <w:sz w:val="17"/>
                <w:szCs w:val="17"/>
                <w:lang w:val="en-GB" w:eastAsia="nl-NL"/>
              </w:rPr>
            </w:pPr>
            <w:r w:rsidRPr="00591564">
              <w:rPr>
                <w:rFonts w:ascii="Arial" w:eastAsia="Times New Roman" w:hAnsi="Arial" w:cs="Arial"/>
                <w:sz w:val="17"/>
                <w:szCs w:val="17"/>
                <w:lang w:val="en-GB" w:eastAsia="nl-NL"/>
              </w:rPr>
              <w:t>1) Visual ≥ 2 (FDG uptake equal to/more than liver uptake)</w:t>
            </w:r>
            <w:r w:rsidR="00052EB3" w:rsidRPr="00591564">
              <w:rPr>
                <w:rFonts w:ascii="Arial" w:eastAsia="Times New Roman" w:hAnsi="Arial" w:cs="Arial"/>
                <w:sz w:val="17"/>
                <w:szCs w:val="17"/>
                <w:lang w:val="en-GB" w:eastAsia="nl-NL"/>
              </w:rPr>
              <w:t>.</w:t>
            </w:r>
          </w:p>
        </w:tc>
        <w:tc>
          <w:tcPr>
            <w:tcW w:w="3402" w:type="dxa"/>
          </w:tcPr>
          <w:p w14:paraId="626CB4C8"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One point per positive site (Range: 0-17 points).</w:t>
            </w:r>
          </w:p>
        </w:tc>
        <w:tc>
          <w:tcPr>
            <w:tcW w:w="1808" w:type="dxa"/>
          </w:tcPr>
          <w:p w14:paraId="7F6047F3"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3 points*</w:t>
            </w:r>
          </w:p>
        </w:tc>
      </w:tr>
      <w:tr w:rsidR="006E3607" w:rsidRPr="00591564" w14:paraId="2DD07CD1" w14:textId="77777777" w:rsidTr="000C37D2">
        <w:tc>
          <w:tcPr>
            <w:tcW w:w="1555" w:type="dxa"/>
            <w:vMerge/>
          </w:tcPr>
          <w:p w14:paraId="62727A30" w14:textId="77777777" w:rsidR="006E3607" w:rsidRPr="00591564" w:rsidRDefault="006E3607" w:rsidP="00052EB3">
            <w:pPr>
              <w:rPr>
                <w:rFonts w:ascii="Arial" w:hAnsi="Arial" w:cs="Arial"/>
                <w:sz w:val="17"/>
                <w:szCs w:val="17"/>
                <w:lang w:val="en-GB"/>
              </w:rPr>
            </w:pPr>
          </w:p>
        </w:tc>
        <w:tc>
          <w:tcPr>
            <w:tcW w:w="4536" w:type="dxa"/>
            <w:vMerge/>
          </w:tcPr>
          <w:p w14:paraId="5CC66332" w14:textId="77777777" w:rsidR="006E3607" w:rsidRPr="00591564" w:rsidRDefault="006E3607" w:rsidP="00052EB3">
            <w:pPr>
              <w:rPr>
                <w:rFonts w:ascii="Arial" w:hAnsi="Arial" w:cs="Arial"/>
                <w:sz w:val="17"/>
                <w:szCs w:val="17"/>
                <w:lang w:val="en-GB"/>
              </w:rPr>
            </w:pPr>
          </w:p>
        </w:tc>
        <w:tc>
          <w:tcPr>
            <w:tcW w:w="2693" w:type="dxa"/>
          </w:tcPr>
          <w:p w14:paraId="21469BE5" w14:textId="77777777" w:rsidR="00052EB3" w:rsidRPr="00591564" w:rsidRDefault="006E3607" w:rsidP="00052EB3">
            <w:pPr>
              <w:rPr>
                <w:rFonts w:ascii="Arial" w:eastAsia="Times New Roman" w:hAnsi="Arial" w:cs="Arial"/>
                <w:sz w:val="17"/>
                <w:szCs w:val="17"/>
                <w:lang w:val="en-GB" w:eastAsia="nl-NL"/>
              </w:rPr>
            </w:pPr>
            <w:r w:rsidRPr="00591564">
              <w:rPr>
                <w:rFonts w:ascii="Arial" w:eastAsia="Times New Roman" w:hAnsi="Arial" w:cs="Arial"/>
                <w:sz w:val="17"/>
                <w:szCs w:val="17"/>
                <w:lang w:val="en-GB" w:eastAsia="nl-NL"/>
              </w:rPr>
              <w:t xml:space="preserve">2) No definition </w:t>
            </w:r>
            <w:r w:rsidR="00052EB3" w:rsidRPr="00591564">
              <w:rPr>
                <w:rFonts w:ascii="Arial" w:eastAsia="Times New Roman" w:hAnsi="Arial" w:cs="Arial"/>
                <w:sz w:val="17"/>
                <w:szCs w:val="17"/>
                <w:lang w:val="en-GB" w:eastAsia="nl-NL"/>
              </w:rPr>
              <w:t xml:space="preserve">used for this FDG-PET/CT score. </w:t>
            </w:r>
            <w:r w:rsidRPr="00591564">
              <w:rPr>
                <w:rFonts w:ascii="Arial" w:eastAsia="Times New Roman" w:hAnsi="Arial" w:cs="Arial"/>
                <w:sz w:val="17"/>
                <w:szCs w:val="17"/>
                <w:lang w:val="en-GB" w:eastAsia="nl-NL"/>
              </w:rPr>
              <w:t>Visual scoring 0-3 performed</w:t>
            </w:r>
            <w:r w:rsidR="00052EB3" w:rsidRPr="00591564">
              <w:rPr>
                <w:rFonts w:ascii="Arial" w:eastAsia="Times New Roman" w:hAnsi="Arial" w:cs="Arial"/>
                <w:sz w:val="17"/>
                <w:szCs w:val="17"/>
                <w:lang w:val="en-GB" w:eastAsia="nl-NL"/>
              </w:rPr>
              <w:t>. (0 = no FDG uptake, 1 = uptake less</w:t>
            </w:r>
          </w:p>
          <w:p w14:paraId="41D85440" w14:textId="2A1D2183" w:rsidR="006E3607" w:rsidRPr="00591564" w:rsidRDefault="00052EB3" w:rsidP="00052EB3">
            <w:pPr>
              <w:rPr>
                <w:rFonts w:ascii="Arial" w:eastAsia="Times New Roman" w:hAnsi="Arial" w:cs="Arial"/>
                <w:sz w:val="17"/>
                <w:szCs w:val="17"/>
                <w:lang w:val="en-GB" w:eastAsia="nl-NL"/>
              </w:rPr>
            </w:pPr>
            <w:r w:rsidRPr="00591564">
              <w:rPr>
                <w:rFonts w:ascii="Arial" w:eastAsia="Times New Roman" w:hAnsi="Arial" w:cs="Arial"/>
                <w:sz w:val="17"/>
                <w:szCs w:val="17"/>
                <w:lang w:val="en-GB" w:eastAsia="nl-NL"/>
              </w:rPr>
              <w:t>than liver uptake, 2 = uptake equal to liver uptake, 3 = uptake more than liver uptake)</w:t>
            </w:r>
          </w:p>
        </w:tc>
        <w:tc>
          <w:tcPr>
            <w:tcW w:w="3402" w:type="dxa"/>
          </w:tcPr>
          <w:p w14:paraId="2324E1FC"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Mean of all visual scores (Range: 0-3).</w:t>
            </w:r>
          </w:p>
        </w:tc>
        <w:tc>
          <w:tcPr>
            <w:tcW w:w="1808" w:type="dxa"/>
          </w:tcPr>
          <w:p w14:paraId="58FE4601"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 xml:space="preserve">Mean score of 0.53*  </w:t>
            </w:r>
          </w:p>
        </w:tc>
      </w:tr>
      <w:tr w:rsidR="006E3607" w:rsidRPr="00591564" w14:paraId="0C484BE2" w14:textId="77777777" w:rsidTr="000C37D2">
        <w:tc>
          <w:tcPr>
            <w:tcW w:w="1555" w:type="dxa"/>
          </w:tcPr>
          <w:p w14:paraId="32511958" w14:textId="15739B0D"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Takahashi et al. 201</w:t>
            </w:r>
            <w:r w:rsidR="009F03EF" w:rsidRPr="00591564">
              <w:rPr>
                <w:rFonts w:ascii="Arial" w:hAnsi="Arial" w:cs="Arial"/>
                <w:sz w:val="17"/>
                <w:szCs w:val="17"/>
                <w:lang w:val="en-GB"/>
              </w:rPr>
              <w:t>5</w:t>
            </w:r>
          </w:p>
        </w:tc>
        <w:tc>
          <w:tcPr>
            <w:tcW w:w="4536" w:type="dxa"/>
          </w:tcPr>
          <w:p w14:paraId="6C462061"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 xml:space="preserve">Ischial tuberosity, spinous process, </w:t>
            </w:r>
            <w:proofErr w:type="spellStart"/>
            <w:r w:rsidRPr="00591564">
              <w:rPr>
                <w:rFonts w:ascii="Arial" w:hAnsi="Arial" w:cs="Arial"/>
                <w:sz w:val="17"/>
                <w:szCs w:val="17"/>
                <w:lang w:val="en-GB"/>
              </w:rPr>
              <w:t>iliopectinal</w:t>
            </w:r>
            <w:proofErr w:type="spellEnd"/>
            <w:r w:rsidRPr="00591564">
              <w:rPr>
                <w:rFonts w:ascii="Arial" w:hAnsi="Arial" w:cs="Arial"/>
                <w:sz w:val="17"/>
                <w:szCs w:val="17"/>
                <w:lang w:val="en-GB"/>
              </w:rPr>
              <w:t xml:space="preserve"> bursa, absence of uptake at wrists, absence of linear or circular uptake around shoulders (n = 5).</w:t>
            </w:r>
          </w:p>
        </w:tc>
        <w:tc>
          <w:tcPr>
            <w:tcW w:w="2693" w:type="dxa"/>
          </w:tcPr>
          <w:p w14:paraId="59551A27" w14:textId="06ECC603" w:rsidR="006E3607" w:rsidRPr="00591564" w:rsidRDefault="006E3607" w:rsidP="00052EB3">
            <w:pPr>
              <w:rPr>
                <w:rFonts w:ascii="Arial" w:eastAsia="Times New Roman" w:hAnsi="Arial" w:cs="Arial"/>
                <w:sz w:val="17"/>
                <w:szCs w:val="17"/>
                <w:lang w:val="en-GB" w:eastAsia="nl-NL"/>
              </w:rPr>
            </w:pPr>
            <w:r w:rsidRPr="00591564">
              <w:rPr>
                <w:rFonts w:ascii="Arial" w:eastAsia="Times New Roman" w:hAnsi="Arial" w:cs="Arial"/>
                <w:sz w:val="17"/>
                <w:szCs w:val="17"/>
                <w:lang w:val="en-GB" w:eastAsia="nl-NL"/>
              </w:rPr>
              <w:t>Visual ≥ 2 (FDG uptake equal to/more than liver uptake)</w:t>
            </w:r>
            <w:r w:rsidR="00052EB3" w:rsidRPr="00591564">
              <w:rPr>
                <w:rFonts w:ascii="Arial" w:eastAsia="Times New Roman" w:hAnsi="Arial" w:cs="Arial"/>
                <w:sz w:val="17"/>
                <w:szCs w:val="17"/>
                <w:lang w:val="en-GB" w:eastAsia="nl-NL"/>
              </w:rPr>
              <w:t>.</w:t>
            </w:r>
          </w:p>
          <w:p w14:paraId="30D9402E" w14:textId="77777777" w:rsidR="006E3607" w:rsidRPr="00591564" w:rsidRDefault="006E3607" w:rsidP="00052EB3">
            <w:pPr>
              <w:rPr>
                <w:rFonts w:ascii="Arial" w:hAnsi="Arial" w:cs="Arial"/>
                <w:sz w:val="17"/>
                <w:szCs w:val="17"/>
                <w:lang w:val="en-GB"/>
              </w:rPr>
            </w:pPr>
          </w:p>
        </w:tc>
        <w:tc>
          <w:tcPr>
            <w:tcW w:w="3402" w:type="dxa"/>
          </w:tcPr>
          <w:p w14:paraId="198001C6"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 xml:space="preserve">Ischial tuberosity, spinous process, </w:t>
            </w:r>
            <w:proofErr w:type="spellStart"/>
            <w:r w:rsidRPr="00591564">
              <w:rPr>
                <w:rFonts w:ascii="Arial" w:hAnsi="Arial" w:cs="Arial"/>
                <w:sz w:val="17"/>
                <w:szCs w:val="17"/>
                <w:lang w:val="en-GB"/>
              </w:rPr>
              <w:t>iliopectinal</w:t>
            </w:r>
            <w:proofErr w:type="spellEnd"/>
            <w:r w:rsidRPr="00591564">
              <w:rPr>
                <w:rFonts w:ascii="Arial" w:hAnsi="Arial" w:cs="Arial"/>
                <w:sz w:val="17"/>
                <w:szCs w:val="17"/>
                <w:lang w:val="en-GB"/>
              </w:rPr>
              <w:t xml:space="preserve"> bursa: one point per positive site. Wrists, linear or circular uptake around shoulders: one point if negative (Range 0-5 points).</w:t>
            </w:r>
          </w:p>
        </w:tc>
        <w:tc>
          <w:tcPr>
            <w:tcW w:w="1808" w:type="dxa"/>
          </w:tcPr>
          <w:p w14:paraId="5ED0D355"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3 points †</w:t>
            </w:r>
          </w:p>
        </w:tc>
      </w:tr>
      <w:tr w:rsidR="006E3607" w:rsidRPr="00591564" w14:paraId="7783FD92" w14:textId="77777777" w:rsidTr="000C37D2">
        <w:tc>
          <w:tcPr>
            <w:tcW w:w="1555" w:type="dxa"/>
          </w:tcPr>
          <w:p w14:paraId="4C93D513" w14:textId="77777777" w:rsidR="006E3607" w:rsidRPr="00591564" w:rsidRDefault="006E3607" w:rsidP="00052EB3">
            <w:pPr>
              <w:rPr>
                <w:rFonts w:ascii="Arial" w:hAnsi="Arial" w:cs="Arial"/>
                <w:sz w:val="17"/>
                <w:szCs w:val="17"/>
                <w:lang w:val="en-GB"/>
              </w:rPr>
            </w:pPr>
            <w:proofErr w:type="spellStart"/>
            <w:r w:rsidRPr="00591564">
              <w:rPr>
                <w:rFonts w:ascii="Arial" w:hAnsi="Arial" w:cs="Arial"/>
                <w:sz w:val="17"/>
                <w:szCs w:val="17"/>
                <w:lang w:val="en-GB"/>
              </w:rPr>
              <w:t>Wakura</w:t>
            </w:r>
            <w:proofErr w:type="spellEnd"/>
            <w:r w:rsidRPr="00591564">
              <w:rPr>
                <w:rFonts w:ascii="Arial" w:hAnsi="Arial" w:cs="Arial"/>
                <w:sz w:val="17"/>
                <w:szCs w:val="17"/>
                <w:lang w:val="en-GB"/>
              </w:rPr>
              <w:t xml:space="preserve"> et al. 2016</w:t>
            </w:r>
          </w:p>
        </w:tc>
        <w:tc>
          <w:tcPr>
            <w:tcW w:w="4536" w:type="dxa"/>
          </w:tcPr>
          <w:p w14:paraId="5E6207AD"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Periarticular area of scapulohumeral</w:t>
            </w:r>
          </w:p>
          <w:p w14:paraId="71CD6684"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joint, enthesis of pectineus muscle, vicinity of enthesis of rectus femoris muscle,</w:t>
            </w:r>
          </w:p>
          <w:p w14:paraId="6FE2BAA7"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lateral side of greater trochanter, ischial tuberosity, hip joint, spinous process of lower cervical vertebra, intervertebral joints of lumbar vertebrae, and spinous processes of lumbar vertebrae (n = 9).</w:t>
            </w:r>
          </w:p>
        </w:tc>
        <w:tc>
          <w:tcPr>
            <w:tcW w:w="2693" w:type="dxa"/>
          </w:tcPr>
          <w:p w14:paraId="681F9DAA" w14:textId="44751F0E" w:rsidR="006E3607" w:rsidRPr="00591564" w:rsidRDefault="006E3607" w:rsidP="00052EB3">
            <w:pPr>
              <w:rPr>
                <w:rFonts w:ascii="Arial" w:hAnsi="Arial" w:cs="Arial"/>
                <w:sz w:val="17"/>
                <w:szCs w:val="17"/>
                <w:lang w:val="en-GB"/>
              </w:rPr>
            </w:pPr>
            <w:r w:rsidRPr="00591564">
              <w:rPr>
                <w:rFonts w:ascii="Arial" w:eastAsia="Times New Roman" w:hAnsi="Arial" w:cs="Arial"/>
                <w:sz w:val="17"/>
                <w:szCs w:val="17"/>
                <w:lang w:val="en-GB" w:eastAsia="nl-NL"/>
              </w:rPr>
              <w:t>FDG uptake more than liver uptake</w:t>
            </w:r>
            <w:r w:rsidR="00052EB3" w:rsidRPr="00591564">
              <w:rPr>
                <w:rFonts w:ascii="Arial" w:eastAsia="Times New Roman" w:hAnsi="Arial" w:cs="Arial"/>
                <w:sz w:val="17"/>
                <w:szCs w:val="17"/>
                <w:lang w:val="en-GB" w:eastAsia="nl-NL"/>
              </w:rPr>
              <w:t>.</w:t>
            </w:r>
          </w:p>
        </w:tc>
        <w:tc>
          <w:tcPr>
            <w:tcW w:w="3402" w:type="dxa"/>
          </w:tcPr>
          <w:p w14:paraId="1FF06C7C"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One point per positive site</w:t>
            </w:r>
          </w:p>
          <w:p w14:paraId="657E8FD6"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(Range 0-9 points).</w:t>
            </w:r>
          </w:p>
        </w:tc>
        <w:tc>
          <w:tcPr>
            <w:tcW w:w="1808" w:type="dxa"/>
          </w:tcPr>
          <w:p w14:paraId="4360E6D3"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 xml:space="preserve">5 points </w:t>
            </w:r>
          </w:p>
        </w:tc>
      </w:tr>
      <w:tr w:rsidR="006E3607" w:rsidRPr="00591564" w14:paraId="294117E2" w14:textId="77777777" w:rsidTr="000C37D2">
        <w:tc>
          <w:tcPr>
            <w:tcW w:w="1555" w:type="dxa"/>
          </w:tcPr>
          <w:p w14:paraId="1DA3D0D6"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Yamashita et al. 2012</w:t>
            </w:r>
          </w:p>
        </w:tc>
        <w:tc>
          <w:tcPr>
            <w:tcW w:w="4536" w:type="dxa"/>
          </w:tcPr>
          <w:p w14:paraId="308F72E4"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Ischial tuberosity, greater trochanter, spinous process (n = 3).</w:t>
            </w:r>
          </w:p>
        </w:tc>
        <w:tc>
          <w:tcPr>
            <w:tcW w:w="2693" w:type="dxa"/>
          </w:tcPr>
          <w:p w14:paraId="0A3763CE" w14:textId="5C353E3E" w:rsidR="006E3607" w:rsidRPr="00591564" w:rsidRDefault="006E3607" w:rsidP="00052EB3">
            <w:pPr>
              <w:rPr>
                <w:rFonts w:ascii="Arial" w:eastAsia="Times New Roman" w:hAnsi="Arial" w:cs="Arial"/>
                <w:sz w:val="17"/>
                <w:szCs w:val="17"/>
                <w:lang w:val="en-GB" w:eastAsia="nl-NL"/>
              </w:rPr>
            </w:pPr>
            <w:r w:rsidRPr="00591564">
              <w:rPr>
                <w:rFonts w:ascii="Arial" w:eastAsia="Times New Roman" w:hAnsi="Arial" w:cs="Arial"/>
                <w:sz w:val="17"/>
                <w:szCs w:val="17"/>
                <w:lang w:val="en-GB" w:eastAsia="nl-NL"/>
              </w:rPr>
              <w:t>Visual ≥ 2 (FDG uptake equal to/more than liver uptake)</w:t>
            </w:r>
            <w:r w:rsidR="00052EB3" w:rsidRPr="00591564">
              <w:rPr>
                <w:rFonts w:ascii="Arial" w:eastAsia="Times New Roman" w:hAnsi="Arial" w:cs="Arial"/>
                <w:sz w:val="17"/>
                <w:szCs w:val="17"/>
                <w:lang w:val="en-GB" w:eastAsia="nl-NL"/>
              </w:rPr>
              <w:t>.</w:t>
            </w:r>
          </w:p>
          <w:p w14:paraId="09FC9A8C" w14:textId="77777777" w:rsidR="006E3607" w:rsidRPr="00591564" w:rsidRDefault="006E3607" w:rsidP="00052EB3">
            <w:pPr>
              <w:rPr>
                <w:rFonts w:ascii="Arial" w:hAnsi="Arial" w:cs="Arial"/>
                <w:sz w:val="17"/>
                <w:szCs w:val="17"/>
                <w:lang w:val="en-GB"/>
              </w:rPr>
            </w:pPr>
          </w:p>
        </w:tc>
        <w:tc>
          <w:tcPr>
            <w:tcW w:w="3402" w:type="dxa"/>
          </w:tcPr>
          <w:p w14:paraId="3AC1B5FD"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One point per positive site</w:t>
            </w:r>
          </w:p>
          <w:p w14:paraId="346F8F8A"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(Range 0-3 points).</w:t>
            </w:r>
          </w:p>
        </w:tc>
        <w:tc>
          <w:tcPr>
            <w:tcW w:w="1808" w:type="dxa"/>
          </w:tcPr>
          <w:p w14:paraId="36E278CD" w14:textId="77777777" w:rsidR="006E3607" w:rsidRPr="00591564" w:rsidRDefault="006E3607" w:rsidP="00052EB3">
            <w:pPr>
              <w:rPr>
                <w:rFonts w:ascii="Arial" w:hAnsi="Arial" w:cs="Arial"/>
                <w:sz w:val="17"/>
                <w:szCs w:val="17"/>
                <w:lang w:val="en-GB"/>
              </w:rPr>
            </w:pPr>
            <w:r w:rsidRPr="00591564">
              <w:rPr>
                <w:rFonts w:ascii="Arial" w:hAnsi="Arial" w:cs="Arial"/>
                <w:sz w:val="17"/>
                <w:szCs w:val="17"/>
                <w:lang w:val="en-GB"/>
              </w:rPr>
              <w:t>2 points †</w:t>
            </w:r>
          </w:p>
        </w:tc>
      </w:tr>
    </w:tbl>
    <w:p w14:paraId="015EC5DB" w14:textId="77777777" w:rsidR="00852C32" w:rsidRPr="00591564" w:rsidRDefault="00852C32" w:rsidP="00052EB3">
      <w:pPr>
        <w:spacing w:after="0" w:line="240" w:lineRule="auto"/>
        <w:rPr>
          <w:rFonts w:ascii="Arial" w:hAnsi="Arial" w:cs="Arial"/>
          <w:sz w:val="17"/>
          <w:szCs w:val="17"/>
          <w:vertAlign w:val="superscript"/>
          <w:lang w:val="en-GB"/>
        </w:rPr>
      </w:pPr>
    </w:p>
    <w:p w14:paraId="713F1110" w14:textId="7D3BFCD0" w:rsidR="00052EB3" w:rsidRPr="00591564" w:rsidRDefault="00052EB3" w:rsidP="00052EB3">
      <w:pPr>
        <w:spacing w:after="0" w:line="240" w:lineRule="auto"/>
        <w:rPr>
          <w:rFonts w:ascii="Arial" w:eastAsia="Times New Roman" w:hAnsi="Arial" w:cs="Arial"/>
          <w:sz w:val="17"/>
          <w:szCs w:val="17"/>
          <w:lang w:val="en-GB" w:eastAsia="nl-NL"/>
        </w:rPr>
      </w:pPr>
      <w:r w:rsidRPr="00591564">
        <w:rPr>
          <w:rFonts w:ascii="Arial" w:hAnsi="Arial" w:cs="Arial"/>
          <w:sz w:val="17"/>
          <w:szCs w:val="17"/>
          <w:vertAlign w:val="superscript"/>
          <w:lang w:val="en-GB"/>
        </w:rPr>
        <w:t>a</w:t>
      </w:r>
      <w:r w:rsidRPr="00591564">
        <w:rPr>
          <w:rFonts w:ascii="Arial" w:eastAsia="Times New Roman" w:hAnsi="Arial" w:cs="Arial"/>
          <w:sz w:val="17"/>
          <w:szCs w:val="17"/>
          <w:lang w:val="en-GB" w:eastAsia="nl-NL"/>
        </w:rPr>
        <w:t xml:space="preserve"> Study not included in meta-analysis due to FDG-PET/CT not performed in every patient (in some patients FDG-PET scan without CT).</w:t>
      </w:r>
    </w:p>
    <w:p w14:paraId="6CA0EF8F" w14:textId="0D10A5FD" w:rsidR="006E3607" w:rsidRPr="00591564" w:rsidRDefault="006E3607" w:rsidP="00052EB3">
      <w:pPr>
        <w:spacing w:after="0" w:line="240" w:lineRule="auto"/>
        <w:rPr>
          <w:rFonts w:ascii="Arial" w:hAnsi="Arial" w:cs="Arial"/>
          <w:sz w:val="17"/>
          <w:szCs w:val="17"/>
          <w:lang w:val="en-GB"/>
        </w:rPr>
      </w:pPr>
      <w:r w:rsidRPr="00591564">
        <w:rPr>
          <w:rFonts w:ascii="Arial" w:hAnsi="Arial" w:cs="Arial"/>
          <w:sz w:val="17"/>
          <w:szCs w:val="17"/>
          <w:lang w:val="en-GB"/>
        </w:rPr>
        <w:t>* Data overlap (same study): results of the FDG-PET/CT score of the number of positive sites were used for the meta-analysis, since this scoring systemic encompassed a clear definition of FDG-PET/CT positive sites.</w:t>
      </w:r>
    </w:p>
    <w:p w14:paraId="021C7D49" w14:textId="1A4EAACB" w:rsidR="006E3607" w:rsidRPr="00591564" w:rsidRDefault="006E3607" w:rsidP="00052EB3">
      <w:pPr>
        <w:spacing w:after="0" w:line="240" w:lineRule="auto"/>
        <w:rPr>
          <w:rFonts w:ascii="Arial" w:hAnsi="Arial" w:cs="Arial"/>
          <w:sz w:val="17"/>
          <w:szCs w:val="17"/>
          <w:lang w:val="en-GB"/>
        </w:rPr>
      </w:pPr>
      <w:r w:rsidRPr="00591564">
        <w:rPr>
          <w:rFonts w:ascii="Arial" w:hAnsi="Arial" w:cs="Arial"/>
          <w:sz w:val="17"/>
          <w:szCs w:val="17"/>
          <w:lang w:val="en-GB"/>
        </w:rPr>
        <w:t xml:space="preserve">† Data overlap (same hospital, same time period): results of the FDG-PET/CT score of Takahashi et al. were used for the meta-analysis, since this study contained more patients than the study reported by Yamashita et al. </w:t>
      </w:r>
    </w:p>
    <w:p w14:paraId="56FAE32B" w14:textId="71E9D604" w:rsidR="00852C32" w:rsidRPr="00591564" w:rsidRDefault="00852C32" w:rsidP="00052EB3">
      <w:pPr>
        <w:spacing w:after="0" w:line="240" w:lineRule="auto"/>
        <w:rPr>
          <w:rFonts w:ascii="Arial" w:hAnsi="Arial" w:cs="Arial"/>
          <w:sz w:val="18"/>
          <w:szCs w:val="18"/>
          <w:lang w:val="en-GB"/>
        </w:rPr>
      </w:pPr>
    </w:p>
    <w:p w14:paraId="32C438C9" w14:textId="2CC34F10" w:rsidR="00852C32" w:rsidRPr="00591564" w:rsidRDefault="00852C32" w:rsidP="00052EB3">
      <w:pPr>
        <w:spacing w:after="0" w:line="240" w:lineRule="auto"/>
        <w:rPr>
          <w:rFonts w:ascii="Arial" w:hAnsi="Arial" w:cs="Arial"/>
          <w:sz w:val="18"/>
          <w:szCs w:val="18"/>
          <w:lang w:val="en-GB"/>
        </w:rPr>
      </w:pPr>
    </w:p>
    <w:p w14:paraId="73562B07" w14:textId="77777777" w:rsidR="00852C32" w:rsidRPr="00591564" w:rsidRDefault="00852C32" w:rsidP="00052EB3">
      <w:pPr>
        <w:spacing w:after="0" w:line="240" w:lineRule="auto"/>
        <w:rPr>
          <w:rFonts w:ascii="Arial" w:hAnsi="Arial" w:cs="Arial"/>
          <w:sz w:val="18"/>
          <w:szCs w:val="18"/>
          <w:lang w:val="en-GB"/>
        </w:rPr>
      </w:pPr>
    </w:p>
    <w:p w14:paraId="7622243D" w14:textId="3210018E" w:rsidR="00F67638" w:rsidRPr="00591564" w:rsidRDefault="006E3607" w:rsidP="00852C32">
      <w:pPr>
        <w:spacing w:after="0" w:line="240" w:lineRule="auto"/>
        <w:rPr>
          <w:rFonts w:ascii="Arial" w:hAnsi="Arial" w:cs="Arial"/>
          <w:sz w:val="20"/>
          <w:szCs w:val="20"/>
          <w:lang w:val="en-GB"/>
        </w:rPr>
      </w:pPr>
      <w:r w:rsidRPr="00591564">
        <w:rPr>
          <w:rFonts w:ascii="Arial" w:hAnsi="Arial" w:cs="Arial"/>
          <w:sz w:val="16"/>
          <w:szCs w:val="16"/>
          <w:lang w:val="en-GB"/>
        </w:rPr>
        <w:lastRenderedPageBreak/>
        <w:t xml:space="preserve"> </w:t>
      </w:r>
      <w:r w:rsidR="00F67638" w:rsidRPr="00591564">
        <w:rPr>
          <w:rFonts w:ascii="Arial" w:hAnsi="Arial" w:cs="Arial"/>
          <w:b/>
          <w:sz w:val="20"/>
          <w:szCs w:val="20"/>
          <w:lang w:val="en-GB"/>
        </w:rPr>
        <w:t xml:space="preserve">Supplementary Table 2. </w:t>
      </w:r>
      <w:r w:rsidR="006F0573" w:rsidRPr="00591564">
        <w:rPr>
          <w:rFonts w:ascii="Arial" w:hAnsi="Arial" w:cs="Arial"/>
          <w:b/>
          <w:sz w:val="20"/>
          <w:szCs w:val="20"/>
          <w:lang w:val="en-GB"/>
        </w:rPr>
        <w:t>[18F]</w:t>
      </w:r>
      <w:r w:rsidR="00F67638" w:rsidRPr="00591564">
        <w:rPr>
          <w:rFonts w:ascii="Arial" w:hAnsi="Arial" w:cs="Arial"/>
          <w:b/>
          <w:sz w:val="20"/>
          <w:szCs w:val="20"/>
          <w:lang w:val="en-GB"/>
        </w:rPr>
        <w:t>FDG-PET/CT findings and clinical/biochemical aspects of PMR.</w:t>
      </w:r>
      <w:r w:rsidR="00F67638" w:rsidRPr="00591564">
        <w:rPr>
          <w:rFonts w:ascii="Arial" w:hAnsi="Arial" w:cs="Arial"/>
          <w:sz w:val="20"/>
          <w:szCs w:val="20"/>
          <w:lang w:val="en-GB"/>
        </w:rPr>
        <w:t xml:space="preserve"> </w:t>
      </w:r>
      <w:r w:rsidR="00852C32" w:rsidRPr="00591564">
        <w:rPr>
          <w:rFonts w:ascii="Arial" w:hAnsi="Arial" w:cs="Arial"/>
          <w:sz w:val="20"/>
          <w:szCs w:val="20"/>
          <w:lang w:val="en-GB"/>
        </w:rPr>
        <w:t>NR = not reported.</w:t>
      </w:r>
    </w:p>
    <w:p w14:paraId="45811AFF" w14:textId="77777777" w:rsidR="00852C32" w:rsidRPr="00591564" w:rsidRDefault="00852C32" w:rsidP="00852C32">
      <w:pPr>
        <w:spacing w:after="0" w:line="240" w:lineRule="auto"/>
        <w:rPr>
          <w:rFonts w:ascii="Arial" w:hAnsi="Arial" w:cs="Arial"/>
          <w:lang w:val="en-GB"/>
        </w:rPr>
      </w:pPr>
    </w:p>
    <w:tbl>
      <w:tblPr>
        <w:tblStyle w:val="Tabelraster"/>
        <w:tblW w:w="13745" w:type="dxa"/>
        <w:tblLayout w:type="fixed"/>
        <w:tblLook w:val="04A0" w:firstRow="1" w:lastRow="0" w:firstColumn="1" w:lastColumn="0" w:noHBand="0" w:noVBand="1"/>
      </w:tblPr>
      <w:tblGrid>
        <w:gridCol w:w="1271"/>
        <w:gridCol w:w="1782"/>
        <w:gridCol w:w="1782"/>
        <w:gridCol w:w="1782"/>
        <w:gridCol w:w="1782"/>
        <w:gridCol w:w="1782"/>
        <w:gridCol w:w="1782"/>
        <w:gridCol w:w="1782"/>
      </w:tblGrid>
      <w:tr w:rsidR="00F67638" w:rsidRPr="00591564" w14:paraId="26D71277" w14:textId="77777777" w:rsidTr="001F1D6C">
        <w:trPr>
          <w:trHeight w:val="285"/>
        </w:trPr>
        <w:tc>
          <w:tcPr>
            <w:tcW w:w="1271" w:type="dxa"/>
            <w:noWrap/>
            <w:hideMark/>
          </w:tcPr>
          <w:p w14:paraId="16D52D0D" w14:textId="77777777" w:rsidR="00F67638" w:rsidRPr="00591564" w:rsidRDefault="00F67638" w:rsidP="001F1D6C">
            <w:pPr>
              <w:rPr>
                <w:rFonts w:ascii="Arial" w:eastAsia="Times New Roman" w:hAnsi="Arial" w:cs="Arial"/>
                <w:b/>
                <w:bCs/>
                <w:color w:val="000000"/>
                <w:sz w:val="16"/>
                <w:szCs w:val="16"/>
                <w:lang w:val="en-GB" w:eastAsia="nl-NL"/>
              </w:rPr>
            </w:pPr>
            <w:r w:rsidRPr="00591564">
              <w:rPr>
                <w:rFonts w:ascii="Arial" w:eastAsia="Times New Roman" w:hAnsi="Arial" w:cs="Arial"/>
                <w:b/>
                <w:bCs/>
                <w:color w:val="000000"/>
                <w:sz w:val="16"/>
                <w:szCs w:val="16"/>
                <w:lang w:val="en-GB" w:eastAsia="nl-NL"/>
              </w:rPr>
              <w:t>Study</w:t>
            </w:r>
          </w:p>
        </w:tc>
        <w:tc>
          <w:tcPr>
            <w:tcW w:w="1782" w:type="dxa"/>
          </w:tcPr>
          <w:p w14:paraId="0B2E0CFD" w14:textId="77777777" w:rsidR="00F67638" w:rsidRPr="00591564" w:rsidRDefault="00F67638" w:rsidP="001F1D6C">
            <w:pPr>
              <w:rPr>
                <w:rFonts w:ascii="Arial" w:eastAsia="Times New Roman" w:hAnsi="Arial" w:cs="Arial"/>
                <w:b/>
                <w:bCs/>
                <w:color w:val="000000"/>
                <w:sz w:val="16"/>
                <w:szCs w:val="16"/>
                <w:lang w:val="en-GB" w:eastAsia="nl-NL"/>
              </w:rPr>
            </w:pPr>
            <w:r w:rsidRPr="00591564">
              <w:rPr>
                <w:rFonts w:ascii="Arial" w:eastAsia="Times New Roman" w:hAnsi="Arial" w:cs="Arial"/>
                <w:b/>
                <w:bCs/>
                <w:color w:val="000000"/>
                <w:sz w:val="16"/>
                <w:szCs w:val="16"/>
                <w:lang w:val="en-GB" w:eastAsia="nl-NL"/>
              </w:rPr>
              <w:t xml:space="preserve">FDG-PET/CT abnormalities symmetrical </w:t>
            </w:r>
          </w:p>
        </w:tc>
        <w:tc>
          <w:tcPr>
            <w:tcW w:w="1782" w:type="dxa"/>
            <w:noWrap/>
            <w:hideMark/>
          </w:tcPr>
          <w:p w14:paraId="00B50168" w14:textId="77777777" w:rsidR="00F67638" w:rsidRPr="00591564" w:rsidRDefault="00F67638" w:rsidP="001F1D6C">
            <w:pPr>
              <w:rPr>
                <w:rFonts w:ascii="Arial" w:eastAsia="Times New Roman" w:hAnsi="Arial" w:cs="Arial"/>
                <w:b/>
                <w:bCs/>
                <w:color w:val="000000"/>
                <w:sz w:val="16"/>
                <w:szCs w:val="16"/>
                <w:lang w:val="en-GB" w:eastAsia="nl-NL"/>
              </w:rPr>
            </w:pPr>
            <w:r w:rsidRPr="00591564">
              <w:rPr>
                <w:rFonts w:ascii="Arial" w:eastAsia="Times New Roman" w:hAnsi="Arial" w:cs="Arial"/>
                <w:b/>
                <w:bCs/>
                <w:color w:val="000000"/>
                <w:sz w:val="16"/>
                <w:szCs w:val="16"/>
                <w:lang w:val="en-GB" w:eastAsia="nl-NL"/>
              </w:rPr>
              <w:t xml:space="preserve">Relationship FDG-PET/CT with age and sex </w:t>
            </w:r>
          </w:p>
        </w:tc>
        <w:tc>
          <w:tcPr>
            <w:tcW w:w="1782" w:type="dxa"/>
          </w:tcPr>
          <w:p w14:paraId="3B03AECD" w14:textId="77777777" w:rsidR="00F67638" w:rsidRPr="00591564" w:rsidRDefault="00F67638" w:rsidP="001F1D6C">
            <w:pPr>
              <w:rPr>
                <w:rFonts w:ascii="Arial" w:eastAsia="Times New Roman" w:hAnsi="Arial" w:cs="Arial"/>
                <w:b/>
                <w:bCs/>
                <w:color w:val="000000"/>
                <w:sz w:val="16"/>
                <w:szCs w:val="16"/>
                <w:lang w:val="en-GB" w:eastAsia="nl-NL"/>
              </w:rPr>
            </w:pPr>
            <w:r w:rsidRPr="00591564">
              <w:rPr>
                <w:rFonts w:ascii="Arial" w:eastAsia="Times New Roman" w:hAnsi="Arial" w:cs="Arial"/>
                <w:b/>
                <w:bCs/>
                <w:color w:val="000000"/>
                <w:sz w:val="16"/>
                <w:szCs w:val="16"/>
                <w:lang w:val="en-GB" w:eastAsia="nl-NL"/>
              </w:rPr>
              <w:t>Relationship FDG-PET/CT  with symptoms</w:t>
            </w:r>
          </w:p>
        </w:tc>
        <w:tc>
          <w:tcPr>
            <w:tcW w:w="1782" w:type="dxa"/>
          </w:tcPr>
          <w:p w14:paraId="1755B4E9" w14:textId="77777777" w:rsidR="00F67638" w:rsidRPr="00591564" w:rsidRDefault="00F67638" w:rsidP="001F1D6C">
            <w:pPr>
              <w:rPr>
                <w:rFonts w:ascii="Arial" w:eastAsia="Times New Roman" w:hAnsi="Arial" w:cs="Arial"/>
                <w:b/>
                <w:bCs/>
                <w:color w:val="000000"/>
                <w:sz w:val="16"/>
                <w:szCs w:val="16"/>
                <w:lang w:val="en-GB" w:eastAsia="nl-NL"/>
              </w:rPr>
            </w:pPr>
            <w:r w:rsidRPr="00591564">
              <w:rPr>
                <w:rFonts w:ascii="Arial" w:eastAsia="Times New Roman" w:hAnsi="Arial" w:cs="Arial"/>
                <w:b/>
                <w:bCs/>
                <w:color w:val="000000"/>
                <w:sz w:val="16"/>
                <w:szCs w:val="16"/>
                <w:lang w:val="en-GB" w:eastAsia="nl-NL"/>
              </w:rPr>
              <w:t>Relationship FDG-PET/CT with inflammation markers</w:t>
            </w:r>
          </w:p>
        </w:tc>
        <w:tc>
          <w:tcPr>
            <w:tcW w:w="1782" w:type="dxa"/>
          </w:tcPr>
          <w:p w14:paraId="4E0A03B1" w14:textId="77777777" w:rsidR="00F67638" w:rsidRPr="00591564" w:rsidRDefault="00F67638" w:rsidP="001F1D6C">
            <w:pPr>
              <w:rPr>
                <w:rFonts w:ascii="Arial" w:eastAsia="Times New Roman" w:hAnsi="Arial" w:cs="Arial"/>
                <w:b/>
                <w:bCs/>
                <w:color w:val="000000"/>
                <w:sz w:val="16"/>
                <w:szCs w:val="16"/>
                <w:lang w:val="en-GB" w:eastAsia="nl-NL"/>
              </w:rPr>
            </w:pPr>
            <w:r w:rsidRPr="00591564">
              <w:rPr>
                <w:rFonts w:ascii="Arial" w:eastAsia="Times New Roman" w:hAnsi="Arial" w:cs="Arial"/>
                <w:b/>
                <w:bCs/>
                <w:color w:val="000000"/>
                <w:sz w:val="16"/>
                <w:szCs w:val="16"/>
                <w:lang w:val="en-GB" w:eastAsia="nl-NL"/>
              </w:rPr>
              <w:t>Difference between FDG-PET/CT with/without concomitant treatment</w:t>
            </w:r>
          </w:p>
        </w:tc>
        <w:tc>
          <w:tcPr>
            <w:tcW w:w="1782" w:type="dxa"/>
            <w:noWrap/>
            <w:hideMark/>
          </w:tcPr>
          <w:p w14:paraId="713C8E37" w14:textId="77777777" w:rsidR="00F67638" w:rsidRPr="00591564" w:rsidRDefault="00F67638" w:rsidP="001F1D6C">
            <w:pPr>
              <w:rPr>
                <w:rFonts w:ascii="Arial" w:eastAsia="Times New Roman" w:hAnsi="Arial" w:cs="Arial"/>
                <w:b/>
                <w:bCs/>
                <w:color w:val="000000"/>
                <w:sz w:val="16"/>
                <w:szCs w:val="16"/>
                <w:lang w:val="en-GB" w:eastAsia="nl-NL"/>
              </w:rPr>
            </w:pPr>
            <w:r w:rsidRPr="00591564">
              <w:rPr>
                <w:rFonts w:ascii="Arial" w:eastAsia="Times New Roman" w:hAnsi="Arial" w:cs="Arial"/>
                <w:b/>
                <w:bCs/>
                <w:color w:val="000000"/>
                <w:sz w:val="16"/>
                <w:szCs w:val="16"/>
                <w:lang w:val="en-GB" w:eastAsia="nl-NL"/>
              </w:rPr>
              <w:t>Detection of large vessel GCA or malignancy on FDG-PET/CT</w:t>
            </w:r>
          </w:p>
        </w:tc>
        <w:tc>
          <w:tcPr>
            <w:tcW w:w="1782" w:type="dxa"/>
            <w:noWrap/>
            <w:hideMark/>
          </w:tcPr>
          <w:p w14:paraId="3B28C9EB" w14:textId="77777777" w:rsidR="00F67638" w:rsidRPr="00591564" w:rsidRDefault="00F67638" w:rsidP="001F1D6C">
            <w:pPr>
              <w:rPr>
                <w:rFonts w:ascii="Arial" w:eastAsia="Times New Roman" w:hAnsi="Arial" w:cs="Arial"/>
                <w:b/>
                <w:bCs/>
                <w:color w:val="000000"/>
                <w:sz w:val="16"/>
                <w:szCs w:val="16"/>
                <w:lang w:val="en-GB" w:eastAsia="nl-NL"/>
              </w:rPr>
            </w:pPr>
            <w:r w:rsidRPr="00591564">
              <w:rPr>
                <w:rFonts w:ascii="Arial" w:eastAsia="Times New Roman" w:hAnsi="Arial" w:cs="Arial"/>
                <w:b/>
                <w:bCs/>
                <w:color w:val="000000"/>
                <w:sz w:val="16"/>
                <w:szCs w:val="16"/>
                <w:lang w:val="en-GB" w:eastAsia="nl-NL"/>
              </w:rPr>
              <w:t>Disease monitoring by FDG-PET/CT</w:t>
            </w:r>
          </w:p>
        </w:tc>
      </w:tr>
      <w:tr w:rsidR="00F67638" w:rsidRPr="00591564" w14:paraId="1A45A259" w14:textId="77777777" w:rsidTr="001F1D6C">
        <w:trPr>
          <w:trHeight w:val="285"/>
        </w:trPr>
        <w:tc>
          <w:tcPr>
            <w:tcW w:w="1271" w:type="dxa"/>
            <w:noWrap/>
            <w:hideMark/>
          </w:tcPr>
          <w:p w14:paraId="23EC2DC2" w14:textId="77777777" w:rsidR="00F67638" w:rsidRPr="00591564" w:rsidRDefault="00F67638" w:rsidP="001F1D6C">
            <w:pPr>
              <w:rPr>
                <w:rFonts w:ascii="Arial" w:eastAsia="Times New Roman" w:hAnsi="Arial" w:cs="Arial"/>
                <w:color w:val="000000"/>
                <w:sz w:val="16"/>
                <w:szCs w:val="16"/>
                <w:lang w:val="en-GB" w:eastAsia="nl-NL"/>
              </w:rPr>
            </w:pPr>
            <w:proofErr w:type="spellStart"/>
            <w:r w:rsidRPr="00591564">
              <w:rPr>
                <w:rFonts w:ascii="Arial" w:eastAsia="Times New Roman" w:hAnsi="Arial" w:cs="Arial"/>
                <w:color w:val="000000"/>
                <w:sz w:val="16"/>
                <w:szCs w:val="16"/>
                <w:lang w:val="en-GB" w:eastAsia="nl-NL"/>
              </w:rPr>
              <w:t>Camellino</w:t>
            </w:r>
            <w:proofErr w:type="spellEnd"/>
            <w:r w:rsidRPr="00591564">
              <w:rPr>
                <w:rFonts w:ascii="Arial" w:eastAsia="Times New Roman" w:hAnsi="Arial" w:cs="Arial"/>
                <w:color w:val="000000"/>
                <w:sz w:val="16"/>
                <w:szCs w:val="16"/>
                <w:lang w:val="en-GB" w:eastAsia="nl-NL"/>
              </w:rPr>
              <w:t xml:space="preserve"> et al.</w:t>
            </w:r>
          </w:p>
          <w:p w14:paraId="36A42CBD"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(2014)</w:t>
            </w:r>
          </w:p>
        </w:tc>
        <w:tc>
          <w:tcPr>
            <w:tcW w:w="1782" w:type="dxa"/>
          </w:tcPr>
          <w:p w14:paraId="53553084"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06331A56"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71861BAC"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FDG uptake at cervical/lumbar interspinous bursa showed no relationship with local pain or morning stiffness. </w:t>
            </w:r>
          </w:p>
        </w:tc>
        <w:tc>
          <w:tcPr>
            <w:tcW w:w="1782" w:type="dxa"/>
          </w:tcPr>
          <w:p w14:paraId="40E08BCC"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FDG uptake at cervical/lumbar interspinous bursa showed no relationship with ESR/CRP.</w:t>
            </w:r>
          </w:p>
        </w:tc>
        <w:tc>
          <w:tcPr>
            <w:tcW w:w="1782" w:type="dxa"/>
          </w:tcPr>
          <w:p w14:paraId="015FE3C2"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56B14A5D"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Patients with PMR included. Carotid artery vasculitis in 5% of patients (not associated with neck pain). </w:t>
            </w:r>
          </w:p>
        </w:tc>
        <w:tc>
          <w:tcPr>
            <w:tcW w:w="1782" w:type="dxa"/>
            <w:noWrap/>
            <w:hideMark/>
          </w:tcPr>
          <w:p w14:paraId="6A7EB729"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r>
      <w:tr w:rsidR="00F67638" w:rsidRPr="00591564" w14:paraId="0CD60F4E" w14:textId="77777777" w:rsidTr="001F1D6C">
        <w:trPr>
          <w:trHeight w:val="285"/>
        </w:trPr>
        <w:tc>
          <w:tcPr>
            <w:tcW w:w="1271" w:type="dxa"/>
            <w:noWrap/>
            <w:hideMark/>
          </w:tcPr>
          <w:p w14:paraId="7C71ECDF"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Charpentier et al. (2018)</w:t>
            </w:r>
          </w:p>
        </w:tc>
        <w:tc>
          <w:tcPr>
            <w:tcW w:w="1782" w:type="dxa"/>
          </w:tcPr>
          <w:p w14:paraId="39991E39"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42294A3F"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Lower composite FDG-PET/CT score in patients younger than 60 versus those older than 60; young patients were also more frequently male (65%) than old patients (29%).</w:t>
            </w:r>
          </w:p>
        </w:tc>
        <w:tc>
          <w:tcPr>
            <w:tcW w:w="1782" w:type="dxa"/>
          </w:tcPr>
          <w:p w14:paraId="45122F0C"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tcPr>
          <w:p w14:paraId="65A3C93B"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tcPr>
          <w:p w14:paraId="576BCF86"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5E052184"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noWrap/>
            <w:hideMark/>
          </w:tcPr>
          <w:p w14:paraId="05E3BCFE"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r>
      <w:tr w:rsidR="00F67638" w:rsidRPr="00591564" w14:paraId="72173A92" w14:textId="77777777" w:rsidTr="001F1D6C">
        <w:trPr>
          <w:trHeight w:val="285"/>
        </w:trPr>
        <w:tc>
          <w:tcPr>
            <w:tcW w:w="1271" w:type="dxa"/>
            <w:noWrap/>
            <w:hideMark/>
          </w:tcPr>
          <w:p w14:paraId="0B15CB34" w14:textId="77777777" w:rsidR="00F67638" w:rsidRPr="00591564" w:rsidRDefault="00F67638" w:rsidP="001F1D6C">
            <w:pPr>
              <w:rPr>
                <w:rFonts w:ascii="Arial" w:eastAsia="Times New Roman" w:hAnsi="Arial" w:cs="Arial"/>
                <w:color w:val="000000"/>
                <w:sz w:val="16"/>
                <w:szCs w:val="16"/>
                <w:lang w:val="en-GB" w:eastAsia="nl-NL"/>
              </w:rPr>
            </w:pPr>
            <w:proofErr w:type="spellStart"/>
            <w:r w:rsidRPr="00591564">
              <w:rPr>
                <w:rFonts w:ascii="Arial" w:eastAsia="Times New Roman" w:hAnsi="Arial" w:cs="Arial"/>
                <w:color w:val="000000"/>
                <w:sz w:val="16"/>
                <w:szCs w:val="16"/>
                <w:lang w:val="en-GB" w:eastAsia="nl-NL"/>
              </w:rPr>
              <w:t>Cimmino</w:t>
            </w:r>
            <w:proofErr w:type="spellEnd"/>
            <w:r w:rsidRPr="00591564">
              <w:rPr>
                <w:rFonts w:ascii="Arial" w:eastAsia="Times New Roman" w:hAnsi="Arial" w:cs="Arial"/>
                <w:color w:val="000000"/>
                <w:sz w:val="16"/>
                <w:szCs w:val="16"/>
                <w:lang w:val="en-GB" w:eastAsia="nl-NL"/>
              </w:rPr>
              <w:t xml:space="preserve"> et al. (2013)</w:t>
            </w:r>
          </w:p>
        </w:tc>
        <w:tc>
          <w:tcPr>
            <w:tcW w:w="1782" w:type="dxa"/>
          </w:tcPr>
          <w:p w14:paraId="5E212F47"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Complete symmetry of abnormal FDG uptake at various knee structures in 40% of patients. </w:t>
            </w:r>
          </w:p>
        </w:tc>
        <w:tc>
          <w:tcPr>
            <w:tcW w:w="1782" w:type="dxa"/>
            <w:noWrap/>
            <w:hideMark/>
          </w:tcPr>
          <w:p w14:paraId="3A1FA922"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6BA85E3B"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FDG uptake at knee associated with longer morning stiffness and more pain on movement at pelvic girdle.</w:t>
            </w:r>
          </w:p>
        </w:tc>
        <w:tc>
          <w:tcPr>
            <w:tcW w:w="1782" w:type="dxa"/>
          </w:tcPr>
          <w:p w14:paraId="3533F851"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FDG uptake at knee showed no relationship with ESR/CRP</w:t>
            </w:r>
          </w:p>
        </w:tc>
        <w:tc>
          <w:tcPr>
            <w:tcW w:w="1782" w:type="dxa"/>
          </w:tcPr>
          <w:p w14:paraId="25CA1112"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53FDAA9E"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noWrap/>
            <w:hideMark/>
          </w:tcPr>
          <w:p w14:paraId="45874963"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r>
      <w:tr w:rsidR="00F67638" w:rsidRPr="00591564" w14:paraId="4905DFD5" w14:textId="77777777" w:rsidTr="001F1D6C">
        <w:trPr>
          <w:trHeight w:val="285"/>
        </w:trPr>
        <w:tc>
          <w:tcPr>
            <w:tcW w:w="1271" w:type="dxa"/>
            <w:noWrap/>
            <w:hideMark/>
          </w:tcPr>
          <w:p w14:paraId="002EEA8E" w14:textId="77777777" w:rsidR="00F67638" w:rsidRPr="00591564" w:rsidRDefault="00F67638" w:rsidP="001F1D6C">
            <w:pPr>
              <w:rPr>
                <w:rFonts w:ascii="Arial" w:eastAsia="Times New Roman" w:hAnsi="Arial" w:cs="Arial"/>
                <w:color w:val="000000"/>
                <w:sz w:val="16"/>
                <w:szCs w:val="16"/>
                <w:lang w:val="en-GB" w:eastAsia="nl-NL"/>
              </w:rPr>
            </w:pPr>
            <w:proofErr w:type="spellStart"/>
            <w:r w:rsidRPr="00591564">
              <w:rPr>
                <w:rFonts w:ascii="Arial" w:eastAsia="Times New Roman" w:hAnsi="Arial" w:cs="Arial"/>
                <w:color w:val="000000"/>
                <w:sz w:val="16"/>
                <w:szCs w:val="16"/>
                <w:lang w:val="en-GB" w:eastAsia="nl-NL"/>
              </w:rPr>
              <w:t>Devauchelle-Pensec</w:t>
            </w:r>
            <w:proofErr w:type="spellEnd"/>
            <w:r w:rsidRPr="00591564">
              <w:rPr>
                <w:rFonts w:ascii="Arial" w:eastAsia="Times New Roman" w:hAnsi="Arial" w:cs="Arial"/>
                <w:color w:val="000000"/>
                <w:sz w:val="16"/>
                <w:szCs w:val="16"/>
                <w:lang w:val="en-GB" w:eastAsia="nl-NL"/>
              </w:rPr>
              <w:t xml:space="preserve"> et al. (2016)</w:t>
            </w:r>
          </w:p>
        </w:tc>
        <w:tc>
          <w:tcPr>
            <w:tcW w:w="1782" w:type="dxa"/>
          </w:tcPr>
          <w:p w14:paraId="22E8F246"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5DA3331B"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58EC8C91"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05D976E3"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02B29EA3"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197C8139"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noWrap/>
            <w:hideMark/>
          </w:tcPr>
          <w:p w14:paraId="58762F6A"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Decrease of </w:t>
            </w:r>
            <w:proofErr w:type="spellStart"/>
            <w:r w:rsidRPr="00591564">
              <w:rPr>
                <w:rFonts w:ascii="Arial" w:eastAsia="Times New Roman" w:hAnsi="Arial" w:cs="Arial"/>
                <w:color w:val="000000"/>
                <w:sz w:val="16"/>
                <w:szCs w:val="16"/>
                <w:lang w:val="en-GB" w:eastAsia="nl-NL"/>
              </w:rPr>
              <w:t>SUVmax</w:t>
            </w:r>
            <w:proofErr w:type="spellEnd"/>
            <w:r w:rsidRPr="00591564">
              <w:rPr>
                <w:rFonts w:ascii="Arial" w:eastAsia="Times New Roman" w:hAnsi="Arial" w:cs="Arial"/>
                <w:color w:val="000000"/>
                <w:sz w:val="16"/>
                <w:szCs w:val="16"/>
                <w:lang w:val="en-GB" w:eastAsia="nl-NL"/>
              </w:rPr>
              <w:t xml:space="preserve"> at hips rather than shoulders after 12 weeks of tocilizumab treatment.</w:t>
            </w:r>
          </w:p>
        </w:tc>
      </w:tr>
      <w:tr w:rsidR="00F67638" w:rsidRPr="00591564" w14:paraId="6FC5D3DA" w14:textId="77777777" w:rsidTr="001F1D6C">
        <w:trPr>
          <w:trHeight w:val="285"/>
        </w:trPr>
        <w:tc>
          <w:tcPr>
            <w:tcW w:w="1271" w:type="dxa"/>
            <w:noWrap/>
            <w:hideMark/>
          </w:tcPr>
          <w:p w14:paraId="0168BE8E" w14:textId="77777777" w:rsidR="00F67638" w:rsidRPr="00591564" w:rsidRDefault="00F67638" w:rsidP="001F1D6C">
            <w:pPr>
              <w:rPr>
                <w:rFonts w:ascii="Arial" w:eastAsia="Times New Roman" w:hAnsi="Arial" w:cs="Arial"/>
                <w:sz w:val="16"/>
                <w:szCs w:val="16"/>
                <w:lang w:val="en-GB" w:eastAsia="nl-NL"/>
              </w:rPr>
            </w:pPr>
            <w:proofErr w:type="spellStart"/>
            <w:r w:rsidRPr="00591564">
              <w:rPr>
                <w:rFonts w:ascii="Arial" w:eastAsia="Times New Roman" w:hAnsi="Arial" w:cs="Arial"/>
                <w:sz w:val="16"/>
                <w:szCs w:val="16"/>
                <w:lang w:val="en-GB" w:eastAsia="nl-NL"/>
              </w:rPr>
              <w:t>Henckaerts</w:t>
            </w:r>
            <w:proofErr w:type="spellEnd"/>
            <w:r w:rsidRPr="00591564">
              <w:rPr>
                <w:rFonts w:ascii="Arial" w:eastAsia="Times New Roman" w:hAnsi="Arial" w:cs="Arial"/>
                <w:sz w:val="16"/>
                <w:szCs w:val="16"/>
                <w:lang w:val="en-GB" w:eastAsia="nl-NL"/>
              </w:rPr>
              <w:t xml:space="preserve"> et al. (2018)</w:t>
            </w:r>
          </w:p>
        </w:tc>
        <w:tc>
          <w:tcPr>
            <w:tcW w:w="1782" w:type="dxa"/>
          </w:tcPr>
          <w:p w14:paraId="2A630EB3"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3537BCF3"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3658860A"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7D1B01F6"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1027382D"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4BA2C8ED" w14:textId="02BE9989"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Patients with suspected PMR with/without symptoms of giant cell arteritis</w:t>
            </w:r>
            <w:r w:rsidR="00852C32" w:rsidRPr="00591564">
              <w:rPr>
                <w:rFonts w:ascii="Arial" w:eastAsia="Times New Roman" w:hAnsi="Arial" w:cs="Arial"/>
                <w:color w:val="000000"/>
                <w:sz w:val="16"/>
                <w:szCs w:val="16"/>
                <w:lang w:val="en-GB" w:eastAsia="nl-NL"/>
              </w:rPr>
              <w:t xml:space="preserve"> </w:t>
            </w:r>
            <w:r w:rsidRPr="00591564">
              <w:rPr>
                <w:rFonts w:ascii="Arial" w:eastAsia="Times New Roman" w:hAnsi="Arial" w:cs="Arial"/>
                <w:color w:val="000000"/>
                <w:sz w:val="16"/>
                <w:szCs w:val="16"/>
                <w:lang w:val="en-GB" w:eastAsia="nl-NL"/>
              </w:rPr>
              <w:t>included; 15% of PMR patients and 6% of non-PMR patients arterial FDG uptake equal to or more than liver)</w:t>
            </w:r>
            <w:r w:rsidR="00852C32" w:rsidRPr="00591564">
              <w:rPr>
                <w:rFonts w:ascii="Arial" w:eastAsia="Times New Roman" w:hAnsi="Arial" w:cs="Arial"/>
                <w:color w:val="000000"/>
                <w:sz w:val="16"/>
                <w:szCs w:val="16"/>
                <w:lang w:val="en-GB" w:eastAsia="nl-NL"/>
              </w:rPr>
              <w:t xml:space="preserve">. </w:t>
            </w:r>
            <w:r w:rsidRPr="00591564">
              <w:rPr>
                <w:rFonts w:ascii="Arial" w:eastAsia="Times New Roman" w:hAnsi="Arial" w:cs="Arial"/>
                <w:color w:val="000000"/>
                <w:sz w:val="16"/>
                <w:szCs w:val="16"/>
                <w:lang w:val="en-GB" w:eastAsia="nl-NL"/>
              </w:rPr>
              <w:t xml:space="preserve">In 3% of non-PMR patients FDG-PET/CT identified a (potential) malignancy. </w:t>
            </w:r>
          </w:p>
        </w:tc>
        <w:tc>
          <w:tcPr>
            <w:tcW w:w="1782" w:type="dxa"/>
            <w:noWrap/>
            <w:hideMark/>
          </w:tcPr>
          <w:p w14:paraId="3F02F6E0"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r>
      <w:tr w:rsidR="00F67638" w:rsidRPr="00591564" w14:paraId="50FBF1CD" w14:textId="77777777" w:rsidTr="001F1D6C">
        <w:trPr>
          <w:trHeight w:val="285"/>
        </w:trPr>
        <w:tc>
          <w:tcPr>
            <w:tcW w:w="1271" w:type="dxa"/>
            <w:noWrap/>
            <w:hideMark/>
          </w:tcPr>
          <w:p w14:paraId="135D424B" w14:textId="77777777" w:rsidR="00F67638" w:rsidRPr="00591564" w:rsidRDefault="00F67638" w:rsidP="001F1D6C">
            <w:pPr>
              <w:rPr>
                <w:rFonts w:ascii="Arial" w:eastAsia="Times New Roman" w:hAnsi="Arial" w:cs="Arial"/>
                <w:color w:val="000000"/>
                <w:sz w:val="16"/>
                <w:szCs w:val="16"/>
                <w:lang w:val="en-GB" w:eastAsia="nl-NL"/>
              </w:rPr>
            </w:pPr>
            <w:proofErr w:type="spellStart"/>
            <w:r w:rsidRPr="00591564">
              <w:rPr>
                <w:rFonts w:ascii="Arial" w:eastAsia="Times New Roman" w:hAnsi="Arial" w:cs="Arial"/>
                <w:color w:val="000000"/>
                <w:sz w:val="16"/>
                <w:szCs w:val="16"/>
                <w:lang w:val="en-GB" w:eastAsia="nl-NL"/>
              </w:rPr>
              <w:lastRenderedPageBreak/>
              <w:t>Horikoshi</w:t>
            </w:r>
            <w:proofErr w:type="spellEnd"/>
            <w:r w:rsidRPr="00591564">
              <w:rPr>
                <w:rFonts w:ascii="Arial" w:eastAsia="Times New Roman" w:hAnsi="Arial" w:cs="Arial"/>
                <w:color w:val="000000"/>
                <w:sz w:val="16"/>
                <w:szCs w:val="16"/>
                <w:lang w:val="en-GB" w:eastAsia="nl-NL"/>
              </w:rPr>
              <w:t xml:space="preserve"> et al. (2020) </w:t>
            </w:r>
          </w:p>
        </w:tc>
        <w:tc>
          <w:tcPr>
            <w:tcW w:w="1782" w:type="dxa"/>
          </w:tcPr>
          <w:p w14:paraId="7BC4E087"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4AE69E78"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0C5A2C00"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7A56BDA2"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6CB5F48C"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1B739313"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Patients with suspected PMR were included; in 38% of non-PMR patients FDG-PET/CT identified a (potential) malignancy.  </w:t>
            </w:r>
          </w:p>
        </w:tc>
        <w:tc>
          <w:tcPr>
            <w:tcW w:w="1782" w:type="dxa"/>
            <w:noWrap/>
            <w:hideMark/>
          </w:tcPr>
          <w:p w14:paraId="3BDE0F41"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r>
      <w:tr w:rsidR="00F67638" w:rsidRPr="00591564" w14:paraId="67E686E7" w14:textId="77777777" w:rsidTr="001F1D6C">
        <w:trPr>
          <w:trHeight w:val="285"/>
        </w:trPr>
        <w:tc>
          <w:tcPr>
            <w:tcW w:w="1271" w:type="dxa"/>
            <w:noWrap/>
            <w:hideMark/>
          </w:tcPr>
          <w:p w14:paraId="6C78205C" w14:textId="34F760A2"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Kaneko et al. (20</w:t>
            </w:r>
            <w:r w:rsidR="009F03EF" w:rsidRPr="00591564">
              <w:rPr>
                <w:rFonts w:ascii="Arial" w:eastAsia="Times New Roman" w:hAnsi="Arial" w:cs="Arial"/>
                <w:color w:val="000000"/>
                <w:sz w:val="16"/>
                <w:szCs w:val="16"/>
                <w:lang w:val="en-GB" w:eastAsia="nl-NL"/>
              </w:rPr>
              <w:t>20</w:t>
            </w:r>
            <w:r w:rsidRPr="00591564">
              <w:rPr>
                <w:rFonts w:ascii="Arial" w:eastAsia="Times New Roman" w:hAnsi="Arial" w:cs="Arial"/>
                <w:color w:val="000000"/>
                <w:sz w:val="16"/>
                <w:szCs w:val="16"/>
                <w:lang w:val="en-GB" w:eastAsia="nl-NL"/>
              </w:rPr>
              <w:t>)</w:t>
            </w:r>
          </w:p>
        </w:tc>
        <w:tc>
          <w:tcPr>
            <w:tcW w:w="1782" w:type="dxa"/>
          </w:tcPr>
          <w:p w14:paraId="577E4FEC"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23CCFD28"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0A18BB01"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71CAD62C"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0D875AC3"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1CB19939"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noWrap/>
            <w:hideMark/>
          </w:tcPr>
          <w:p w14:paraId="644FE3E4"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r>
      <w:tr w:rsidR="00F67638" w:rsidRPr="00591564" w14:paraId="69790E7B" w14:textId="77777777" w:rsidTr="001F1D6C">
        <w:trPr>
          <w:trHeight w:val="285"/>
        </w:trPr>
        <w:tc>
          <w:tcPr>
            <w:tcW w:w="1271" w:type="dxa"/>
            <w:noWrap/>
            <w:hideMark/>
          </w:tcPr>
          <w:p w14:paraId="11D24D66"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Lund-Petersen et al. (2017)</w:t>
            </w:r>
          </w:p>
        </w:tc>
        <w:tc>
          <w:tcPr>
            <w:tcW w:w="1782" w:type="dxa"/>
          </w:tcPr>
          <w:p w14:paraId="4BEFF0BC"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4EF33C5B"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645F43A7"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FDG uptake at interspinous bursa, hips or ischial tuberosity showed no relationship with local pain.  </w:t>
            </w:r>
          </w:p>
        </w:tc>
        <w:tc>
          <w:tcPr>
            <w:tcW w:w="1782" w:type="dxa"/>
          </w:tcPr>
          <w:p w14:paraId="35B33A48"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FDG uptake at individual anatomic sites showed no relationship with CRP.</w:t>
            </w:r>
          </w:p>
        </w:tc>
        <w:tc>
          <w:tcPr>
            <w:tcW w:w="1782" w:type="dxa"/>
          </w:tcPr>
          <w:p w14:paraId="37CFA31D"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Completely normal FDG-PET/CT in 33% of patients with PMR taking glucocorticoids; scans were abnormal in all glucocorticoid-naïve patients.  </w:t>
            </w:r>
          </w:p>
        </w:tc>
        <w:tc>
          <w:tcPr>
            <w:tcW w:w="1782" w:type="dxa"/>
            <w:noWrap/>
            <w:hideMark/>
          </w:tcPr>
          <w:p w14:paraId="33B169E6"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noWrap/>
            <w:hideMark/>
          </w:tcPr>
          <w:p w14:paraId="383878A4"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r>
      <w:tr w:rsidR="00F67638" w:rsidRPr="00591564" w14:paraId="0CBCE18B" w14:textId="77777777" w:rsidTr="001F1D6C">
        <w:trPr>
          <w:trHeight w:val="285"/>
        </w:trPr>
        <w:tc>
          <w:tcPr>
            <w:tcW w:w="1271" w:type="dxa"/>
            <w:noWrap/>
            <w:hideMark/>
          </w:tcPr>
          <w:p w14:paraId="642D7BE5"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Owen et al. (2018)</w:t>
            </w:r>
          </w:p>
        </w:tc>
        <w:tc>
          <w:tcPr>
            <w:tcW w:w="1782" w:type="dxa"/>
          </w:tcPr>
          <w:p w14:paraId="3FF6D9A8"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7C08D739"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7A3593B3"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74702CBD"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0E715276"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2C753FD3"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Patients with PMR were included; no case of large vessel vasculitis on FDG-PET/CT was found. </w:t>
            </w:r>
          </w:p>
        </w:tc>
        <w:tc>
          <w:tcPr>
            <w:tcW w:w="1782" w:type="dxa"/>
            <w:noWrap/>
            <w:hideMark/>
          </w:tcPr>
          <w:p w14:paraId="291E5C05"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r>
      <w:tr w:rsidR="00F67638" w:rsidRPr="00591564" w14:paraId="0226DA90" w14:textId="77777777" w:rsidTr="001F1D6C">
        <w:trPr>
          <w:trHeight w:val="285"/>
        </w:trPr>
        <w:tc>
          <w:tcPr>
            <w:tcW w:w="1271" w:type="dxa"/>
            <w:noWrap/>
            <w:hideMark/>
          </w:tcPr>
          <w:p w14:paraId="45254E0A"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Owen et al. (2020) </w:t>
            </w:r>
          </w:p>
        </w:tc>
        <w:tc>
          <w:tcPr>
            <w:tcW w:w="1782" w:type="dxa"/>
          </w:tcPr>
          <w:p w14:paraId="432FA67B"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16129627"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621704FF"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282798A2"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12174B35"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22ACE741"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Patients with PMR were included; no case of large vessel vasculitis on FDG-PET/CT was found.</w:t>
            </w:r>
          </w:p>
        </w:tc>
        <w:tc>
          <w:tcPr>
            <w:tcW w:w="1782" w:type="dxa"/>
            <w:noWrap/>
            <w:hideMark/>
          </w:tcPr>
          <w:p w14:paraId="5E306887"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r>
      <w:tr w:rsidR="00F67638" w:rsidRPr="00591564" w14:paraId="13A6335C" w14:textId="77777777" w:rsidTr="001F1D6C">
        <w:trPr>
          <w:trHeight w:val="285"/>
        </w:trPr>
        <w:tc>
          <w:tcPr>
            <w:tcW w:w="1271" w:type="dxa"/>
            <w:noWrap/>
            <w:hideMark/>
          </w:tcPr>
          <w:p w14:paraId="279B7FC9" w14:textId="77777777" w:rsidR="00F67638" w:rsidRPr="00591564" w:rsidRDefault="00F67638" w:rsidP="001F1D6C">
            <w:pPr>
              <w:rPr>
                <w:rFonts w:ascii="Arial" w:eastAsia="Times New Roman" w:hAnsi="Arial" w:cs="Arial"/>
                <w:color w:val="000000"/>
                <w:sz w:val="16"/>
                <w:szCs w:val="16"/>
                <w:lang w:val="en-GB" w:eastAsia="nl-NL"/>
              </w:rPr>
            </w:pPr>
            <w:proofErr w:type="spellStart"/>
            <w:r w:rsidRPr="00591564">
              <w:rPr>
                <w:rFonts w:ascii="Arial" w:eastAsia="Times New Roman" w:hAnsi="Arial" w:cs="Arial"/>
                <w:color w:val="000000"/>
                <w:sz w:val="16"/>
                <w:szCs w:val="16"/>
                <w:lang w:val="en-GB" w:eastAsia="nl-NL"/>
              </w:rPr>
              <w:t>Palard-Novello</w:t>
            </w:r>
            <w:proofErr w:type="spellEnd"/>
            <w:r w:rsidRPr="00591564">
              <w:rPr>
                <w:rFonts w:ascii="Arial" w:eastAsia="Times New Roman" w:hAnsi="Arial" w:cs="Arial"/>
                <w:color w:val="000000"/>
                <w:sz w:val="16"/>
                <w:szCs w:val="16"/>
                <w:lang w:val="en-GB" w:eastAsia="nl-NL"/>
              </w:rPr>
              <w:t xml:space="preserve"> et al. (2016)</w:t>
            </w:r>
          </w:p>
        </w:tc>
        <w:tc>
          <w:tcPr>
            <w:tcW w:w="1782" w:type="dxa"/>
          </w:tcPr>
          <w:p w14:paraId="138201B7"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Complete symmetry of abnormal FDG uptake at sternoclavicular joints, shoulders, hips and  ischial tuberosities</w:t>
            </w:r>
          </w:p>
        </w:tc>
        <w:tc>
          <w:tcPr>
            <w:tcW w:w="1782" w:type="dxa"/>
            <w:noWrap/>
            <w:hideMark/>
          </w:tcPr>
          <w:p w14:paraId="7D887CBA"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7825F510"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 NR </w:t>
            </w:r>
          </w:p>
        </w:tc>
        <w:tc>
          <w:tcPr>
            <w:tcW w:w="1782" w:type="dxa"/>
          </w:tcPr>
          <w:p w14:paraId="63374CA3"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Change of overall </w:t>
            </w:r>
            <w:proofErr w:type="spellStart"/>
            <w:r w:rsidRPr="00591564">
              <w:rPr>
                <w:rFonts w:ascii="Arial" w:eastAsia="Times New Roman" w:hAnsi="Arial" w:cs="Arial"/>
                <w:color w:val="000000"/>
                <w:sz w:val="16"/>
                <w:szCs w:val="16"/>
                <w:lang w:val="en-GB" w:eastAsia="nl-NL"/>
              </w:rPr>
              <w:t>SUVmax</w:t>
            </w:r>
            <w:proofErr w:type="spellEnd"/>
            <w:r w:rsidRPr="00591564">
              <w:rPr>
                <w:rFonts w:ascii="Arial" w:eastAsia="Times New Roman" w:hAnsi="Arial" w:cs="Arial"/>
                <w:color w:val="000000"/>
                <w:sz w:val="16"/>
                <w:szCs w:val="16"/>
                <w:lang w:val="en-GB" w:eastAsia="nl-NL"/>
              </w:rPr>
              <w:t xml:space="preserve"> showed no relationship with change of CRP/ESR after 12 weeks of tocilizumab treatment.</w:t>
            </w:r>
          </w:p>
        </w:tc>
        <w:tc>
          <w:tcPr>
            <w:tcW w:w="1782" w:type="dxa"/>
          </w:tcPr>
          <w:p w14:paraId="5B8403B9"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728FA95E"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noWrap/>
            <w:hideMark/>
          </w:tcPr>
          <w:p w14:paraId="0C618133"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Decrease of overall </w:t>
            </w:r>
            <w:proofErr w:type="spellStart"/>
            <w:r w:rsidRPr="00591564">
              <w:rPr>
                <w:rFonts w:ascii="Arial" w:eastAsia="Times New Roman" w:hAnsi="Arial" w:cs="Arial"/>
                <w:color w:val="000000"/>
                <w:sz w:val="16"/>
                <w:szCs w:val="16"/>
                <w:lang w:val="en-GB" w:eastAsia="nl-NL"/>
              </w:rPr>
              <w:t>SUVmax</w:t>
            </w:r>
            <w:proofErr w:type="spellEnd"/>
            <w:r w:rsidRPr="00591564">
              <w:rPr>
                <w:rFonts w:ascii="Arial" w:eastAsia="Times New Roman" w:hAnsi="Arial" w:cs="Arial"/>
                <w:color w:val="000000"/>
                <w:sz w:val="16"/>
                <w:szCs w:val="16"/>
                <w:lang w:val="en-GB" w:eastAsia="nl-NL"/>
              </w:rPr>
              <w:t xml:space="preserve"> and </w:t>
            </w:r>
            <w:proofErr w:type="spellStart"/>
            <w:r w:rsidRPr="00591564">
              <w:rPr>
                <w:rFonts w:ascii="Arial" w:eastAsia="Times New Roman" w:hAnsi="Arial" w:cs="Arial"/>
                <w:color w:val="000000"/>
                <w:sz w:val="16"/>
                <w:szCs w:val="16"/>
                <w:lang w:val="en-GB" w:eastAsia="nl-NL"/>
              </w:rPr>
              <w:t>SUVmax</w:t>
            </w:r>
            <w:proofErr w:type="spellEnd"/>
            <w:r w:rsidRPr="00591564">
              <w:rPr>
                <w:rFonts w:ascii="Arial" w:eastAsia="Times New Roman" w:hAnsi="Arial" w:cs="Arial"/>
                <w:color w:val="000000"/>
                <w:sz w:val="16"/>
                <w:szCs w:val="16"/>
                <w:lang w:val="en-GB" w:eastAsia="nl-NL"/>
              </w:rPr>
              <w:t xml:space="preserve"> at hips, ischial tuberosities and lumbar interspinous bursa after 12 weeks of tocilizumab treatment; trend for decrease of </w:t>
            </w:r>
            <w:proofErr w:type="spellStart"/>
            <w:r w:rsidRPr="00591564">
              <w:rPr>
                <w:rFonts w:ascii="Arial" w:eastAsia="Times New Roman" w:hAnsi="Arial" w:cs="Arial"/>
                <w:color w:val="000000"/>
                <w:sz w:val="16"/>
                <w:szCs w:val="16"/>
                <w:lang w:val="en-GB" w:eastAsia="nl-NL"/>
              </w:rPr>
              <w:t>SUVmax</w:t>
            </w:r>
            <w:proofErr w:type="spellEnd"/>
            <w:r w:rsidRPr="00591564">
              <w:rPr>
                <w:rFonts w:ascii="Arial" w:eastAsia="Times New Roman" w:hAnsi="Arial" w:cs="Arial"/>
                <w:color w:val="000000"/>
                <w:sz w:val="16"/>
                <w:szCs w:val="16"/>
                <w:lang w:val="en-GB" w:eastAsia="nl-NL"/>
              </w:rPr>
              <w:t xml:space="preserve"> at sternoclavicular joints; no decrease of </w:t>
            </w:r>
            <w:proofErr w:type="spellStart"/>
            <w:r w:rsidRPr="00591564">
              <w:rPr>
                <w:rFonts w:ascii="Arial" w:eastAsia="Times New Roman" w:hAnsi="Arial" w:cs="Arial"/>
                <w:color w:val="000000"/>
                <w:sz w:val="16"/>
                <w:szCs w:val="16"/>
                <w:lang w:val="en-GB" w:eastAsia="nl-NL"/>
              </w:rPr>
              <w:t>SUVmax</w:t>
            </w:r>
            <w:proofErr w:type="spellEnd"/>
            <w:r w:rsidRPr="00591564">
              <w:rPr>
                <w:rFonts w:ascii="Arial" w:eastAsia="Times New Roman" w:hAnsi="Arial" w:cs="Arial"/>
                <w:color w:val="000000"/>
                <w:sz w:val="16"/>
                <w:szCs w:val="16"/>
                <w:lang w:val="en-GB" w:eastAsia="nl-NL"/>
              </w:rPr>
              <w:t xml:space="preserve"> at shoulders and cervical interspinous bursa. </w:t>
            </w:r>
          </w:p>
        </w:tc>
      </w:tr>
      <w:tr w:rsidR="00F67638" w:rsidRPr="00591564" w14:paraId="21A63BC8" w14:textId="77777777" w:rsidTr="001F1D6C">
        <w:trPr>
          <w:trHeight w:val="285"/>
        </w:trPr>
        <w:tc>
          <w:tcPr>
            <w:tcW w:w="1271" w:type="dxa"/>
            <w:noWrap/>
            <w:hideMark/>
          </w:tcPr>
          <w:p w14:paraId="6A0CFBE1" w14:textId="77777777" w:rsidR="00F67638" w:rsidRPr="00591564" w:rsidRDefault="00F67638" w:rsidP="001F1D6C">
            <w:pPr>
              <w:rPr>
                <w:rFonts w:ascii="Arial" w:eastAsia="Times New Roman" w:hAnsi="Arial" w:cs="Arial"/>
                <w:color w:val="000000"/>
                <w:sz w:val="16"/>
                <w:szCs w:val="16"/>
                <w:lang w:val="en-GB" w:eastAsia="nl-NL"/>
              </w:rPr>
            </w:pPr>
            <w:proofErr w:type="spellStart"/>
            <w:r w:rsidRPr="00591564">
              <w:rPr>
                <w:rFonts w:ascii="Arial" w:eastAsia="Times New Roman" w:hAnsi="Arial" w:cs="Arial"/>
                <w:color w:val="000000"/>
                <w:sz w:val="16"/>
                <w:szCs w:val="16"/>
                <w:lang w:val="en-GB" w:eastAsia="nl-NL"/>
              </w:rPr>
              <w:t>Rehak</w:t>
            </w:r>
            <w:proofErr w:type="spellEnd"/>
            <w:r w:rsidRPr="00591564">
              <w:rPr>
                <w:rFonts w:ascii="Arial" w:eastAsia="Times New Roman" w:hAnsi="Arial" w:cs="Arial"/>
                <w:color w:val="000000"/>
                <w:sz w:val="16"/>
                <w:szCs w:val="16"/>
                <w:lang w:val="en-GB" w:eastAsia="nl-NL"/>
              </w:rPr>
              <w:t xml:space="preserve"> et al. (2015)</w:t>
            </w:r>
          </w:p>
        </w:tc>
        <w:tc>
          <w:tcPr>
            <w:tcW w:w="1782" w:type="dxa"/>
          </w:tcPr>
          <w:p w14:paraId="0F27CE11" w14:textId="0BEB3115"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Complete symmetry of high FDG uptake at shoulders, </w:t>
            </w:r>
            <w:r w:rsidR="00852C32" w:rsidRPr="00591564">
              <w:rPr>
                <w:rFonts w:ascii="Arial" w:eastAsia="Times New Roman" w:hAnsi="Arial" w:cs="Arial"/>
                <w:color w:val="000000"/>
                <w:sz w:val="16"/>
                <w:szCs w:val="16"/>
                <w:lang w:val="en-GB" w:eastAsia="nl-NL"/>
              </w:rPr>
              <w:t>SC</w:t>
            </w:r>
            <w:r w:rsidRPr="00591564">
              <w:rPr>
                <w:rFonts w:ascii="Arial" w:eastAsia="Times New Roman" w:hAnsi="Arial" w:cs="Arial"/>
                <w:color w:val="000000"/>
                <w:sz w:val="16"/>
                <w:szCs w:val="16"/>
                <w:lang w:val="en-GB" w:eastAsia="nl-NL"/>
              </w:rPr>
              <w:t xml:space="preserve"> joints, hips, </w:t>
            </w:r>
            <w:proofErr w:type="spellStart"/>
            <w:r w:rsidRPr="00591564">
              <w:rPr>
                <w:rFonts w:ascii="Arial" w:eastAsia="Times New Roman" w:hAnsi="Arial" w:cs="Arial"/>
                <w:color w:val="000000"/>
                <w:sz w:val="16"/>
                <w:szCs w:val="16"/>
                <w:lang w:val="en-GB" w:eastAsia="nl-NL"/>
              </w:rPr>
              <w:t>ischiogluteal</w:t>
            </w:r>
            <w:proofErr w:type="spellEnd"/>
            <w:r w:rsidRPr="00591564">
              <w:rPr>
                <w:rFonts w:ascii="Arial" w:eastAsia="Times New Roman" w:hAnsi="Arial" w:cs="Arial"/>
                <w:color w:val="000000"/>
                <w:sz w:val="16"/>
                <w:szCs w:val="16"/>
                <w:lang w:val="en-GB" w:eastAsia="nl-NL"/>
              </w:rPr>
              <w:t xml:space="preserve"> bursae and </w:t>
            </w:r>
            <w:proofErr w:type="spellStart"/>
            <w:r w:rsidRPr="00591564">
              <w:rPr>
                <w:rFonts w:ascii="Arial" w:eastAsia="Times New Roman" w:hAnsi="Arial" w:cs="Arial"/>
                <w:color w:val="000000"/>
                <w:sz w:val="16"/>
                <w:szCs w:val="16"/>
                <w:lang w:val="en-GB" w:eastAsia="nl-NL"/>
              </w:rPr>
              <w:t>praepubic</w:t>
            </w:r>
            <w:proofErr w:type="spellEnd"/>
            <w:r w:rsidRPr="00591564">
              <w:rPr>
                <w:rFonts w:ascii="Arial" w:eastAsia="Times New Roman" w:hAnsi="Arial" w:cs="Arial"/>
                <w:color w:val="000000"/>
                <w:sz w:val="16"/>
                <w:szCs w:val="16"/>
                <w:lang w:val="en-GB" w:eastAsia="nl-NL"/>
              </w:rPr>
              <w:t xml:space="preserve"> bursa</w:t>
            </w:r>
            <w:r w:rsidR="00852C32" w:rsidRPr="00591564">
              <w:rPr>
                <w:rFonts w:ascii="Arial" w:eastAsia="Times New Roman" w:hAnsi="Arial" w:cs="Arial"/>
                <w:color w:val="000000"/>
                <w:sz w:val="16"/>
                <w:szCs w:val="16"/>
                <w:lang w:val="en-GB" w:eastAsia="nl-NL"/>
              </w:rPr>
              <w:t>e.</w:t>
            </w:r>
          </w:p>
        </w:tc>
        <w:tc>
          <w:tcPr>
            <w:tcW w:w="1782" w:type="dxa"/>
            <w:noWrap/>
            <w:hideMark/>
          </w:tcPr>
          <w:p w14:paraId="0519282A"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31267966"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2C0C02FE"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63DB81F1"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7714F92D"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Patients with PMR were included; 40% of patients had large vessel GCA on FDG-PET/CT.</w:t>
            </w:r>
          </w:p>
        </w:tc>
        <w:tc>
          <w:tcPr>
            <w:tcW w:w="1782" w:type="dxa"/>
            <w:noWrap/>
            <w:hideMark/>
          </w:tcPr>
          <w:p w14:paraId="7AA8327F"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r>
      <w:tr w:rsidR="00F67638" w:rsidRPr="00591564" w14:paraId="1E6FEEEA" w14:textId="77777777" w:rsidTr="001F1D6C">
        <w:trPr>
          <w:trHeight w:val="285"/>
        </w:trPr>
        <w:tc>
          <w:tcPr>
            <w:tcW w:w="1271" w:type="dxa"/>
            <w:noWrap/>
            <w:hideMark/>
          </w:tcPr>
          <w:p w14:paraId="01503510" w14:textId="77777777" w:rsidR="00F67638" w:rsidRPr="00591564" w:rsidRDefault="00F67638" w:rsidP="001F1D6C">
            <w:pPr>
              <w:rPr>
                <w:rFonts w:ascii="Arial" w:eastAsia="Times New Roman" w:hAnsi="Arial" w:cs="Arial"/>
                <w:color w:val="000000"/>
                <w:sz w:val="16"/>
                <w:szCs w:val="16"/>
                <w:lang w:val="en-GB" w:eastAsia="nl-NL"/>
              </w:rPr>
            </w:pPr>
            <w:proofErr w:type="spellStart"/>
            <w:r w:rsidRPr="00591564">
              <w:rPr>
                <w:rFonts w:ascii="Arial" w:eastAsia="Times New Roman" w:hAnsi="Arial" w:cs="Arial"/>
                <w:color w:val="000000"/>
                <w:sz w:val="16"/>
                <w:szCs w:val="16"/>
                <w:lang w:val="en-GB" w:eastAsia="nl-NL"/>
              </w:rPr>
              <w:lastRenderedPageBreak/>
              <w:t>Rehak</w:t>
            </w:r>
            <w:proofErr w:type="spellEnd"/>
            <w:r w:rsidRPr="00591564">
              <w:rPr>
                <w:rFonts w:ascii="Arial" w:eastAsia="Times New Roman" w:hAnsi="Arial" w:cs="Arial"/>
                <w:color w:val="000000"/>
                <w:sz w:val="16"/>
                <w:szCs w:val="16"/>
                <w:lang w:val="en-GB" w:eastAsia="nl-NL"/>
              </w:rPr>
              <w:t xml:space="preserve"> et al. (2017)</w:t>
            </w:r>
          </w:p>
        </w:tc>
        <w:tc>
          <w:tcPr>
            <w:tcW w:w="1782" w:type="dxa"/>
          </w:tcPr>
          <w:p w14:paraId="7D104C46"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754B12BD"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5C1AC4E2"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0A00056B"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3DDCA241"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54495CEC"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Patients with PMR were included; 33% of patients had large vessel GCA on FDG-PET/CT.</w:t>
            </w:r>
          </w:p>
        </w:tc>
        <w:tc>
          <w:tcPr>
            <w:tcW w:w="1782" w:type="dxa"/>
            <w:noWrap/>
            <w:hideMark/>
          </w:tcPr>
          <w:p w14:paraId="1D7EA440"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Decrease of FDG target-to-liver ratio in all evaluated anatomic sites during remission in all patients after treatment with glucocorticoids (median 8 months); nevertheless 7-20% of anatomic sites remained positive. </w:t>
            </w:r>
          </w:p>
        </w:tc>
      </w:tr>
      <w:tr w:rsidR="00F67638" w:rsidRPr="00591564" w14:paraId="3FEF0C2F" w14:textId="77777777" w:rsidTr="001F1D6C">
        <w:trPr>
          <w:trHeight w:val="285"/>
        </w:trPr>
        <w:tc>
          <w:tcPr>
            <w:tcW w:w="1271" w:type="dxa"/>
            <w:noWrap/>
            <w:hideMark/>
          </w:tcPr>
          <w:p w14:paraId="472D3B4F" w14:textId="77777777" w:rsidR="00F67638" w:rsidRPr="00591564" w:rsidRDefault="00F67638" w:rsidP="001F1D6C">
            <w:pPr>
              <w:rPr>
                <w:rFonts w:ascii="Arial" w:eastAsia="Times New Roman" w:hAnsi="Arial" w:cs="Arial"/>
                <w:color w:val="000000"/>
                <w:sz w:val="16"/>
                <w:szCs w:val="16"/>
                <w:lang w:val="en-GB" w:eastAsia="nl-NL"/>
              </w:rPr>
            </w:pPr>
            <w:proofErr w:type="spellStart"/>
            <w:r w:rsidRPr="00591564">
              <w:rPr>
                <w:rFonts w:ascii="Arial" w:eastAsia="Times New Roman" w:hAnsi="Arial" w:cs="Arial"/>
                <w:color w:val="000000"/>
                <w:sz w:val="16"/>
                <w:szCs w:val="16"/>
                <w:lang w:val="en-GB" w:eastAsia="nl-NL"/>
              </w:rPr>
              <w:t>Sondag</w:t>
            </w:r>
            <w:proofErr w:type="spellEnd"/>
            <w:r w:rsidRPr="00591564">
              <w:rPr>
                <w:rFonts w:ascii="Arial" w:eastAsia="Times New Roman" w:hAnsi="Arial" w:cs="Arial"/>
                <w:color w:val="000000"/>
                <w:sz w:val="16"/>
                <w:szCs w:val="16"/>
                <w:lang w:val="en-GB" w:eastAsia="nl-NL"/>
              </w:rPr>
              <w:t xml:space="preserve"> et al. (2016)</w:t>
            </w:r>
          </w:p>
        </w:tc>
        <w:tc>
          <w:tcPr>
            <w:tcW w:w="1782" w:type="dxa"/>
          </w:tcPr>
          <w:p w14:paraId="2D49174C"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680F9107"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383BB241"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653232FD"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Higher composite FDG-PET/CT scores and more positive anatomic sites in patients with elevated CRP; likely confounded by low CRP values in patients already treated with glucocorticoids. </w:t>
            </w:r>
          </w:p>
        </w:tc>
        <w:tc>
          <w:tcPr>
            <w:tcW w:w="1782" w:type="dxa"/>
          </w:tcPr>
          <w:p w14:paraId="51DB09C6"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Higher composite FDG-PET/CT scores and more positive anatomic sites in patients without glucocorticoid treatment versus those with glucocorticoid treatment. </w:t>
            </w:r>
          </w:p>
        </w:tc>
        <w:tc>
          <w:tcPr>
            <w:tcW w:w="1782" w:type="dxa"/>
            <w:noWrap/>
            <w:hideMark/>
          </w:tcPr>
          <w:p w14:paraId="5B12C00D"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noWrap/>
            <w:hideMark/>
          </w:tcPr>
          <w:p w14:paraId="795EABBB"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r>
      <w:tr w:rsidR="00F67638" w:rsidRPr="00591564" w14:paraId="7CC84473" w14:textId="77777777" w:rsidTr="001F1D6C">
        <w:trPr>
          <w:trHeight w:val="285"/>
        </w:trPr>
        <w:tc>
          <w:tcPr>
            <w:tcW w:w="1271" w:type="dxa"/>
            <w:noWrap/>
            <w:hideMark/>
          </w:tcPr>
          <w:p w14:paraId="50B34C74" w14:textId="4FF79512"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Takahashi et al. (201</w:t>
            </w:r>
            <w:r w:rsidR="009F03EF" w:rsidRPr="00591564">
              <w:rPr>
                <w:rFonts w:ascii="Arial" w:eastAsia="Times New Roman" w:hAnsi="Arial" w:cs="Arial"/>
                <w:color w:val="000000"/>
                <w:sz w:val="16"/>
                <w:szCs w:val="16"/>
                <w:lang w:val="en-GB" w:eastAsia="nl-NL"/>
              </w:rPr>
              <w:t>5</w:t>
            </w:r>
            <w:r w:rsidRPr="00591564">
              <w:rPr>
                <w:rFonts w:ascii="Arial" w:eastAsia="Times New Roman" w:hAnsi="Arial" w:cs="Arial"/>
                <w:color w:val="000000"/>
                <w:sz w:val="16"/>
                <w:szCs w:val="16"/>
                <w:lang w:val="en-GB" w:eastAsia="nl-NL"/>
              </w:rPr>
              <w:t>)</w:t>
            </w:r>
          </w:p>
        </w:tc>
        <w:tc>
          <w:tcPr>
            <w:tcW w:w="1782" w:type="dxa"/>
          </w:tcPr>
          <w:p w14:paraId="0988CEC4"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6070F9C3"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692A8F65"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20CC0290"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4D8B253B"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6E2016E2"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noWrap/>
            <w:hideMark/>
          </w:tcPr>
          <w:p w14:paraId="601ABCC2"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Disappearance of FDG uptake at shoulders, lumbar interspinous bursa and iliopectineal bursae after glucocorticoid treatment is shown for 1 patient. </w:t>
            </w:r>
          </w:p>
        </w:tc>
      </w:tr>
      <w:tr w:rsidR="00F67638" w:rsidRPr="00591564" w14:paraId="52869786" w14:textId="77777777" w:rsidTr="001F1D6C">
        <w:trPr>
          <w:trHeight w:val="285"/>
        </w:trPr>
        <w:tc>
          <w:tcPr>
            <w:tcW w:w="1271" w:type="dxa"/>
            <w:noWrap/>
            <w:hideMark/>
          </w:tcPr>
          <w:p w14:paraId="29F6F826" w14:textId="77777777" w:rsidR="00F67638" w:rsidRPr="00591564" w:rsidRDefault="00F67638" w:rsidP="001F1D6C">
            <w:pPr>
              <w:rPr>
                <w:rFonts w:ascii="Arial" w:eastAsia="Times New Roman" w:hAnsi="Arial" w:cs="Arial"/>
                <w:color w:val="000000"/>
                <w:sz w:val="16"/>
                <w:szCs w:val="16"/>
                <w:lang w:val="en-GB" w:eastAsia="nl-NL"/>
              </w:rPr>
            </w:pPr>
            <w:proofErr w:type="spellStart"/>
            <w:r w:rsidRPr="00591564">
              <w:rPr>
                <w:rFonts w:ascii="Arial" w:eastAsia="Times New Roman" w:hAnsi="Arial" w:cs="Arial"/>
                <w:color w:val="000000"/>
                <w:sz w:val="16"/>
                <w:szCs w:val="16"/>
                <w:lang w:val="en-GB" w:eastAsia="nl-NL"/>
              </w:rPr>
              <w:t>Wakura</w:t>
            </w:r>
            <w:proofErr w:type="spellEnd"/>
            <w:r w:rsidRPr="00591564">
              <w:rPr>
                <w:rFonts w:ascii="Arial" w:eastAsia="Times New Roman" w:hAnsi="Arial" w:cs="Arial"/>
                <w:color w:val="000000"/>
                <w:sz w:val="16"/>
                <w:szCs w:val="16"/>
                <w:lang w:val="en-GB" w:eastAsia="nl-NL"/>
              </w:rPr>
              <w:t xml:space="preserve"> et al. (2016)</w:t>
            </w:r>
          </w:p>
        </w:tc>
        <w:tc>
          <w:tcPr>
            <w:tcW w:w="1782" w:type="dxa"/>
          </w:tcPr>
          <w:p w14:paraId="029A93C3"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7F235E07"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0ADB299C"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14D801D8"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3DCB697A"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3F9A3507"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Patients with PMR were included; 7% of patients had large vessel GCA on FDG-PET/CT (in addition to symptoms suggestive of large vessel GCA). </w:t>
            </w:r>
          </w:p>
        </w:tc>
        <w:tc>
          <w:tcPr>
            <w:tcW w:w="1782" w:type="dxa"/>
            <w:noWrap/>
            <w:hideMark/>
          </w:tcPr>
          <w:p w14:paraId="19F120DE"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r>
      <w:tr w:rsidR="00F67638" w:rsidRPr="00591564" w14:paraId="06AB3894" w14:textId="77777777" w:rsidTr="001F1D6C">
        <w:trPr>
          <w:trHeight w:val="285"/>
        </w:trPr>
        <w:tc>
          <w:tcPr>
            <w:tcW w:w="1271" w:type="dxa"/>
            <w:noWrap/>
            <w:hideMark/>
          </w:tcPr>
          <w:p w14:paraId="106FD656"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Wendling et al. (2020)</w:t>
            </w:r>
          </w:p>
        </w:tc>
        <w:tc>
          <w:tcPr>
            <w:tcW w:w="1782" w:type="dxa"/>
          </w:tcPr>
          <w:p w14:paraId="2D7E4EE0"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61A4B29A"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FDG uptake at muscles showed no relationship with age. </w:t>
            </w:r>
          </w:p>
        </w:tc>
        <w:tc>
          <w:tcPr>
            <w:tcW w:w="1782" w:type="dxa"/>
          </w:tcPr>
          <w:p w14:paraId="0664A5E0"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tcPr>
          <w:p w14:paraId="55AEA4B3"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FDG uptake at muscles showed no relationship with CRP. </w:t>
            </w:r>
          </w:p>
          <w:p w14:paraId="6CF37A96" w14:textId="77777777" w:rsidR="00852C32" w:rsidRPr="00591564" w:rsidRDefault="00852C32" w:rsidP="001F1D6C">
            <w:pPr>
              <w:rPr>
                <w:rFonts w:ascii="Arial" w:eastAsia="Times New Roman" w:hAnsi="Arial" w:cs="Arial"/>
                <w:color w:val="000000"/>
                <w:sz w:val="16"/>
                <w:szCs w:val="16"/>
                <w:lang w:val="en-GB" w:eastAsia="nl-NL"/>
              </w:rPr>
            </w:pPr>
          </w:p>
          <w:p w14:paraId="0AB49940" w14:textId="77777777" w:rsidR="00852C32" w:rsidRPr="00591564" w:rsidRDefault="00852C32" w:rsidP="001F1D6C">
            <w:pPr>
              <w:rPr>
                <w:rFonts w:ascii="Arial" w:eastAsia="Times New Roman" w:hAnsi="Arial" w:cs="Arial"/>
                <w:color w:val="000000"/>
                <w:sz w:val="16"/>
                <w:szCs w:val="16"/>
                <w:lang w:val="en-GB" w:eastAsia="nl-NL"/>
              </w:rPr>
            </w:pPr>
          </w:p>
          <w:p w14:paraId="230D6A9E" w14:textId="77777777" w:rsidR="00852C32" w:rsidRPr="00591564" w:rsidRDefault="00852C32" w:rsidP="001F1D6C">
            <w:pPr>
              <w:rPr>
                <w:rFonts w:ascii="Arial" w:eastAsia="Times New Roman" w:hAnsi="Arial" w:cs="Arial"/>
                <w:color w:val="000000"/>
                <w:sz w:val="16"/>
                <w:szCs w:val="16"/>
                <w:lang w:val="en-GB" w:eastAsia="nl-NL"/>
              </w:rPr>
            </w:pPr>
          </w:p>
          <w:p w14:paraId="5E3C3360" w14:textId="4D67D2C3" w:rsidR="00852C32" w:rsidRPr="00591564" w:rsidRDefault="00852C32" w:rsidP="001F1D6C">
            <w:pPr>
              <w:rPr>
                <w:rFonts w:ascii="Arial" w:eastAsia="Times New Roman" w:hAnsi="Arial" w:cs="Arial"/>
                <w:color w:val="000000"/>
                <w:sz w:val="16"/>
                <w:szCs w:val="16"/>
                <w:lang w:val="en-GB" w:eastAsia="nl-NL"/>
              </w:rPr>
            </w:pPr>
          </w:p>
        </w:tc>
        <w:tc>
          <w:tcPr>
            <w:tcW w:w="1782" w:type="dxa"/>
          </w:tcPr>
          <w:p w14:paraId="468BE223"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7F6F20A4"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noWrap/>
            <w:hideMark/>
          </w:tcPr>
          <w:p w14:paraId="6544422A"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r>
      <w:tr w:rsidR="00F67638" w:rsidRPr="00591564" w14:paraId="470BF706" w14:textId="77777777" w:rsidTr="001F1D6C">
        <w:trPr>
          <w:trHeight w:val="285"/>
        </w:trPr>
        <w:tc>
          <w:tcPr>
            <w:tcW w:w="1271" w:type="dxa"/>
            <w:noWrap/>
            <w:hideMark/>
          </w:tcPr>
          <w:p w14:paraId="71A627C8"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lastRenderedPageBreak/>
              <w:t xml:space="preserve">Yamashita et al. (2012) </w:t>
            </w:r>
          </w:p>
        </w:tc>
        <w:tc>
          <w:tcPr>
            <w:tcW w:w="1782" w:type="dxa"/>
          </w:tcPr>
          <w:p w14:paraId="0E510F55"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Abnormal FDG uptake in both shoulders and hips in 86% of patients. </w:t>
            </w:r>
          </w:p>
        </w:tc>
        <w:tc>
          <w:tcPr>
            <w:tcW w:w="1782" w:type="dxa"/>
            <w:noWrap/>
            <w:hideMark/>
          </w:tcPr>
          <w:p w14:paraId="56C5E41A"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00CCAA71"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46B3613B"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6AA5E667"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7984FE24"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xml:space="preserve">Patients with PMR were included; 14% of patients had large vessel GCA on FDG-PET/CT (in the absence of symptoms suggestive of large vessel GCA). </w:t>
            </w:r>
          </w:p>
        </w:tc>
        <w:tc>
          <w:tcPr>
            <w:tcW w:w="1782" w:type="dxa"/>
            <w:noWrap/>
            <w:hideMark/>
          </w:tcPr>
          <w:p w14:paraId="7E16AD86"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r>
      <w:tr w:rsidR="00F67638" w:rsidRPr="00591564" w14:paraId="09179DCB" w14:textId="77777777" w:rsidTr="001F1D6C">
        <w:trPr>
          <w:trHeight w:val="285"/>
        </w:trPr>
        <w:tc>
          <w:tcPr>
            <w:tcW w:w="1271" w:type="dxa"/>
            <w:noWrap/>
            <w:hideMark/>
          </w:tcPr>
          <w:p w14:paraId="31107912"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Yamashita et al. (2013)</w:t>
            </w:r>
          </w:p>
        </w:tc>
        <w:tc>
          <w:tcPr>
            <w:tcW w:w="1782" w:type="dxa"/>
          </w:tcPr>
          <w:p w14:paraId="600183D9"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352C13A5"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76FA656C"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 </w:t>
            </w:r>
          </w:p>
        </w:tc>
        <w:tc>
          <w:tcPr>
            <w:tcW w:w="1782" w:type="dxa"/>
          </w:tcPr>
          <w:p w14:paraId="7F11E12F"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 </w:t>
            </w:r>
          </w:p>
        </w:tc>
        <w:tc>
          <w:tcPr>
            <w:tcW w:w="1782" w:type="dxa"/>
          </w:tcPr>
          <w:p w14:paraId="6BF8B923"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3FE377AA"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 </w:t>
            </w:r>
          </w:p>
        </w:tc>
        <w:tc>
          <w:tcPr>
            <w:tcW w:w="1782" w:type="dxa"/>
            <w:noWrap/>
            <w:hideMark/>
          </w:tcPr>
          <w:p w14:paraId="147289A8"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 </w:t>
            </w:r>
          </w:p>
        </w:tc>
      </w:tr>
      <w:tr w:rsidR="00F67638" w:rsidRPr="00591564" w14:paraId="6B96102F" w14:textId="77777777" w:rsidTr="001F1D6C">
        <w:trPr>
          <w:trHeight w:val="285"/>
        </w:trPr>
        <w:tc>
          <w:tcPr>
            <w:tcW w:w="1271" w:type="dxa"/>
            <w:noWrap/>
            <w:hideMark/>
          </w:tcPr>
          <w:p w14:paraId="6A0D2B37" w14:textId="77777777" w:rsidR="00F67638" w:rsidRPr="00591564" w:rsidRDefault="00F67638" w:rsidP="001F1D6C">
            <w:pPr>
              <w:rPr>
                <w:rFonts w:ascii="Arial" w:eastAsia="Times New Roman" w:hAnsi="Arial" w:cs="Arial"/>
                <w:color w:val="000000"/>
                <w:sz w:val="16"/>
                <w:szCs w:val="16"/>
                <w:lang w:val="en-GB" w:eastAsia="nl-NL"/>
              </w:rPr>
            </w:pPr>
            <w:proofErr w:type="spellStart"/>
            <w:r w:rsidRPr="00591564">
              <w:rPr>
                <w:rFonts w:ascii="Arial" w:eastAsia="Times New Roman" w:hAnsi="Arial" w:cs="Arial"/>
                <w:color w:val="000000"/>
                <w:sz w:val="16"/>
                <w:szCs w:val="16"/>
                <w:lang w:val="en-GB" w:eastAsia="nl-NL"/>
              </w:rPr>
              <w:t>Yuge</w:t>
            </w:r>
            <w:proofErr w:type="spellEnd"/>
            <w:r w:rsidRPr="00591564">
              <w:rPr>
                <w:rFonts w:ascii="Arial" w:eastAsia="Times New Roman" w:hAnsi="Arial" w:cs="Arial"/>
                <w:color w:val="000000"/>
                <w:sz w:val="16"/>
                <w:szCs w:val="16"/>
                <w:lang w:val="en-GB" w:eastAsia="nl-NL"/>
              </w:rPr>
              <w:t xml:space="preserve"> et al. (2018)</w:t>
            </w:r>
          </w:p>
        </w:tc>
        <w:tc>
          <w:tcPr>
            <w:tcW w:w="1782" w:type="dxa"/>
          </w:tcPr>
          <w:p w14:paraId="163FDF35"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2B62C241"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06C314D4"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0502BAFF"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tcPr>
          <w:p w14:paraId="54CC8208"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NR</w:t>
            </w:r>
          </w:p>
        </w:tc>
        <w:tc>
          <w:tcPr>
            <w:tcW w:w="1782" w:type="dxa"/>
            <w:noWrap/>
            <w:hideMark/>
          </w:tcPr>
          <w:p w14:paraId="44A54BFE"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c>
          <w:tcPr>
            <w:tcW w:w="1782" w:type="dxa"/>
            <w:noWrap/>
            <w:hideMark/>
          </w:tcPr>
          <w:p w14:paraId="14611602" w14:textId="77777777" w:rsidR="00F67638" w:rsidRPr="00591564" w:rsidRDefault="00F67638" w:rsidP="001F1D6C">
            <w:pPr>
              <w:rPr>
                <w:rFonts w:ascii="Arial" w:eastAsia="Times New Roman" w:hAnsi="Arial" w:cs="Arial"/>
                <w:color w:val="000000"/>
                <w:sz w:val="16"/>
                <w:szCs w:val="16"/>
                <w:lang w:val="en-GB" w:eastAsia="nl-NL"/>
              </w:rPr>
            </w:pPr>
            <w:r w:rsidRPr="00591564">
              <w:rPr>
                <w:rFonts w:ascii="Arial" w:eastAsia="Times New Roman" w:hAnsi="Arial" w:cs="Arial"/>
                <w:color w:val="000000"/>
                <w:sz w:val="16"/>
                <w:szCs w:val="16"/>
                <w:lang w:val="en-GB" w:eastAsia="nl-NL"/>
              </w:rPr>
              <w:t> NR</w:t>
            </w:r>
          </w:p>
        </w:tc>
      </w:tr>
    </w:tbl>
    <w:p w14:paraId="76F7C385" w14:textId="77777777" w:rsidR="00F67638" w:rsidRPr="00591564" w:rsidRDefault="00F67638" w:rsidP="00F67638">
      <w:pPr>
        <w:spacing w:after="0" w:line="240" w:lineRule="auto"/>
        <w:rPr>
          <w:rFonts w:ascii="Arial" w:hAnsi="Arial" w:cs="Arial"/>
          <w:sz w:val="16"/>
          <w:szCs w:val="16"/>
          <w:lang w:val="en-GB"/>
        </w:rPr>
      </w:pPr>
    </w:p>
    <w:p w14:paraId="43A65477" w14:textId="77777777" w:rsidR="00F67638" w:rsidRPr="00591564" w:rsidRDefault="00F67638" w:rsidP="00052EB3">
      <w:pPr>
        <w:spacing w:after="0" w:line="240" w:lineRule="auto"/>
        <w:jc w:val="both"/>
        <w:rPr>
          <w:rFonts w:ascii="Arial" w:hAnsi="Arial" w:cs="Arial"/>
          <w:b/>
          <w:bCs/>
          <w:lang w:val="en-GB"/>
        </w:rPr>
      </w:pPr>
    </w:p>
    <w:p w14:paraId="5F033D8F" w14:textId="77777777" w:rsidR="00F67638" w:rsidRPr="00591564" w:rsidRDefault="00F67638" w:rsidP="00052EB3">
      <w:pPr>
        <w:spacing w:after="0" w:line="240" w:lineRule="auto"/>
        <w:jc w:val="both"/>
        <w:rPr>
          <w:rFonts w:ascii="Arial" w:hAnsi="Arial" w:cs="Arial"/>
          <w:b/>
          <w:bCs/>
          <w:lang w:val="en-GB"/>
        </w:rPr>
      </w:pPr>
    </w:p>
    <w:p w14:paraId="1A5D791C" w14:textId="77777777" w:rsidR="00F67638" w:rsidRPr="00591564" w:rsidRDefault="00F67638" w:rsidP="00052EB3">
      <w:pPr>
        <w:spacing w:after="0" w:line="240" w:lineRule="auto"/>
        <w:jc w:val="both"/>
        <w:rPr>
          <w:rFonts w:ascii="Arial" w:hAnsi="Arial" w:cs="Arial"/>
          <w:b/>
          <w:bCs/>
          <w:lang w:val="en-GB"/>
        </w:rPr>
      </w:pPr>
    </w:p>
    <w:p w14:paraId="0EFBD8B4" w14:textId="77777777" w:rsidR="00F67638" w:rsidRPr="00591564" w:rsidRDefault="00F67638" w:rsidP="00052EB3">
      <w:pPr>
        <w:spacing w:after="0" w:line="240" w:lineRule="auto"/>
        <w:jc w:val="both"/>
        <w:rPr>
          <w:rFonts w:ascii="Arial" w:hAnsi="Arial" w:cs="Arial"/>
          <w:b/>
          <w:bCs/>
          <w:lang w:val="en-GB"/>
        </w:rPr>
      </w:pPr>
    </w:p>
    <w:p w14:paraId="6EB52756" w14:textId="77777777" w:rsidR="00F67638" w:rsidRPr="00591564" w:rsidRDefault="00F67638" w:rsidP="00052EB3">
      <w:pPr>
        <w:spacing w:after="0" w:line="240" w:lineRule="auto"/>
        <w:jc w:val="both"/>
        <w:rPr>
          <w:rFonts w:ascii="Arial" w:hAnsi="Arial" w:cs="Arial"/>
          <w:b/>
          <w:bCs/>
          <w:lang w:val="en-GB"/>
        </w:rPr>
      </w:pPr>
    </w:p>
    <w:p w14:paraId="36B3060E" w14:textId="77777777" w:rsidR="00F67638" w:rsidRPr="00591564" w:rsidRDefault="00F67638" w:rsidP="00052EB3">
      <w:pPr>
        <w:spacing w:after="0" w:line="240" w:lineRule="auto"/>
        <w:jc w:val="both"/>
        <w:rPr>
          <w:rFonts w:ascii="Arial" w:hAnsi="Arial" w:cs="Arial"/>
          <w:b/>
          <w:bCs/>
          <w:lang w:val="en-GB"/>
        </w:rPr>
      </w:pPr>
    </w:p>
    <w:p w14:paraId="0CFC0BA6" w14:textId="77777777" w:rsidR="00F67638" w:rsidRPr="00591564" w:rsidRDefault="00F67638" w:rsidP="00052EB3">
      <w:pPr>
        <w:spacing w:after="0" w:line="240" w:lineRule="auto"/>
        <w:jc w:val="both"/>
        <w:rPr>
          <w:rFonts w:ascii="Arial" w:hAnsi="Arial" w:cs="Arial"/>
          <w:b/>
          <w:bCs/>
          <w:lang w:val="en-GB"/>
        </w:rPr>
      </w:pPr>
    </w:p>
    <w:p w14:paraId="3C579A80" w14:textId="77777777" w:rsidR="00F67638" w:rsidRPr="00591564" w:rsidRDefault="00F67638" w:rsidP="00052EB3">
      <w:pPr>
        <w:spacing w:after="0" w:line="240" w:lineRule="auto"/>
        <w:jc w:val="both"/>
        <w:rPr>
          <w:rFonts w:ascii="Arial" w:hAnsi="Arial" w:cs="Arial"/>
          <w:b/>
          <w:bCs/>
          <w:lang w:val="en-GB"/>
        </w:rPr>
      </w:pPr>
    </w:p>
    <w:p w14:paraId="07CEE703" w14:textId="77777777" w:rsidR="00F67638" w:rsidRPr="00591564" w:rsidRDefault="00F67638" w:rsidP="00052EB3">
      <w:pPr>
        <w:spacing w:after="0" w:line="240" w:lineRule="auto"/>
        <w:jc w:val="both"/>
        <w:rPr>
          <w:rFonts w:ascii="Arial" w:hAnsi="Arial" w:cs="Arial"/>
          <w:b/>
          <w:bCs/>
          <w:lang w:val="en-GB"/>
        </w:rPr>
      </w:pPr>
    </w:p>
    <w:p w14:paraId="27810EA5" w14:textId="77777777" w:rsidR="00F67638" w:rsidRPr="00591564" w:rsidRDefault="00F67638" w:rsidP="00052EB3">
      <w:pPr>
        <w:spacing w:after="0" w:line="240" w:lineRule="auto"/>
        <w:jc w:val="both"/>
        <w:rPr>
          <w:rFonts w:ascii="Arial" w:hAnsi="Arial" w:cs="Arial"/>
          <w:b/>
          <w:bCs/>
          <w:lang w:val="en-GB"/>
        </w:rPr>
      </w:pPr>
    </w:p>
    <w:p w14:paraId="1D1B9E65" w14:textId="77777777" w:rsidR="00F67638" w:rsidRPr="00591564" w:rsidRDefault="00F67638" w:rsidP="00052EB3">
      <w:pPr>
        <w:spacing w:after="0" w:line="240" w:lineRule="auto"/>
        <w:jc w:val="both"/>
        <w:rPr>
          <w:rFonts w:ascii="Arial" w:hAnsi="Arial" w:cs="Arial"/>
          <w:b/>
          <w:bCs/>
          <w:lang w:val="en-GB"/>
        </w:rPr>
      </w:pPr>
    </w:p>
    <w:p w14:paraId="479842FC" w14:textId="77777777" w:rsidR="00F67638" w:rsidRPr="00591564" w:rsidRDefault="00F67638" w:rsidP="00052EB3">
      <w:pPr>
        <w:spacing w:after="0" w:line="240" w:lineRule="auto"/>
        <w:jc w:val="both"/>
        <w:rPr>
          <w:rFonts w:ascii="Arial" w:hAnsi="Arial" w:cs="Arial"/>
          <w:b/>
          <w:bCs/>
          <w:lang w:val="en-GB"/>
        </w:rPr>
      </w:pPr>
    </w:p>
    <w:p w14:paraId="374EA386" w14:textId="77777777" w:rsidR="00F67638" w:rsidRPr="00591564" w:rsidRDefault="00F67638" w:rsidP="00052EB3">
      <w:pPr>
        <w:spacing w:after="0" w:line="240" w:lineRule="auto"/>
        <w:jc w:val="both"/>
        <w:rPr>
          <w:rFonts w:ascii="Arial" w:hAnsi="Arial" w:cs="Arial"/>
          <w:b/>
          <w:bCs/>
          <w:lang w:val="en-GB"/>
        </w:rPr>
      </w:pPr>
    </w:p>
    <w:p w14:paraId="5EE42DAF" w14:textId="77777777" w:rsidR="00F67638" w:rsidRPr="00591564" w:rsidRDefault="00F67638" w:rsidP="00052EB3">
      <w:pPr>
        <w:spacing w:after="0" w:line="240" w:lineRule="auto"/>
        <w:jc w:val="both"/>
        <w:rPr>
          <w:rFonts w:ascii="Arial" w:hAnsi="Arial" w:cs="Arial"/>
          <w:b/>
          <w:bCs/>
          <w:lang w:val="en-GB"/>
        </w:rPr>
      </w:pPr>
    </w:p>
    <w:p w14:paraId="72B982E4" w14:textId="77777777" w:rsidR="00F67638" w:rsidRPr="00591564" w:rsidRDefault="00F67638" w:rsidP="00052EB3">
      <w:pPr>
        <w:spacing w:after="0" w:line="240" w:lineRule="auto"/>
        <w:jc w:val="both"/>
        <w:rPr>
          <w:rFonts w:ascii="Arial" w:hAnsi="Arial" w:cs="Arial"/>
          <w:b/>
          <w:bCs/>
          <w:lang w:val="en-GB"/>
        </w:rPr>
      </w:pPr>
    </w:p>
    <w:p w14:paraId="51DF4962" w14:textId="77777777" w:rsidR="00F67638" w:rsidRPr="00591564" w:rsidRDefault="00F67638" w:rsidP="00052EB3">
      <w:pPr>
        <w:spacing w:after="0" w:line="240" w:lineRule="auto"/>
        <w:jc w:val="both"/>
        <w:rPr>
          <w:rFonts w:ascii="Arial" w:hAnsi="Arial" w:cs="Arial"/>
          <w:b/>
          <w:bCs/>
          <w:lang w:val="en-GB"/>
        </w:rPr>
      </w:pPr>
    </w:p>
    <w:p w14:paraId="7E0F054C" w14:textId="77777777" w:rsidR="00F67638" w:rsidRPr="00591564" w:rsidRDefault="00F67638" w:rsidP="00052EB3">
      <w:pPr>
        <w:spacing w:after="0" w:line="240" w:lineRule="auto"/>
        <w:jc w:val="both"/>
        <w:rPr>
          <w:rFonts w:ascii="Arial" w:hAnsi="Arial" w:cs="Arial"/>
          <w:b/>
          <w:bCs/>
          <w:lang w:val="en-GB"/>
        </w:rPr>
      </w:pPr>
    </w:p>
    <w:p w14:paraId="214B2681" w14:textId="77777777" w:rsidR="00F67638" w:rsidRPr="00591564" w:rsidRDefault="00F67638" w:rsidP="00052EB3">
      <w:pPr>
        <w:spacing w:after="0" w:line="240" w:lineRule="auto"/>
        <w:jc w:val="both"/>
        <w:rPr>
          <w:rFonts w:ascii="Arial" w:hAnsi="Arial" w:cs="Arial"/>
          <w:b/>
          <w:bCs/>
          <w:lang w:val="en-GB"/>
        </w:rPr>
      </w:pPr>
    </w:p>
    <w:p w14:paraId="5B10D9EF" w14:textId="77777777" w:rsidR="00F67638" w:rsidRPr="00591564" w:rsidRDefault="00F67638" w:rsidP="00052EB3">
      <w:pPr>
        <w:spacing w:after="0" w:line="240" w:lineRule="auto"/>
        <w:jc w:val="both"/>
        <w:rPr>
          <w:rFonts w:ascii="Arial" w:hAnsi="Arial" w:cs="Arial"/>
          <w:b/>
          <w:bCs/>
          <w:lang w:val="en-GB"/>
        </w:rPr>
      </w:pPr>
    </w:p>
    <w:p w14:paraId="30859312" w14:textId="77777777" w:rsidR="00F67638" w:rsidRPr="00591564" w:rsidRDefault="00F67638" w:rsidP="00052EB3">
      <w:pPr>
        <w:spacing w:after="0" w:line="240" w:lineRule="auto"/>
        <w:jc w:val="both"/>
        <w:rPr>
          <w:rFonts w:ascii="Arial" w:hAnsi="Arial" w:cs="Arial"/>
          <w:b/>
          <w:bCs/>
          <w:lang w:val="en-GB"/>
        </w:rPr>
      </w:pPr>
    </w:p>
    <w:p w14:paraId="0F67ECF0" w14:textId="77777777" w:rsidR="00F67638" w:rsidRPr="00591564" w:rsidRDefault="00F67638" w:rsidP="00052EB3">
      <w:pPr>
        <w:spacing w:after="0" w:line="240" w:lineRule="auto"/>
        <w:jc w:val="both"/>
        <w:rPr>
          <w:rFonts w:ascii="Arial" w:hAnsi="Arial" w:cs="Arial"/>
          <w:b/>
          <w:bCs/>
          <w:lang w:val="en-GB"/>
        </w:rPr>
      </w:pPr>
    </w:p>
    <w:p w14:paraId="20F96D09" w14:textId="77777777" w:rsidR="00F67638" w:rsidRPr="00591564" w:rsidRDefault="00F67638" w:rsidP="00052EB3">
      <w:pPr>
        <w:spacing w:after="0" w:line="240" w:lineRule="auto"/>
        <w:jc w:val="both"/>
        <w:rPr>
          <w:rFonts w:ascii="Arial" w:hAnsi="Arial" w:cs="Arial"/>
          <w:b/>
          <w:bCs/>
          <w:lang w:val="en-GB"/>
        </w:rPr>
      </w:pPr>
    </w:p>
    <w:p w14:paraId="1BD8AE71" w14:textId="77777777" w:rsidR="00F67638" w:rsidRPr="00591564" w:rsidRDefault="00F67638" w:rsidP="00052EB3">
      <w:pPr>
        <w:spacing w:after="0" w:line="240" w:lineRule="auto"/>
        <w:jc w:val="both"/>
        <w:rPr>
          <w:rFonts w:ascii="Arial" w:hAnsi="Arial" w:cs="Arial"/>
          <w:b/>
          <w:bCs/>
          <w:lang w:val="en-GB"/>
        </w:rPr>
      </w:pPr>
    </w:p>
    <w:p w14:paraId="62A8D30E" w14:textId="77777777" w:rsidR="00F67638" w:rsidRPr="00591564" w:rsidRDefault="00F67638" w:rsidP="00052EB3">
      <w:pPr>
        <w:spacing w:after="0" w:line="240" w:lineRule="auto"/>
        <w:jc w:val="both"/>
        <w:rPr>
          <w:rFonts w:ascii="Arial" w:hAnsi="Arial" w:cs="Arial"/>
          <w:b/>
          <w:bCs/>
          <w:lang w:val="en-GB"/>
        </w:rPr>
      </w:pPr>
    </w:p>
    <w:p w14:paraId="03BAF21E" w14:textId="77777777" w:rsidR="00F67638" w:rsidRPr="00591564" w:rsidRDefault="00F67638" w:rsidP="00052EB3">
      <w:pPr>
        <w:spacing w:after="0" w:line="240" w:lineRule="auto"/>
        <w:jc w:val="both"/>
        <w:rPr>
          <w:rFonts w:ascii="Arial" w:hAnsi="Arial" w:cs="Arial"/>
          <w:b/>
          <w:bCs/>
          <w:lang w:val="en-GB"/>
        </w:rPr>
      </w:pPr>
    </w:p>
    <w:p w14:paraId="35E70E97" w14:textId="77777777" w:rsidR="00F67638" w:rsidRPr="00591564" w:rsidRDefault="00F67638" w:rsidP="00052EB3">
      <w:pPr>
        <w:spacing w:after="0" w:line="240" w:lineRule="auto"/>
        <w:jc w:val="both"/>
        <w:rPr>
          <w:rFonts w:ascii="Arial" w:hAnsi="Arial" w:cs="Arial"/>
          <w:b/>
          <w:bCs/>
          <w:lang w:val="en-GB"/>
        </w:rPr>
      </w:pPr>
    </w:p>
    <w:p w14:paraId="7A8BFA51" w14:textId="3C7166E3" w:rsidR="00147F20" w:rsidRPr="00591564" w:rsidRDefault="00F67638" w:rsidP="00052EB3">
      <w:pPr>
        <w:spacing w:after="0" w:line="240" w:lineRule="auto"/>
        <w:jc w:val="both"/>
        <w:rPr>
          <w:rFonts w:ascii="Arial" w:hAnsi="Arial" w:cs="Arial"/>
          <w:sz w:val="20"/>
          <w:szCs w:val="20"/>
          <w:lang w:val="en-GB"/>
        </w:rPr>
      </w:pPr>
      <w:r w:rsidRPr="00591564">
        <w:rPr>
          <w:rFonts w:ascii="Arial" w:hAnsi="Arial" w:cs="Arial"/>
          <w:b/>
          <w:bCs/>
          <w:sz w:val="20"/>
          <w:szCs w:val="20"/>
          <w:lang w:val="en-GB"/>
        </w:rPr>
        <w:lastRenderedPageBreak/>
        <w:t>Supplementary</w:t>
      </w:r>
      <w:r w:rsidR="00147F20" w:rsidRPr="00591564">
        <w:rPr>
          <w:rFonts w:ascii="Arial" w:hAnsi="Arial" w:cs="Arial"/>
          <w:b/>
          <w:bCs/>
          <w:sz w:val="20"/>
          <w:szCs w:val="20"/>
          <w:lang w:val="en-GB"/>
        </w:rPr>
        <w:t xml:space="preserve"> Table </w:t>
      </w:r>
      <w:r w:rsidRPr="00591564">
        <w:rPr>
          <w:rFonts w:ascii="Arial" w:hAnsi="Arial" w:cs="Arial"/>
          <w:b/>
          <w:bCs/>
          <w:sz w:val="20"/>
          <w:szCs w:val="20"/>
          <w:lang w:val="en-GB"/>
        </w:rPr>
        <w:t>3</w:t>
      </w:r>
      <w:r w:rsidR="00147F20" w:rsidRPr="00591564">
        <w:rPr>
          <w:rFonts w:ascii="Arial" w:hAnsi="Arial" w:cs="Arial"/>
          <w:b/>
          <w:bCs/>
          <w:sz w:val="20"/>
          <w:szCs w:val="20"/>
          <w:lang w:val="en-GB"/>
        </w:rPr>
        <w:t xml:space="preserve">. Diagnostic accuracy of </w:t>
      </w:r>
      <w:r w:rsidR="006F0573" w:rsidRPr="00591564">
        <w:rPr>
          <w:rFonts w:ascii="Arial" w:hAnsi="Arial" w:cs="Arial"/>
          <w:b/>
          <w:bCs/>
          <w:sz w:val="20"/>
          <w:szCs w:val="20"/>
          <w:lang w:val="en-GB"/>
        </w:rPr>
        <w:t xml:space="preserve">[18F]FDG-PET/CT findings at </w:t>
      </w:r>
      <w:r w:rsidR="00147F20" w:rsidRPr="00591564">
        <w:rPr>
          <w:rFonts w:ascii="Arial" w:hAnsi="Arial" w:cs="Arial"/>
          <w:b/>
          <w:bCs/>
          <w:sz w:val="20"/>
          <w:szCs w:val="20"/>
          <w:lang w:val="en-GB"/>
        </w:rPr>
        <w:t xml:space="preserve">anatomic sites reported by few studies. </w:t>
      </w:r>
      <w:r w:rsidR="00147F20" w:rsidRPr="00591564">
        <w:rPr>
          <w:rFonts w:ascii="Arial" w:hAnsi="Arial" w:cs="Arial"/>
          <w:sz w:val="20"/>
          <w:szCs w:val="20"/>
          <w:lang w:val="en-GB"/>
        </w:rPr>
        <w:t>Data are shown for anatomic sites reported by less than four studies. In this case, meta-analysis with the bivariate model could not be performed. Therefore, pooled estimates of diagnostic accuracy parameters were determined with an univariate random-effects model (</w:t>
      </w:r>
      <w:proofErr w:type="spellStart"/>
      <w:r w:rsidR="00147F20" w:rsidRPr="00591564">
        <w:rPr>
          <w:rFonts w:ascii="Arial" w:hAnsi="Arial" w:cs="Arial"/>
          <w:sz w:val="20"/>
          <w:szCs w:val="20"/>
          <w:lang w:val="en-GB"/>
        </w:rPr>
        <w:t>DerSimonian</w:t>
      </w:r>
      <w:proofErr w:type="spellEnd"/>
      <w:r w:rsidR="00147F20" w:rsidRPr="00591564">
        <w:rPr>
          <w:rFonts w:ascii="Arial" w:hAnsi="Arial" w:cs="Arial"/>
          <w:sz w:val="20"/>
          <w:szCs w:val="20"/>
          <w:lang w:val="en-GB"/>
        </w:rPr>
        <w:t xml:space="preserve"> Laird method). Pooled estimates are only shown if heterogeneity (I</w:t>
      </w:r>
      <w:r w:rsidR="00147F20" w:rsidRPr="00591564">
        <w:rPr>
          <w:rFonts w:ascii="Arial" w:hAnsi="Arial" w:cs="Arial"/>
          <w:sz w:val="20"/>
          <w:szCs w:val="20"/>
          <w:vertAlign w:val="superscript"/>
          <w:lang w:val="en-GB"/>
        </w:rPr>
        <w:t>2</w:t>
      </w:r>
      <w:r w:rsidR="00147F20" w:rsidRPr="00591564">
        <w:rPr>
          <w:rFonts w:ascii="Arial" w:hAnsi="Arial" w:cs="Arial"/>
          <w:sz w:val="20"/>
          <w:szCs w:val="20"/>
          <w:lang w:val="en-GB"/>
        </w:rPr>
        <w:t>) was &lt;75%. 95% CI = 95% confidence interval. OR = odds ratio. LR+ = positive likelihood ratio. LR- = negative likelihood ratio.</w:t>
      </w:r>
    </w:p>
    <w:p w14:paraId="5C210579" w14:textId="304B01E2" w:rsidR="00147F20" w:rsidRPr="00591564" w:rsidRDefault="00147F20" w:rsidP="00052EB3">
      <w:pPr>
        <w:spacing w:after="0" w:line="240" w:lineRule="auto"/>
        <w:jc w:val="both"/>
        <w:rPr>
          <w:rFonts w:ascii="Arial" w:hAnsi="Arial" w:cs="Arial"/>
          <w:sz w:val="20"/>
          <w:szCs w:val="20"/>
          <w:lang w:val="en-GB"/>
        </w:rPr>
      </w:pPr>
    </w:p>
    <w:p w14:paraId="4893F6E5" w14:textId="77777777" w:rsidR="00147F20" w:rsidRPr="00591564" w:rsidRDefault="00147F20" w:rsidP="00052EB3">
      <w:pPr>
        <w:spacing w:after="0" w:line="240" w:lineRule="auto"/>
        <w:jc w:val="both"/>
        <w:rPr>
          <w:rFonts w:ascii="Arial" w:hAnsi="Arial" w:cs="Arial"/>
          <w:sz w:val="20"/>
          <w:szCs w:val="20"/>
          <w:lang w:val="en-GB"/>
        </w:rPr>
      </w:pPr>
    </w:p>
    <w:tbl>
      <w:tblPr>
        <w:tblStyle w:val="Tabelraster"/>
        <w:tblW w:w="14481" w:type="dxa"/>
        <w:tblLayout w:type="fixed"/>
        <w:tblLook w:val="04A0" w:firstRow="1" w:lastRow="0" w:firstColumn="1" w:lastColumn="0" w:noHBand="0" w:noVBand="1"/>
      </w:tblPr>
      <w:tblGrid>
        <w:gridCol w:w="2689"/>
        <w:gridCol w:w="2268"/>
        <w:gridCol w:w="1871"/>
        <w:gridCol w:w="1871"/>
        <w:gridCol w:w="2154"/>
        <w:gridCol w:w="1814"/>
        <w:gridCol w:w="1814"/>
      </w:tblGrid>
      <w:tr w:rsidR="003E5A38" w:rsidRPr="00591564" w14:paraId="6603C8C9" w14:textId="77777777" w:rsidTr="009F590D">
        <w:trPr>
          <w:trHeight w:val="20"/>
        </w:trPr>
        <w:tc>
          <w:tcPr>
            <w:tcW w:w="2689" w:type="dxa"/>
            <w:hideMark/>
          </w:tcPr>
          <w:p w14:paraId="33116009" w14:textId="77777777" w:rsidR="003E5A38" w:rsidRPr="00591564" w:rsidRDefault="003E5A38" w:rsidP="00052EB3">
            <w:pPr>
              <w:rPr>
                <w:rFonts w:ascii="Arial" w:eastAsia="Times New Roman" w:hAnsi="Arial" w:cs="Arial"/>
                <w:b/>
                <w:bCs/>
                <w:color w:val="000000"/>
                <w:sz w:val="18"/>
                <w:szCs w:val="18"/>
                <w:lang w:val="en-GB" w:eastAsia="nl-NL"/>
              </w:rPr>
            </w:pPr>
            <w:r w:rsidRPr="00591564">
              <w:rPr>
                <w:rFonts w:ascii="Arial" w:eastAsia="Times New Roman" w:hAnsi="Arial" w:cs="Arial"/>
                <w:b/>
                <w:bCs/>
                <w:color w:val="000000"/>
                <w:sz w:val="18"/>
                <w:szCs w:val="18"/>
                <w:lang w:val="en-GB" w:eastAsia="nl-NL"/>
              </w:rPr>
              <w:t>Site positive on FDG-PET/CT</w:t>
            </w:r>
          </w:p>
        </w:tc>
        <w:tc>
          <w:tcPr>
            <w:tcW w:w="2268" w:type="dxa"/>
            <w:hideMark/>
          </w:tcPr>
          <w:p w14:paraId="3C9E04F3" w14:textId="00BFBE09" w:rsidR="003E5A38" w:rsidRPr="00591564" w:rsidRDefault="003E5A38" w:rsidP="00052EB3">
            <w:pPr>
              <w:rPr>
                <w:rFonts w:ascii="Arial" w:eastAsia="Times New Roman" w:hAnsi="Arial" w:cs="Arial"/>
                <w:b/>
                <w:bCs/>
                <w:color w:val="000000"/>
                <w:sz w:val="18"/>
                <w:szCs w:val="18"/>
                <w:lang w:val="en-GB" w:eastAsia="nl-NL"/>
              </w:rPr>
            </w:pPr>
            <w:r w:rsidRPr="00591564">
              <w:rPr>
                <w:rFonts w:ascii="Arial" w:eastAsia="Times New Roman" w:hAnsi="Arial" w:cs="Arial"/>
                <w:b/>
                <w:bCs/>
                <w:color w:val="000000"/>
                <w:sz w:val="18"/>
                <w:szCs w:val="18"/>
                <w:lang w:val="en-GB" w:eastAsia="nl-NL"/>
              </w:rPr>
              <w:t xml:space="preserve">Study </w:t>
            </w:r>
          </w:p>
        </w:tc>
        <w:tc>
          <w:tcPr>
            <w:tcW w:w="1871" w:type="dxa"/>
            <w:hideMark/>
          </w:tcPr>
          <w:p w14:paraId="5FB36E60" w14:textId="77777777" w:rsidR="00147F20" w:rsidRPr="00591564" w:rsidRDefault="003E5A38" w:rsidP="00052EB3">
            <w:pPr>
              <w:rPr>
                <w:rFonts w:ascii="Arial" w:eastAsia="Times New Roman" w:hAnsi="Arial" w:cs="Arial"/>
                <w:b/>
                <w:bCs/>
                <w:color w:val="000000"/>
                <w:sz w:val="18"/>
                <w:szCs w:val="18"/>
                <w:lang w:val="en-GB" w:eastAsia="nl-NL"/>
              </w:rPr>
            </w:pPr>
            <w:r w:rsidRPr="00591564">
              <w:rPr>
                <w:rFonts w:ascii="Arial" w:eastAsia="Times New Roman" w:hAnsi="Arial" w:cs="Arial"/>
                <w:b/>
                <w:bCs/>
                <w:color w:val="000000"/>
                <w:sz w:val="18"/>
                <w:szCs w:val="18"/>
                <w:lang w:val="en-GB" w:eastAsia="nl-NL"/>
              </w:rPr>
              <w:t xml:space="preserve">Sensitivity </w:t>
            </w:r>
          </w:p>
          <w:p w14:paraId="1530A34A" w14:textId="2E1E691E" w:rsidR="003E5A38" w:rsidRPr="00591564" w:rsidRDefault="003E5A38" w:rsidP="00052EB3">
            <w:pPr>
              <w:rPr>
                <w:rFonts w:ascii="Arial" w:eastAsia="Times New Roman" w:hAnsi="Arial" w:cs="Arial"/>
                <w:b/>
                <w:bCs/>
                <w:color w:val="000000"/>
                <w:sz w:val="18"/>
                <w:szCs w:val="18"/>
                <w:lang w:val="en-GB" w:eastAsia="nl-NL"/>
              </w:rPr>
            </w:pPr>
            <w:r w:rsidRPr="00591564">
              <w:rPr>
                <w:rFonts w:ascii="Arial" w:eastAsia="Times New Roman" w:hAnsi="Arial" w:cs="Arial"/>
                <w:b/>
                <w:bCs/>
                <w:color w:val="000000"/>
                <w:sz w:val="18"/>
                <w:szCs w:val="18"/>
                <w:lang w:val="en-GB" w:eastAsia="nl-NL"/>
              </w:rPr>
              <w:t>(95% CI)</w:t>
            </w:r>
          </w:p>
        </w:tc>
        <w:tc>
          <w:tcPr>
            <w:tcW w:w="1871" w:type="dxa"/>
            <w:hideMark/>
          </w:tcPr>
          <w:p w14:paraId="303703AF" w14:textId="77777777" w:rsidR="00147F20" w:rsidRPr="00591564" w:rsidRDefault="003E5A38" w:rsidP="00052EB3">
            <w:pPr>
              <w:rPr>
                <w:rFonts w:ascii="Arial" w:eastAsia="Times New Roman" w:hAnsi="Arial" w:cs="Arial"/>
                <w:b/>
                <w:bCs/>
                <w:color w:val="000000"/>
                <w:sz w:val="18"/>
                <w:szCs w:val="18"/>
                <w:lang w:val="en-GB" w:eastAsia="nl-NL"/>
              </w:rPr>
            </w:pPr>
            <w:r w:rsidRPr="00591564">
              <w:rPr>
                <w:rFonts w:ascii="Arial" w:eastAsia="Times New Roman" w:hAnsi="Arial" w:cs="Arial"/>
                <w:b/>
                <w:bCs/>
                <w:color w:val="000000"/>
                <w:sz w:val="18"/>
                <w:szCs w:val="18"/>
                <w:lang w:val="en-GB" w:eastAsia="nl-NL"/>
              </w:rPr>
              <w:t xml:space="preserve">Specificity </w:t>
            </w:r>
          </w:p>
          <w:p w14:paraId="05F50C87" w14:textId="019E47D9" w:rsidR="003E5A38" w:rsidRPr="00591564" w:rsidRDefault="003E5A38" w:rsidP="00052EB3">
            <w:pPr>
              <w:rPr>
                <w:rFonts w:ascii="Arial" w:eastAsia="Times New Roman" w:hAnsi="Arial" w:cs="Arial"/>
                <w:b/>
                <w:bCs/>
                <w:color w:val="000000"/>
                <w:sz w:val="18"/>
                <w:szCs w:val="18"/>
                <w:lang w:val="en-GB" w:eastAsia="nl-NL"/>
              </w:rPr>
            </w:pPr>
            <w:r w:rsidRPr="00591564">
              <w:rPr>
                <w:rFonts w:ascii="Arial" w:eastAsia="Times New Roman" w:hAnsi="Arial" w:cs="Arial"/>
                <w:b/>
                <w:bCs/>
                <w:color w:val="000000"/>
                <w:sz w:val="18"/>
                <w:szCs w:val="18"/>
                <w:lang w:val="en-GB" w:eastAsia="nl-NL"/>
              </w:rPr>
              <w:t>(95% CI)</w:t>
            </w:r>
          </w:p>
        </w:tc>
        <w:tc>
          <w:tcPr>
            <w:tcW w:w="2154" w:type="dxa"/>
            <w:hideMark/>
          </w:tcPr>
          <w:p w14:paraId="78C895DA" w14:textId="77777777" w:rsidR="00147F20" w:rsidRPr="00591564" w:rsidRDefault="003E5A38" w:rsidP="00052EB3">
            <w:pPr>
              <w:rPr>
                <w:rFonts w:ascii="Arial" w:eastAsia="Times New Roman" w:hAnsi="Arial" w:cs="Arial"/>
                <w:b/>
                <w:bCs/>
                <w:color w:val="000000"/>
                <w:sz w:val="18"/>
                <w:szCs w:val="18"/>
                <w:lang w:val="en-GB" w:eastAsia="nl-NL"/>
              </w:rPr>
            </w:pPr>
            <w:r w:rsidRPr="00591564">
              <w:rPr>
                <w:rFonts w:ascii="Arial" w:eastAsia="Times New Roman" w:hAnsi="Arial" w:cs="Arial"/>
                <w:b/>
                <w:bCs/>
                <w:color w:val="000000"/>
                <w:sz w:val="18"/>
                <w:szCs w:val="18"/>
                <w:lang w:val="en-GB" w:eastAsia="nl-NL"/>
              </w:rPr>
              <w:t xml:space="preserve">Diagnostic OR </w:t>
            </w:r>
          </w:p>
          <w:p w14:paraId="24EE44D3" w14:textId="49951EBA" w:rsidR="003E5A38" w:rsidRPr="00591564" w:rsidRDefault="003E5A38" w:rsidP="00052EB3">
            <w:pPr>
              <w:rPr>
                <w:rFonts w:ascii="Arial" w:eastAsia="Times New Roman" w:hAnsi="Arial" w:cs="Arial"/>
                <w:b/>
                <w:bCs/>
                <w:color w:val="000000"/>
                <w:sz w:val="18"/>
                <w:szCs w:val="18"/>
                <w:lang w:val="en-GB" w:eastAsia="nl-NL"/>
              </w:rPr>
            </w:pPr>
            <w:r w:rsidRPr="00591564">
              <w:rPr>
                <w:rFonts w:ascii="Arial" w:eastAsia="Times New Roman" w:hAnsi="Arial" w:cs="Arial"/>
                <w:b/>
                <w:bCs/>
                <w:color w:val="000000"/>
                <w:sz w:val="18"/>
                <w:szCs w:val="18"/>
                <w:lang w:val="en-GB" w:eastAsia="nl-NL"/>
              </w:rPr>
              <w:t>(95% CI)</w:t>
            </w:r>
          </w:p>
        </w:tc>
        <w:tc>
          <w:tcPr>
            <w:tcW w:w="1814" w:type="dxa"/>
            <w:hideMark/>
          </w:tcPr>
          <w:p w14:paraId="594E0E52" w14:textId="77777777" w:rsidR="00147F20" w:rsidRPr="00591564" w:rsidRDefault="003E5A38" w:rsidP="00052EB3">
            <w:pPr>
              <w:rPr>
                <w:rFonts w:ascii="Arial" w:eastAsia="Times New Roman" w:hAnsi="Arial" w:cs="Arial"/>
                <w:b/>
                <w:bCs/>
                <w:color w:val="000000"/>
                <w:sz w:val="18"/>
                <w:szCs w:val="18"/>
                <w:lang w:val="en-GB" w:eastAsia="nl-NL"/>
              </w:rPr>
            </w:pPr>
            <w:r w:rsidRPr="00591564">
              <w:rPr>
                <w:rFonts w:ascii="Arial" w:eastAsia="Times New Roman" w:hAnsi="Arial" w:cs="Arial"/>
                <w:b/>
                <w:bCs/>
                <w:color w:val="000000"/>
                <w:sz w:val="18"/>
                <w:szCs w:val="18"/>
                <w:lang w:val="en-GB" w:eastAsia="nl-NL"/>
              </w:rPr>
              <w:t xml:space="preserve">LR+ </w:t>
            </w:r>
          </w:p>
          <w:p w14:paraId="63D32BD1" w14:textId="4229D145" w:rsidR="003E5A38" w:rsidRPr="00591564" w:rsidRDefault="003E5A38" w:rsidP="00052EB3">
            <w:pPr>
              <w:rPr>
                <w:rFonts w:ascii="Arial" w:eastAsia="Times New Roman" w:hAnsi="Arial" w:cs="Arial"/>
                <w:b/>
                <w:bCs/>
                <w:color w:val="000000"/>
                <w:sz w:val="18"/>
                <w:szCs w:val="18"/>
                <w:lang w:val="en-GB" w:eastAsia="nl-NL"/>
              </w:rPr>
            </w:pPr>
            <w:r w:rsidRPr="00591564">
              <w:rPr>
                <w:rFonts w:ascii="Arial" w:eastAsia="Times New Roman" w:hAnsi="Arial" w:cs="Arial"/>
                <w:b/>
                <w:bCs/>
                <w:color w:val="000000"/>
                <w:sz w:val="18"/>
                <w:szCs w:val="18"/>
                <w:lang w:val="en-GB" w:eastAsia="nl-NL"/>
              </w:rPr>
              <w:t>(95% CI)</w:t>
            </w:r>
          </w:p>
        </w:tc>
        <w:tc>
          <w:tcPr>
            <w:tcW w:w="1814" w:type="dxa"/>
            <w:hideMark/>
          </w:tcPr>
          <w:p w14:paraId="5F2046C5" w14:textId="77777777" w:rsidR="00147F20" w:rsidRPr="00591564" w:rsidRDefault="003E5A38" w:rsidP="00052EB3">
            <w:pPr>
              <w:rPr>
                <w:rFonts w:ascii="Arial" w:eastAsia="Times New Roman" w:hAnsi="Arial" w:cs="Arial"/>
                <w:b/>
                <w:bCs/>
                <w:color w:val="000000"/>
                <w:sz w:val="18"/>
                <w:szCs w:val="18"/>
                <w:lang w:val="en-GB" w:eastAsia="nl-NL"/>
              </w:rPr>
            </w:pPr>
            <w:r w:rsidRPr="00591564">
              <w:rPr>
                <w:rFonts w:ascii="Arial" w:eastAsia="Times New Roman" w:hAnsi="Arial" w:cs="Arial"/>
                <w:b/>
                <w:bCs/>
                <w:color w:val="000000"/>
                <w:sz w:val="18"/>
                <w:szCs w:val="18"/>
                <w:lang w:val="en-GB" w:eastAsia="nl-NL"/>
              </w:rPr>
              <w:t xml:space="preserve">LR- </w:t>
            </w:r>
          </w:p>
          <w:p w14:paraId="3744D09C" w14:textId="228839DB" w:rsidR="003E5A38" w:rsidRPr="00591564" w:rsidRDefault="003E5A38" w:rsidP="00052EB3">
            <w:pPr>
              <w:rPr>
                <w:rFonts w:ascii="Arial" w:eastAsia="Times New Roman" w:hAnsi="Arial" w:cs="Arial"/>
                <w:b/>
                <w:bCs/>
                <w:color w:val="000000"/>
                <w:sz w:val="18"/>
                <w:szCs w:val="18"/>
                <w:lang w:val="en-GB" w:eastAsia="nl-NL"/>
              </w:rPr>
            </w:pPr>
            <w:r w:rsidRPr="00591564">
              <w:rPr>
                <w:rFonts w:ascii="Arial" w:eastAsia="Times New Roman" w:hAnsi="Arial" w:cs="Arial"/>
                <w:b/>
                <w:bCs/>
                <w:color w:val="000000"/>
                <w:sz w:val="18"/>
                <w:szCs w:val="18"/>
                <w:lang w:val="en-GB" w:eastAsia="nl-NL"/>
              </w:rPr>
              <w:t>(95% CI)</w:t>
            </w:r>
          </w:p>
        </w:tc>
      </w:tr>
      <w:tr w:rsidR="003E5A38" w:rsidRPr="00591564" w14:paraId="44D4C79F" w14:textId="77777777" w:rsidTr="009F590D">
        <w:trPr>
          <w:trHeight w:val="20"/>
        </w:trPr>
        <w:tc>
          <w:tcPr>
            <w:tcW w:w="2689" w:type="dxa"/>
            <w:vMerge w:val="restart"/>
            <w:noWrap/>
            <w:hideMark/>
          </w:tcPr>
          <w:p w14:paraId="7D044C80" w14:textId="77777777" w:rsidR="003E5A38" w:rsidRPr="00591564" w:rsidRDefault="003E5A38" w:rsidP="00052EB3">
            <w:pPr>
              <w:jc w:val="cente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Acromioclavicular</w:t>
            </w:r>
          </w:p>
        </w:tc>
        <w:tc>
          <w:tcPr>
            <w:tcW w:w="2268" w:type="dxa"/>
            <w:noWrap/>
            <w:hideMark/>
          </w:tcPr>
          <w:p w14:paraId="28F7C4C9"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Owen et al. 2020</w:t>
            </w:r>
          </w:p>
        </w:tc>
        <w:tc>
          <w:tcPr>
            <w:tcW w:w="1871" w:type="dxa"/>
            <w:noWrap/>
            <w:hideMark/>
          </w:tcPr>
          <w:p w14:paraId="44451747"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100.0 (89.4-100.0)</w:t>
            </w:r>
          </w:p>
        </w:tc>
        <w:tc>
          <w:tcPr>
            <w:tcW w:w="1871" w:type="dxa"/>
            <w:noWrap/>
            <w:hideMark/>
          </w:tcPr>
          <w:p w14:paraId="299AEAD7"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33.3 (25.4-42.1)</w:t>
            </w:r>
          </w:p>
        </w:tc>
        <w:tc>
          <w:tcPr>
            <w:tcW w:w="2154" w:type="dxa"/>
            <w:noWrap/>
            <w:hideMark/>
          </w:tcPr>
          <w:p w14:paraId="37301119"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33.69 (2.02-562.69)</w:t>
            </w:r>
          </w:p>
        </w:tc>
        <w:tc>
          <w:tcPr>
            <w:tcW w:w="1814" w:type="dxa"/>
            <w:noWrap/>
            <w:hideMark/>
          </w:tcPr>
          <w:p w14:paraId="4A0CC180"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1.48 (1.30-1.68)</w:t>
            </w:r>
          </w:p>
        </w:tc>
        <w:tc>
          <w:tcPr>
            <w:tcW w:w="1814" w:type="dxa"/>
            <w:noWrap/>
            <w:hideMark/>
          </w:tcPr>
          <w:p w14:paraId="66682809"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0.04 (0.00-0.70)</w:t>
            </w:r>
          </w:p>
        </w:tc>
      </w:tr>
      <w:tr w:rsidR="003E5A38" w:rsidRPr="00591564" w14:paraId="0B09F946" w14:textId="77777777" w:rsidTr="009F590D">
        <w:trPr>
          <w:trHeight w:val="20"/>
        </w:trPr>
        <w:tc>
          <w:tcPr>
            <w:tcW w:w="2689" w:type="dxa"/>
            <w:vMerge/>
            <w:hideMark/>
          </w:tcPr>
          <w:p w14:paraId="31FAFD3F" w14:textId="77777777" w:rsidR="003E5A38" w:rsidRPr="00591564" w:rsidRDefault="003E5A38" w:rsidP="00052EB3">
            <w:pPr>
              <w:rPr>
                <w:rFonts w:ascii="Arial" w:eastAsia="Times New Roman" w:hAnsi="Arial" w:cs="Arial"/>
                <w:color w:val="000000"/>
                <w:sz w:val="18"/>
                <w:szCs w:val="18"/>
                <w:lang w:val="en-GB" w:eastAsia="nl-NL"/>
              </w:rPr>
            </w:pPr>
          </w:p>
        </w:tc>
        <w:tc>
          <w:tcPr>
            <w:tcW w:w="2268" w:type="dxa"/>
            <w:noWrap/>
            <w:hideMark/>
          </w:tcPr>
          <w:p w14:paraId="04D2359A" w14:textId="77777777" w:rsidR="003E5A38" w:rsidRPr="00591564" w:rsidRDefault="003E5A38" w:rsidP="00052EB3">
            <w:pPr>
              <w:rPr>
                <w:rFonts w:ascii="Arial" w:eastAsia="Times New Roman" w:hAnsi="Arial" w:cs="Arial"/>
                <w:color w:val="000000"/>
                <w:sz w:val="18"/>
                <w:szCs w:val="18"/>
                <w:lang w:val="en-GB" w:eastAsia="nl-NL"/>
              </w:rPr>
            </w:pPr>
            <w:proofErr w:type="spellStart"/>
            <w:r w:rsidRPr="00591564">
              <w:rPr>
                <w:rFonts w:ascii="Arial" w:eastAsia="Times New Roman" w:hAnsi="Arial" w:cs="Arial"/>
                <w:color w:val="000000"/>
                <w:sz w:val="18"/>
                <w:szCs w:val="18"/>
                <w:lang w:val="en-GB" w:eastAsia="nl-NL"/>
              </w:rPr>
              <w:t>Sondag</w:t>
            </w:r>
            <w:proofErr w:type="spellEnd"/>
            <w:r w:rsidRPr="00591564">
              <w:rPr>
                <w:rFonts w:ascii="Arial" w:eastAsia="Times New Roman" w:hAnsi="Arial" w:cs="Arial"/>
                <w:color w:val="000000"/>
                <w:sz w:val="18"/>
                <w:szCs w:val="18"/>
                <w:lang w:val="en-GB" w:eastAsia="nl-NL"/>
              </w:rPr>
              <w:t xml:space="preserve"> et al. 2016</w:t>
            </w:r>
          </w:p>
        </w:tc>
        <w:tc>
          <w:tcPr>
            <w:tcW w:w="1871" w:type="dxa"/>
            <w:noWrap/>
            <w:hideMark/>
          </w:tcPr>
          <w:p w14:paraId="0F5F1503"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26.0 (14.6-40.3)</w:t>
            </w:r>
          </w:p>
        </w:tc>
        <w:tc>
          <w:tcPr>
            <w:tcW w:w="1871" w:type="dxa"/>
            <w:noWrap/>
            <w:hideMark/>
          </w:tcPr>
          <w:p w14:paraId="4DB5D32E"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92.5 (81.8-97.9)</w:t>
            </w:r>
          </w:p>
        </w:tc>
        <w:tc>
          <w:tcPr>
            <w:tcW w:w="2154" w:type="dxa"/>
            <w:noWrap/>
            <w:hideMark/>
          </w:tcPr>
          <w:p w14:paraId="5373634D"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4.30 (1.30-14.28)</w:t>
            </w:r>
          </w:p>
        </w:tc>
        <w:tc>
          <w:tcPr>
            <w:tcW w:w="1814" w:type="dxa"/>
            <w:noWrap/>
            <w:hideMark/>
          </w:tcPr>
          <w:p w14:paraId="0CB567C7"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3.45 (1.20-9.86)</w:t>
            </w:r>
          </w:p>
        </w:tc>
        <w:tc>
          <w:tcPr>
            <w:tcW w:w="1814" w:type="dxa"/>
            <w:noWrap/>
            <w:hideMark/>
          </w:tcPr>
          <w:p w14:paraId="265AF8DD"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0.80 (0.67-0.96)</w:t>
            </w:r>
          </w:p>
        </w:tc>
      </w:tr>
      <w:tr w:rsidR="003E5A38" w:rsidRPr="00591564" w14:paraId="516C2036" w14:textId="77777777" w:rsidTr="009F590D">
        <w:trPr>
          <w:trHeight w:val="20"/>
        </w:trPr>
        <w:tc>
          <w:tcPr>
            <w:tcW w:w="2689" w:type="dxa"/>
            <w:vMerge/>
            <w:hideMark/>
          </w:tcPr>
          <w:p w14:paraId="18ACB4BE" w14:textId="77777777" w:rsidR="003E5A38" w:rsidRPr="00591564" w:rsidRDefault="003E5A38" w:rsidP="00052EB3">
            <w:pPr>
              <w:rPr>
                <w:rFonts w:ascii="Arial" w:eastAsia="Times New Roman" w:hAnsi="Arial" w:cs="Arial"/>
                <w:color w:val="000000"/>
                <w:sz w:val="18"/>
                <w:szCs w:val="18"/>
                <w:lang w:val="en-GB" w:eastAsia="nl-NL"/>
              </w:rPr>
            </w:pPr>
          </w:p>
        </w:tc>
        <w:tc>
          <w:tcPr>
            <w:tcW w:w="2268" w:type="dxa"/>
            <w:noWrap/>
            <w:hideMark/>
          </w:tcPr>
          <w:p w14:paraId="349EAD59" w14:textId="77777777" w:rsidR="003E5A38" w:rsidRPr="00591564" w:rsidRDefault="003E5A38" w:rsidP="00052EB3">
            <w:pPr>
              <w:rPr>
                <w:rFonts w:ascii="Arial" w:eastAsia="Times New Roman" w:hAnsi="Arial" w:cs="Arial"/>
                <w:color w:val="000000"/>
                <w:sz w:val="18"/>
                <w:szCs w:val="18"/>
                <w:lang w:val="en-GB" w:eastAsia="nl-NL"/>
              </w:rPr>
            </w:pPr>
            <w:proofErr w:type="spellStart"/>
            <w:r w:rsidRPr="00591564">
              <w:rPr>
                <w:rFonts w:ascii="Arial" w:eastAsia="Times New Roman" w:hAnsi="Arial" w:cs="Arial"/>
                <w:color w:val="000000"/>
                <w:sz w:val="18"/>
                <w:szCs w:val="18"/>
                <w:lang w:val="en-GB" w:eastAsia="nl-NL"/>
              </w:rPr>
              <w:t>Yuge</w:t>
            </w:r>
            <w:proofErr w:type="spellEnd"/>
            <w:r w:rsidRPr="00591564">
              <w:rPr>
                <w:rFonts w:ascii="Arial" w:eastAsia="Times New Roman" w:hAnsi="Arial" w:cs="Arial"/>
                <w:color w:val="000000"/>
                <w:sz w:val="18"/>
                <w:szCs w:val="18"/>
                <w:lang w:val="en-GB" w:eastAsia="nl-NL"/>
              </w:rPr>
              <w:t xml:space="preserve"> et al. 2018</w:t>
            </w:r>
          </w:p>
        </w:tc>
        <w:tc>
          <w:tcPr>
            <w:tcW w:w="1871" w:type="dxa"/>
            <w:noWrap/>
            <w:hideMark/>
          </w:tcPr>
          <w:p w14:paraId="466CFE62"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25.0 (7.3-52.4)</w:t>
            </w:r>
          </w:p>
        </w:tc>
        <w:tc>
          <w:tcPr>
            <w:tcW w:w="1871" w:type="dxa"/>
            <w:noWrap/>
            <w:hideMark/>
          </w:tcPr>
          <w:p w14:paraId="5E67C147"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81.8 (67.3-91.8)</w:t>
            </w:r>
          </w:p>
        </w:tc>
        <w:tc>
          <w:tcPr>
            <w:tcW w:w="2154" w:type="dxa"/>
            <w:noWrap/>
            <w:hideMark/>
          </w:tcPr>
          <w:p w14:paraId="4D6EAC2A"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1.50 (0.38-5.88)</w:t>
            </w:r>
          </w:p>
        </w:tc>
        <w:tc>
          <w:tcPr>
            <w:tcW w:w="1814" w:type="dxa"/>
            <w:noWrap/>
            <w:hideMark/>
          </w:tcPr>
          <w:p w14:paraId="29CFAC43"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1.38 (0.48-3.95)</w:t>
            </w:r>
          </w:p>
        </w:tc>
        <w:tc>
          <w:tcPr>
            <w:tcW w:w="1814" w:type="dxa"/>
            <w:noWrap/>
            <w:hideMark/>
          </w:tcPr>
          <w:p w14:paraId="1F105A7D"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0.92 (0.67-1.26)</w:t>
            </w:r>
          </w:p>
        </w:tc>
      </w:tr>
      <w:tr w:rsidR="003E5A38" w:rsidRPr="00591564" w14:paraId="6F71E701" w14:textId="77777777" w:rsidTr="009F590D">
        <w:trPr>
          <w:trHeight w:val="20"/>
        </w:trPr>
        <w:tc>
          <w:tcPr>
            <w:tcW w:w="2689" w:type="dxa"/>
            <w:vMerge/>
            <w:hideMark/>
          </w:tcPr>
          <w:p w14:paraId="3C1C974D" w14:textId="77777777" w:rsidR="003E5A38" w:rsidRPr="00591564" w:rsidRDefault="003E5A38" w:rsidP="00052EB3">
            <w:pPr>
              <w:rPr>
                <w:rFonts w:ascii="Arial" w:eastAsia="Times New Roman" w:hAnsi="Arial" w:cs="Arial"/>
                <w:color w:val="000000"/>
                <w:sz w:val="18"/>
                <w:szCs w:val="18"/>
                <w:lang w:val="en-GB" w:eastAsia="nl-NL"/>
              </w:rPr>
            </w:pPr>
          </w:p>
        </w:tc>
        <w:tc>
          <w:tcPr>
            <w:tcW w:w="2268" w:type="dxa"/>
            <w:noWrap/>
            <w:hideMark/>
          </w:tcPr>
          <w:p w14:paraId="2FE53D17"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POOLED</w:t>
            </w:r>
          </w:p>
        </w:tc>
        <w:tc>
          <w:tcPr>
            <w:tcW w:w="1871" w:type="dxa"/>
            <w:noWrap/>
            <w:hideMark/>
          </w:tcPr>
          <w:p w14:paraId="08656636"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w:t>
            </w:r>
          </w:p>
        </w:tc>
        <w:tc>
          <w:tcPr>
            <w:tcW w:w="1871" w:type="dxa"/>
            <w:noWrap/>
            <w:hideMark/>
          </w:tcPr>
          <w:p w14:paraId="350EEAB4"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w:t>
            </w:r>
          </w:p>
        </w:tc>
        <w:tc>
          <w:tcPr>
            <w:tcW w:w="2154" w:type="dxa"/>
            <w:noWrap/>
            <w:hideMark/>
          </w:tcPr>
          <w:p w14:paraId="184EC100"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4.22 (0.94-18.97)</w:t>
            </w:r>
          </w:p>
        </w:tc>
        <w:tc>
          <w:tcPr>
            <w:tcW w:w="1814" w:type="dxa"/>
            <w:noWrap/>
            <w:hideMark/>
          </w:tcPr>
          <w:p w14:paraId="204EED07"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1.76 (0.93-3.35)</w:t>
            </w:r>
          </w:p>
        </w:tc>
        <w:tc>
          <w:tcPr>
            <w:tcW w:w="1814" w:type="dxa"/>
            <w:noWrap/>
            <w:hideMark/>
          </w:tcPr>
          <w:p w14:paraId="0EE7D8B9"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w:t>
            </w:r>
          </w:p>
        </w:tc>
      </w:tr>
      <w:tr w:rsidR="003E5A38" w:rsidRPr="00591564" w14:paraId="565A2F7C" w14:textId="77777777" w:rsidTr="009F590D">
        <w:trPr>
          <w:trHeight w:val="20"/>
        </w:trPr>
        <w:tc>
          <w:tcPr>
            <w:tcW w:w="2689" w:type="dxa"/>
            <w:vMerge w:val="restart"/>
            <w:noWrap/>
            <w:hideMark/>
          </w:tcPr>
          <w:p w14:paraId="54C346AE" w14:textId="77777777" w:rsidR="003E5A38" w:rsidRPr="00591564" w:rsidRDefault="003E5A38" w:rsidP="00052EB3">
            <w:pPr>
              <w:jc w:val="cente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 xml:space="preserve">Iliopectineal </w:t>
            </w:r>
          </w:p>
        </w:tc>
        <w:tc>
          <w:tcPr>
            <w:tcW w:w="2268" w:type="dxa"/>
            <w:noWrap/>
            <w:hideMark/>
          </w:tcPr>
          <w:p w14:paraId="627B73C6" w14:textId="77777777" w:rsidR="003E5A38" w:rsidRPr="00591564" w:rsidRDefault="003E5A38" w:rsidP="00052EB3">
            <w:pPr>
              <w:rPr>
                <w:rFonts w:ascii="Arial" w:eastAsia="Times New Roman" w:hAnsi="Arial" w:cs="Arial"/>
                <w:color w:val="000000"/>
                <w:sz w:val="18"/>
                <w:szCs w:val="18"/>
                <w:lang w:val="en-GB" w:eastAsia="nl-NL"/>
              </w:rPr>
            </w:pPr>
            <w:proofErr w:type="spellStart"/>
            <w:r w:rsidRPr="00591564">
              <w:rPr>
                <w:rFonts w:ascii="Arial" w:eastAsia="Times New Roman" w:hAnsi="Arial" w:cs="Arial"/>
                <w:color w:val="000000"/>
                <w:sz w:val="18"/>
                <w:szCs w:val="18"/>
                <w:lang w:val="en-GB" w:eastAsia="nl-NL"/>
              </w:rPr>
              <w:t>Sondag</w:t>
            </w:r>
            <w:proofErr w:type="spellEnd"/>
            <w:r w:rsidRPr="00591564">
              <w:rPr>
                <w:rFonts w:ascii="Arial" w:eastAsia="Times New Roman" w:hAnsi="Arial" w:cs="Arial"/>
                <w:color w:val="000000"/>
                <w:sz w:val="18"/>
                <w:szCs w:val="18"/>
                <w:lang w:val="en-GB" w:eastAsia="nl-NL"/>
              </w:rPr>
              <w:t xml:space="preserve"> et al. 2016</w:t>
            </w:r>
          </w:p>
        </w:tc>
        <w:tc>
          <w:tcPr>
            <w:tcW w:w="1871" w:type="dxa"/>
            <w:noWrap/>
            <w:hideMark/>
          </w:tcPr>
          <w:p w14:paraId="351568B8"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31.4 (19.1-45.9)</w:t>
            </w:r>
          </w:p>
        </w:tc>
        <w:tc>
          <w:tcPr>
            <w:tcW w:w="1871" w:type="dxa"/>
            <w:noWrap/>
            <w:hideMark/>
          </w:tcPr>
          <w:p w14:paraId="115F2301"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92.5 (81.8-97.9)</w:t>
            </w:r>
          </w:p>
        </w:tc>
        <w:tc>
          <w:tcPr>
            <w:tcW w:w="2154" w:type="dxa"/>
            <w:noWrap/>
            <w:hideMark/>
          </w:tcPr>
          <w:p w14:paraId="09CE8DC5"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5.60 (1.72-18.20)</w:t>
            </w:r>
          </w:p>
        </w:tc>
        <w:tc>
          <w:tcPr>
            <w:tcW w:w="1814" w:type="dxa"/>
            <w:noWrap/>
            <w:hideMark/>
          </w:tcPr>
          <w:p w14:paraId="54217F14"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4.16 (1.49-11.60)</w:t>
            </w:r>
          </w:p>
        </w:tc>
        <w:tc>
          <w:tcPr>
            <w:tcW w:w="1814" w:type="dxa"/>
            <w:noWrap/>
            <w:hideMark/>
          </w:tcPr>
          <w:p w14:paraId="24150B2B"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0.74 (0.61-0.91)</w:t>
            </w:r>
          </w:p>
        </w:tc>
      </w:tr>
      <w:tr w:rsidR="003E5A38" w:rsidRPr="00591564" w14:paraId="560A016A" w14:textId="77777777" w:rsidTr="009F590D">
        <w:trPr>
          <w:trHeight w:val="20"/>
        </w:trPr>
        <w:tc>
          <w:tcPr>
            <w:tcW w:w="2689" w:type="dxa"/>
            <w:vMerge/>
            <w:hideMark/>
          </w:tcPr>
          <w:p w14:paraId="5CDC9118" w14:textId="77777777" w:rsidR="003E5A38" w:rsidRPr="00591564" w:rsidRDefault="003E5A38" w:rsidP="00052EB3">
            <w:pPr>
              <w:rPr>
                <w:rFonts w:ascii="Arial" w:eastAsia="Times New Roman" w:hAnsi="Arial" w:cs="Arial"/>
                <w:color w:val="000000"/>
                <w:sz w:val="18"/>
                <w:szCs w:val="18"/>
                <w:lang w:val="en-GB" w:eastAsia="nl-NL"/>
              </w:rPr>
            </w:pPr>
          </w:p>
        </w:tc>
        <w:tc>
          <w:tcPr>
            <w:tcW w:w="2268" w:type="dxa"/>
            <w:noWrap/>
            <w:hideMark/>
          </w:tcPr>
          <w:p w14:paraId="14B738E3" w14:textId="7CD7096E"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Takahashi et al. 201</w:t>
            </w:r>
            <w:r w:rsidR="009F03EF" w:rsidRPr="00591564">
              <w:rPr>
                <w:rFonts w:ascii="Arial" w:eastAsia="Times New Roman" w:hAnsi="Arial" w:cs="Arial"/>
                <w:color w:val="000000"/>
                <w:sz w:val="18"/>
                <w:szCs w:val="18"/>
                <w:lang w:val="en-GB" w:eastAsia="nl-NL"/>
              </w:rPr>
              <w:t>5</w:t>
            </w:r>
          </w:p>
        </w:tc>
        <w:tc>
          <w:tcPr>
            <w:tcW w:w="1871" w:type="dxa"/>
            <w:noWrap/>
            <w:hideMark/>
          </w:tcPr>
          <w:p w14:paraId="540E16E8"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59.3 (38.8-77.6)</w:t>
            </w:r>
          </w:p>
        </w:tc>
        <w:tc>
          <w:tcPr>
            <w:tcW w:w="1871" w:type="dxa"/>
            <w:noWrap/>
            <w:hideMark/>
          </w:tcPr>
          <w:p w14:paraId="3B91B632"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90.0 (55.5-99.7)</w:t>
            </w:r>
          </w:p>
        </w:tc>
        <w:tc>
          <w:tcPr>
            <w:tcW w:w="2154" w:type="dxa"/>
            <w:noWrap/>
            <w:hideMark/>
          </w:tcPr>
          <w:p w14:paraId="600775ED"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13.09 (1.45-118.62)</w:t>
            </w:r>
          </w:p>
        </w:tc>
        <w:tc>
          <w:tcPr>
            <w:tcW w:w="1814" w:type="dxa"/>
            <w:noWrap/>
            <w:hideMark/>
          </w:tcPr>
          <w:p w14:paraId="1943F62B"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5.93 (0.90-39.05)</w:t>
            </w:r>
          </w:p>
        </w:tc>
        <w:tc>
          <w:tcPr>
            <w:tcW w:w="1814" w:type="dxa"/>
            <w:noWrap/>
            <w:hideMark/>
          </w:tcPr>
          <w:p w14:paraId="5F4786C4"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0.45 (0.28-0.75)</w:t>
            </w:r>
          </w:p>
        </w:tc>
      </w:tr>
      <w:tr w:rsidR="003E5A38" w:rsidRPr="00591564" w14:paraId="0CC5532E" w14:textId="77777777" w:rsidTr="009F590D">
        <w:trPr>
          <w:trHeight w:val="20"/>
        </w:trPr>
        <w:tc>
          <w:tcPr>
            <w:tcW w:w="2689" w:type="dxa"/>
            <w:vMerge/>
            <w:hideMark/>
          </w:tcPr>
          <w:p w14:paraId="58E53525" w14:textId="77777777" w:rsidR="003E5A38" w:rsidRPr="00591564" w:rsidRDefault="003E5A38" w:rsidP="00052EB3">
            <w:pPr>
              <w:rPr>
                <w:rFonts w:ascii="Arial" w:eastAsia="Times New Roman" w:hAnsi="Arial" w:cs="Arial"/>
                <w:color w:val="000000"/>
                <w:sz w:val="18"/>
                <w:szCs w:val="18"/>
                <w:lang w:val="en-GB" w:eastAsia="nl-NL"/>
              </w:rPr>
            </w:pPr>
          </w:p>
        </w:tc>
        <w:tc>
          <w:tcPr>
            <w:tcW w:w="2268" w:type="dxa"/>
            <w:noWrap/>
            <w:hideMark/>
          </w:tcPr>
          <w:p w14:paraId="6C34AD06"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POOLED</w:t>
            </w:r>
          </w:p>
        </w:tc>
        <w:tc>
          <w:tcPr>
            <w:tcW w:w="1871" w:type="dxa"/>
            <w:noWrap/>
            <w:hideMark/>
          </w:tcPr>
          <w:p w14:paraId="3BDE9E30"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w:t>
            </w:r>
          </w:p>
        </w:tc>
        <w:tc>
          <w:tcPr>
            <w:tcW w:w="1871" w:type="dxa"/>
            <w:noWrap/>
            <w:hideMark/>
          </w:tcPr>
          <w:p w14:paraId="66677D90"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92.1 (82.4-97.4)</w:t>
            </w:r>
          </w:p>
        </w:tc>
        <w:tc>
          <w:tcPr>
            <w:tcW w:w="2154" w:type="dxa"/>
            <w:noWrap/>
            <w:hideMark/>
          </w:tcPr>
          <w:p w14:paraId="2B48ED42"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6.76 (2.39-19.12)</w:t>
            </w:r>
          </w:p>
        </w:tc>
        <w:tc>
          <w:tcPr>
            <w:tcW w:w="1814" w:type="dxa"/>
            <w:noWrap/>
            <w:hideMark/>
          </w:tcPr>
          <w:p w14:paraId="27C2BEB1"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4.51 (1.83-11.10)</w:t>
            </w:r>
          </w:p>
        </w:tc>
        <w:tc>
          <w:tcPr>
            <w:tcW w:w="1814" w:type="dxa"/>
            <w:noWrap/>
            <w:hideMark/>
          </w:tcPr>
          <w:p w14:paraId="751A4B3D"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0.61 (0.38-0.99)</w:t>
            </w:r>
          </w:p>
        </w:tc>
      </w:tr>
      <w:tr w:rsidR="003E5A38" w:rsidRPr="00591564" w14:paraId="13A859E0" w14:textId="77777777" w:rsidTr="00BA6056">
        <w:trPr>
          <w:trHeight w:val="20"/>
        </w:trPr>
        <w:tc>
          <w:tcPr>
            <w:tcW w:w="2689" w:type="dxa"/>
            <w:vMerge w:val="restart"/>
            <w:noWrap/>
            <w:hideMark/>
          </w:tcPr>
          <w:p w14:paraId="0914D478" w14:textId="77777777" w:rsidR="003E5A38" w:rsidRPr="00591564" w:rsidRDefault="003E5A38" w:rsidP="00052EB3">
            <w:pPr>
              <w:jc w:val="cente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Interspinous cervical</w:t>
            </w:r>
          </w:p>
        </w:tc>
        <w:tc>
          <w:tcPr>
            <w:tcW w:w="2268" w:type="dxa"/>
            <w:noWrap/>
            <w:hideMark/>
          </w:tcPr>
          <w:p w14:paraId="7F27C161" w14:textId="77777777" w:rsidR="003E5A38" w:rsidRPr="00591564" w:rsidRDefault="003E5A38" w:rsidP="00052EB3">
            <w:pPr>
              <w:rPr>
                <w:rFonts w:ascii="Arial" w:eastAsia="Times New Roman" w:hAnsi="Arial" w:cs="Arial"/>
                <w:color w:val="000000"/>
                <w:sz w:val="18"/>
                <w:szCs w:val="18"/>
                <w:lang w:val="en-GB" w:eastAsia="nl-NL"/>
              </w:rPr>
            </w:pPr>
            <w:proofErr w:type="spellStart"/>
            <w:r w:rsidRPr="00591564">
              <w:rPr>
                <w:rFonts w:ascii="Arial" w:eastAsia="Times New Roman" w:hAnsi="Arial" w:cs="Arial"/>
                <w:color w:val="000000"/>
                <w:sz w:val="18"/>
                <w:szCs w:val="18"/>
                <w:lang w:val="en-GB" w:eastAsia="nl-NL"/>
              </w:rPr>
              <w:t>Camellino</w:t>
            </w:r>
            <w:proofErr w:type="spellEnd"/>
            <w:r w:rsidRPr="00591564">
              <w:rPr>
                <w:rFonts w:ascii="Arial" w:eastAsia="Times New Roman" w:hAnsi="Arial" w:cs="Arial"/>
                <w:color w:val="000000"/>
                <w:sz w:val="18"/>
                <w:szCs w:val="18"/>
                <w:lang w:val="en-GB" w:eastAsia="nl-NL"/>
              </w:rPr>
              <w:t xml:space="preserve"> et al. 2014</w:t>
            </w:r>
          </w:p>
        </w:tc>
        <w:tc>
          <w:tcPr>
            <w:tcW w:w="1871" w:type="dxa"/>
            <w:noWrap/>
          </w:tcPr>
          <w:p w14:paraId="33329283" w14:textId="1B869275" w:rsidR="003E5A38" w:rsidRPr="00591564" w:rsidRDefault="00157519"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9.2 (3.5-19.0)</w:t>
            </w:r>
          </w:p>
        </w:tc>
        <w:tc>
          <w:tcPr>
            <w:tcW w:w="1871" w:type="dxa"/>
            <w:noWrap/>
          </w:tcPr>
          <w:p w14:paraId="362B7133" w14:textId="7D8F31D5" w:rsidR="003E5A38" w:rsidRPr="00591564" w:rsidRDefault="00157519"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100.0 (95.2-100.0)</w:t>
            </w:r>
          </w:p>
        </w:tc>
        <w:tc>
          <w:tcPr>
            <w:tcW w:w="2154" w:type="dxa"/>
            <w:noWrap/>
          </w:tcPr>
          <w:p w14:paraId="3BA2818D" w14:textId="7974B7ED" w:rsidR="003E5A38" w:rsidRPr="00591564" w:rsidRDefault="00157519"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16.50 (0.91-298.73)</w:t>
            </w:r>
          </w:p>
        </w:tc>
        <w:tc>
          <w:tcPr>
            <w:tcW w:w="1814" w:type="dxa"/>
            <w:noWrap/>
          </w:tcPr>
          <w:p w14:paraId="6450D7C3" w14:textId="11C3C060" w:rsidR="003E5A38" w:rsidRPr="00591564" w:rsidRDefault="00157519"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14.97 (0.86-260.74)</w:t>
            </w:r>
          </w:p>
        </w:tc>
        <w:tc>
          <w:tcPr>
            <w:tcW w:w="1814" w:type="dxa"/>
            <w:noWrap/>
          </w:tcPr>
          <w:p w14:paraId="0C723001" w14:textId="48E12787" w:rsidR="003E5A38" w:rsidRPr="00591564" w:rsidRDefault="00157519"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0.91 (0.84-0.99)</w:t>
            </w:r>
          </w:p>
        </w:tc>
      </w:tr>
      <w:tr w:rsidR="003E5A38" w:rsidRPr="00591564" w14:paraId="158DB661" w14:textId="77777777" w:rsidTr="009F590D">
        <w:trPr>
          <w:trHeight w:val="20"/>
        </w:trPr>
        <w:tc>
          <w:tcPr>
            <w:tcW w:w="2689" w:type="dxa"/>
            <w:vMerge/>
            <w:hideMark/>
          </w:tcPr>
          <w:p w14:paraId="186EE81A" w14:textId="77777777" w:rsidR="003E5A38" w:rsidRPr="00591564" w:rsidRDefault="003E5A38" w:rsidP="00052EB3">
            <w:pPr>
              <w:rPr>
                <w:rFonts w:ascii="Arial" w:eastAsia="Times New Roman" w:hAnsi="Arial" w:cs="Arial"/>
                <w:color w:val="000000"/>
                <w:sz w:val="18"/>
                <w:szCs w:val="18"/>
                <w:lang w:val="en-GB" w:eastAsia="nl-NL"/>
              </w:rPr>
            </w:pPr>
          </w:p>
        </w:tc>
        <w:tc>
          <w:tcPr>
            <w:tcW w:w="2268" w:type="dxa"/>
            <w:noWrap/>
            <w:hideMark/>
          </w:tcPr>
          <w:p w14:paraId="71CAE0D8" w14:textId="77777777" w:rsidR="003E5A38" w:rsidRPr="00591564" w:rsidRDefault="003E5A38" w:rsidP="00052EB3">
            <w:pPr>
              <w:rPr>
                <w:rFonts w:ascii="Arial" w:eastAsia="Times New Roman" w:hAnsi="Arial" w:cs="Arial"/>
                <w:color w:val="000000"/>
                <w:sz w:val="18"/>
                <w:szCs w:val="18"/>
                <w:lang w:val="en-GB" w:eastAsia="nl-NL"/>
              </w:rPr>
            </w:pPr>
            <w:proofErr w:type="spellStart"/>
            <w:r w:rsidRPr="00591564">
              <w:rPr>
                <w:rFonts w:ascii="Arial" w:eastAsia="Times New Roman" w:hAnsi="Arial" w:cs="Arial"/>
                <w:color w:val="000000"/>
                <w:sz w:val="18"/>
                <w:szCs w:val="18"/>
                <w:lang w:val="en-GB" w:eastAsia="nl-NL"/>
              </w:rPr>
              <w:t>Wakura</w:t>
            </w:r>
            <w:proofErr w:type="spellEnd"/>
            <w:r w:rsidRPr="00591564">
              <w:rPr>
                <w:rFonts w:ascii="Arial" w:eastAsia="Times New Roman" w:hAnsi="Arial" w:cs="Arial"/>
                <w:color w:val="000000"/>
                <w:sz w:val="18"/>
                <w:szCs w:val="18"/>
                <w:lang w:val="en-GB" w:eastAsia="nl-NL"/>
              </w:rPr>
              <w:t xml:space="preserve"> et al. 2016</w:t>
            </w:r>
          </w:p>
        </w:tc>
        <w:tc>
          <w:tcPr>
            <w:tcW w:w="1871" w:type="dxa"/>
            <w:noWrap/>
            <w:hideMark/>
          </w:tcPr>
          <w:p w14:paraId="0F20AF8A"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46.7 (21.3-73.4)</w:t>
            </w:r>
          </w:p>
        </w:tc>
        <w:tc>
          <w:tcPr>
            <w:tcW w:w="1871" w:type="dxa"/>
            <w:noWrap/>
            <w:hideMark/>
          </w:tcPr>
          <w:p w14:paraId="73FAF85A"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100.0 (59.0-100.0)</w:t>
            </w:r>
          </w:p>
        </w:tc>
        <w:tc>
          <w:tcPr>
            <w:tcW w:w="2154" w:type="dxa"/>
            <w:noWrap/>
            <w:hideMark/>
          </w:tcPr>
          <w:p w14:paraId="7E168FE0"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13.24 (0.64-272.96)</w:t>
            </w:r>
          </w:p>
        </w:tc>
        <w:tc>
          <w:tcPr>
            <w:tcW w:w="1814" w:type="dxa"/>
            <w:noWrap/>
            <w:hideMark/>
          </w:tcPr>
          <w:p w14:paraId="429A75E4"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7.50 (0.49-115.46)</w:t>
            </w:r>
          </w:p>
        </w:tc>
        <w:tc>
          <w:tcPr>
            <w:tcW w:w="1814" w:type="dxa"/>
            <w:noWrap/>
            <w:hideMark/>
          </w:tcPr>
          <w:p w14:paraId="3AA98CDC"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0.57 (0.35-0.93)</w:t>
            </w:r>
          </w:p>
        </w:tc>
      </w:tr>
      <w:tr w:rsidR="003E5A38" w:rsidRPr="00591564" w14:paraId="7E47DA46" w14:textId="77777777" w:rsidTr="00BA6056">
        <w:trPr>
          <w:trHeight w:val="20"/>
        </w:trPr>
        <w:tc>
          <w:tcPr>
            <w:tcW w:w="2689" w:type="dxa"/>
            <w:vMerge/>
            <w:hideMark/>
          </w:tcPr>
          <w:p w14:paraId="789A74A3" w14:textId="77777777" w:rsidR="003E5A38" w:rsidRPr="00591564" w:rsidRDefault="003E5A38" w:rsidP="00052EB3">
            <w:pPr>
              <w:rPr>
                <w:rFonts w:ascii="Arial" w:eastAsia="Times New Roman" w:hAnsi="Arial" w:cs="Arial"/>
                <w:color w:val="000000"/>
                <w:sz w:val="18"/>
                <w:szCs w:val="18"/>
                <w:lang w:val="en-GB" w:eastAsia="nl-NL"/>
              </w:rPr>
            </w:pPr>
          </w:p>
        </w:tc>
        <w:tc>
          <w:tcPr>
            <w:tcW w:w="2268" w:type="dxa"/>
            <w:noWrap/>
            <w:hideMark/>
          </w:tcPr>
          <w:p w14:paraId="58798368"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POOLED</w:t>
            </w:r>
          </w:p>
        </w:tc>
        <w:tc>
          <w:tcPr>
            <w:tcW w:w="1871" w:type="dxa"/>
            <w:noWrap/>
          </w:tcPr>
          <w:p w14:paraId="48B2FFBA" w14:textId="3D83AB35" w:rsidR="003E5A38" w:rsidRPr="00591564" w:rsidRDefault="00157519"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w:t>
            </w:r>
          </w:p>
        </w:tc>
        <w:tc>
          <w:tcPr>
            <w:tcW w:w="1871" w:type="dxa"/>
            <w:noWrap/>
          </w:tcPr>
          <w:p w14:paraId="16095F56" w14:textId="606AC723" w:rsidR="003E5A38" w:rsidRPr="00591564" w:rsidRDefault="00157519"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100.0 (95.6-100.0)</w:t>
            </w:r>
          </w:p>
        </w:tc>
        <w:tc>
          <w:tcPr>
            <w:tcW w:w="2154" w:type="dxa"/>
            <w:noWrap/>
          </w:tcPr>
          <w:p w14:paraId="009B14C7" w14:textId="5EB41F44" w:rsidR="003E5A38" w:rsidRPr="00591564" w:rsidRDefault="00157519"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14.85 (1.83-120.35)</w:t>
            </w:r>
          </w:p>
        </w:tc>
        <w:tc>
          <w:tcPr>
            <w:tcW w:w="1814" w:type="dxa"/>
            <w:noWrap/>
          </w:tcPr>
          <w:p w14:paraId="5878C20D" w14:textId="65C61FD5" w:rsidR="003E5A38" w:rsidRPr="00591564" w:rsidRDefault="00157519"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10.44 (1.45-75.24)</w:t>
            </w:r>
          </w:p>
        </w:tc>
        <w:tc>
          <w:tcPr>
            <w:tcW w:w="1814" w:type="dxa"/>
            <w:noWrap/>
          </w:tcPr>
          <w:p w14:paraId="2BB94990" w14:textId="18419424" w:rsidR="003E5A38" w:rsidRPr="00591564" w:rsidRDefault="00157519"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w:t>
            </w:r>
          </w:p>
        </w:tc>
      </w:tr>
      <w:tr w:rsidR="003E5A38" w:rsidRPr="00591564" w14:paraId="30FE6396" w14:textId="77777777" w:rsidTr="00BA6056">
        <w:trPr>
          <w:trHeight w:val="20"/>
        </w:trPr>
        <w:tc>
          <w:tcPr>
            <w:tcW w:w="2689" w:type="dxa"/>
            <w:vMerge w:val="restart"/>
            <w:noWrap/>
            <w:hideMark/>
          </w:tcPr>
          <w:p w14:paraId="258D9BC7" w14:textId="77777777" w:rsidR="003E5A38" w:rsidRPr="00591564" w:rsidRDefault="003E5A38" w:rsidP="00052EB3">
            <w:pPr>
              <w:jc w:val="cente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Interspinous lumbar</w:t>
            </w:r>
          </w:p>
        </w:tc>
        <w:tc>
          <w:tcPr>
            <w:tcW w:w="2268" w:type="dxa"/>
            <w:noWrap/>
            <w:hideMark/>
          </w:tcPr>
          <w:p w14:paraId="449DEDF2" w14:textId="77777777" w:rsidR="003E5A38" w:rsidRPr="00591564" w:rsidRDefault="003E5A38" w:rsidP="00052EB3">
            <w:pPr>
              <w:rPr>
                <w:rFonts w:ascii="Arial" w:eastAsia="Times New Roman" w:hAnsi="Arial" w:cs="Arial"/>
                <w:color w:val="000000"/>
                <w:sz w:val="18"/>
                <w:szCs w:val="18"/>
                <w:lang w:val="en-GB" w:eastAsia="nl-NL"/>
              </w:rPr>
            </w:pPr>
            <w:proofErr w:type="spellStart"/>
            <w:r w:rsidRPr="00591564">
              <w:rPr>
                <w:rFonts w:ascii="Arial" w:eastAsia="Times New Roman" w:hAnsi="Arial" w:cs="Arial"/>
                <w:color w:val="000000"/>
                <w:sz w:val="18"/>
                <w:szCs w:val="18"/>
                <w:lang w:val="en-GB" w:eastAsia="nl-NL"/>
              </w:rPr>
              <w:t>Camellino</w:t>
            </w:r>
            <w:proofErr w:type="spellEnd"/>
            <w:r w:rsidRPr="00591564">
              <w:rPr>
                <w:rFonts w:ascii="Arial" w:eastAsia="Times New Roman" w:hAnsi="Arial" w:cs="Arial"/>
                <w:color w:val="000000"/>
                <w:sz w:val="18"/>
                <w:szCs w:val="18"/>
                <w:lang w:val="en-GB" w:eastAsia="nl-NL"/>
              </w:rPr>
              <w:t xml:space="preserve"> et al. 2014</w:t>
            </w:r>
          </w:p>
        </w:tc>
        <w:tc>
          <w:tcPr>
            <w:tcW w:w="1871" w:type="dxa"/>
            <w:noWrap/>
          </w:tcPr>
          <w:p w14:paraId="79BE2FC8" w14:textId="11DA7C63" w:rsidR="003E5A38" w:rsidRPr="00591564" w:rsidRDefault="00E04080"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46.2 (33.7-59.0)</w:t>
            </w:r>
          </w:p>
        </w:tc>
        <w:tc>
          <w:tcPr>
            <w:tcW w:w="1871" w:type="dxa"/>
            <w:noWrap/>
          </w:tcPr>
          <w:p w14:paraId="103C07D1" w14:textId="07DA1F6A" w:rsidR="003E5A38" w:rsidRPr="00591564" w:rsidRDefault="00E04080"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98.7 (92.8-100.0)</w:t>
            </w:r>
          </w:p>
        </w:tc>
        <w:tc>
          <w:tcPr>
            <w:tcW w:w="2154" w:type="dxa"/>
            <w:noWrap/>
          </w:tcPr>
          <w:p w14:paraId="6A048FA6" w14:textId="5E63F4D1" w:rsidR="003E5A38" w:rsidRPr="00591564" w:rsidRDefault="00E04080"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63.43 (8.31-484.18)</w:t>
            </w:r>
          </w:p>
        </w:tc>
        <w:tc>
          <w:tcPr>
            <w:tcW w:w="1814" w:type="dxa"/>
            <w:noWrap/>
          </w:tcPr>
          <w:p w14:paraId="4C07D262" w14:textId="16EDDB97" w:rsidR="003E5A38" w:rsidRPr="00591564" w:rsidRDefault="00E04080"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34.62 (4.85-246.85)</w:t>
            </w:r>
          </w:p>
        </w:tc>
        <w:tc>
          <w:tcPr>
            <w:tcW w:w="1814" w:type="dxa"/>
            <w:noWrap/>
          </w:tcPr>
          <w:p w14:paraId="631ED5D6" w14:textId="26F22E3A" w:rsidR="003E5A38" w:rsidRPr="00591564" w:rsidRDefault="00E04080"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0.55 (0.44-0.69)</w:t>
            </w:r>
          </w:p>
        </w:tc>
      </w:tr>
      <w:tr w:rsidR="003E5A38" w:rsidRPr="00591564" w14:paraId="33D64CCE" w14:textId="77777777" w:rsidTr="009F590D">
        <w:trPr>
          <w:trHeight w:val="20"/>
        </w:trPr>
        <w:tc>
          <w:tcPr>
            <w:tcW w:w="2689" w:type="dxa"/>
            <w:vMerge/>
            <w:hideMark/>
          </w:tcPr>
          <w:p w14:paraId="7F7F6761" w14:textId="77777777" w:rsidR="003E5A38" w:rsidRPr="00591564" w:rsidRDefault="003E5A38" w:rsidP="00052EB3">
            <w:pPr>
              <w:rPr>
                <w:rFonts w:ascii="Arial" w:eastAsia="Times New Roman" w:hAnsi="Arial" w:cs="Arial"/>
                <w:color w:val="000000"/>
                <w:sz w:val="18"/>
                <w:szCs w:val="18"/>
                <w:lang w:val="en-GB" w:eastAsia="nl-NL"/>
              </w:rPr>
            </w:pPr>
          </w:p>
        </w:tc>
        <w:tc>
          <w:tcPr>
            <w:tcW w:w="2268" w:type="dxa"/>
            <w:noWrap/>
            <w:hideMark/>
          </w:tcPr>
          <w:p w14:paraId="55ADDFD6" w14:textId="77777777" w:rsidR="003E5A38" w:rsidRPr="00591564" w:rsidRDefault="003E5A38" w:rsidP="00052EB3">
            <w:pPr>
              <w:rPr>
                <w:rFonts w:ascii="Arial" w:eastAsia="Times New Roman" w:hAnsi="Arial" w:cs="Arial"/>
                <w:color w:val="000000"/>
                <w:sz w:val="18"/>
                <w:szCs w:val="18"/>
                <w:lang w:val="en-GB" w:eastAsia="nl-NL"/>
              </w:rPr>
            </w:pPr>
            <w:proofErr w:type="spellStart"/>
            <w:r w:rsidRPr="00591564">
              <w:rPr>
                <w:rFonts w:ascii="Arial" w:eastAsia="Times New Roman" w:hAnsi="Arial" w:cs="Arial"/>
                <w:color w:val="000000"/>
                <w:sz w:val="18"/>
                <w:szCs w:val="18"/>
                <w:lang w:val="en-GB" w:eastAsia="nl-NL"/>
              </w:rPr>
              <w:t>Wakura</w:t>
            </w:r>
            <w:proofErr w:type="spellEnd"/>
            <w:r w:rsidRPr="00591564">
              <w:rPr>
                <w:rFonts w:ascii="Arial" w:eastAsia="Times New Roman" w:hAnsi="Arial" w:cs="Arial"/>
                <w:color w:val="000000"/>
                <w:sz w:val="18"/>
                <w:szCs w:val="18"/>
                <w:lang w:val="en-GB" w:eastAsia="nl-NL"/>
              </w:rPr>
              <w:t xml:space="preserve"> et al. 2016</w:t>
            </w:r>
          </w:p>
        </w:tc>
        <w:tc>
          <w:tcPr>
            <w:tcW w:w="1871" w:type="dxa"/>
            <w:noWrap/>
            <w:hideMark/>
          </w:tcPr>
          <w:p w14:paraId="0A70E84A"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73.3 (44.9-92.2)</w:t>
            </w:r>
          </w:p>
        </w:tc>
        <w:tc>
          <w:tcPr>
            <w:tcW w:w="1871" w:type="dxa"/>
            <w:noWrap/>
            <w:hideMark/>
          </w:tcPr>
          <w:p w14:paraId="288C26AA"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85.7 (42.1-99.6)</w:t>
            </w:r>
          </w:p>
        </w:tc>
        <w:tc>
          <w:tcPr>
            <w:tcW w:w="2154" w:type="dxa"/>
            <w:noWrap/>
            <w:hideMark/>
          </w:tcPr>
          <w:p w14:paraId="23B4220C"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16.50 (1.49-183.07)</w:t>
            </w:r>
          </w:p>
        </w:tc>
        <w:tc>
          <w:tcPr>
            <w:tcW w:w="1814" w:type="dxa"/>
            <w:noWrap/>
            <w:hideMark/>
          </w:tcPr>
          <w:p w14:paraId="508AFB7A"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5.13 (0.82-32.32)</w:t>
            </w:r>
          </w:p>
        </w:tc>
        <w:tc>
          <w:tcPr>
            <w:tcW w:w="1814" w:type="dxa"/>
            <w:noWrap/>
            <w:hideMark/>
          </w:tcPr>
          <w:p w14:paraId="7EDE5E58"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0.31 (0.13-0.76)</w:t>
            </w:r>
          </w:p>
        </w:tc>
      </w:tr>
      <w:tr w:rsidR="003E5A38" w:rsidRPr="00591564" w14:paraId="48E1A51B" w14:textId="77777777" w:rsidTr="0052510A">
        <w:trPr>
          <w:trHeight w:val="20"/>
        </w:trPr>
        <w:tc>
          <w:tcPr>
            <w:tcW w:w="2689" w:type="dxa"/>
            <w:vMerge/>
            <w:hideMark/>
          </w:tcPr>
          <w:p w14:paraId="3F4D57F9" w14:textId="77777777" w:rsidR="003E5A38" w:rsidRPr="00591564" w:rsidRDefault="003E5A38" w:rsidP="00052EB3">
            <w:pPr>
              <w:rPr>
                <w:rFonts w:ascii="Arial" w:eastAsia="Times New Roman" w:hAnsi="Arial" w:cs="Arial"/>
                <w:color w:val="000000"/>
                <w:sz w:val="18"/>
                <w:szCs w:val="18"/>
                <w:lang w:val="en-GB" w:eastAsia="nl-NL"/>
              </w:rPr>
            </w:pPr>
          </w:p>
        </w:tc>
        <w:tc>
          <w:tcPr>
            <w:tcW w:w="2268" w:type="dxa"/>
            <w:noWrap/>
            <w:hideMark/>
          </w:tcPr>
          <w:p w14:paraId="1534BCD5"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POOLED</w:t>
            </w:r>
          </w:p>
        </w:tc>
        <w:tc>
          <w:tcPr>
            <w:tcW w:w="1871" w:type="dxa"/>
            <w:noWrap/>
          </w:tcPr>
          <w:p w14:paraId="233CF4E6" w14:textId="230FE868" w:rsidR="003E5A38" w:rsidRPr="00591564" w:rsidRDefault="00E04080"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51.3 (39.8-62.6)</w:t>
            </w:r>
          </w:p>
        </w:tc>
        <w:tc>
          <w:tcPr>
            <w:tcW w:w="1871" w:type="dxa"/>
            <w:noWrap/>
          </w:tcPr>
          <w:p w14:paraId="748BD3E6" w14:textId="727E5220" w:rsidR="003E5A38" w:rsidRPr="00591564" w:rsidRDefault="00E04080"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97.6 (91.5-99.7)</w:t>
            </w:r>
          </w:p>
        </w:tc>
        <w:tc>
          <w:tcPr>
            <w:tcW w:w="2154" w:type="dxa"/>
            <w:noWrap/>
          </w:tcPr>
          <w:p w14:paraId="334D0F2C" w14:textId="6AA634BC" w:rsidR="003E5A38" w:rsidRPr="00591564" w:rsidRDefault="00E04080"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36.21 (7.66-171.07)</w:t>
            </w:r>
          </w:p>
        </w:tc>
        <w:tc>
          <w:tcPr>
            <w:tcW w:w="1814" w:type="dxa"/>
            <w:noWrap/>
          </w:tcPr>
          <w:p w14:paraId="2E4BE520" w14:textId="29C6D31F" w:rsidR="003E5A38" w:rsidRPr="00591564" w:rsidRDefault="00E04080"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12.95 (1.81-</w:t>
            </w:r>
            <w:r w:rsidR="00F10931" w:rsidRPr="00591564">
              <w:rPr>
                <w:rFonts w:ascii="Arial" w:eastAsia="Times New Roman" w:hAnsi="Arial" w:cs="Arial"/>
                <w:color w:val="000000"/>
                <w:sz w:val="18"/>
                <w:szCs w:val="18"/>
                <w:lang w:val="en-GB" w:eastAsia="nl-NL"/>
              </w:rPr>
              <w:t>92.47)</w:t>
            </w:r>
          </w:p>
        </w:tc>
        <w:tc>
          <w:tcPr>
            <w:tcW w:w="1814" w:type="dxa"/>
            <w:noWrap/>
          </w:tcPr>
          <w:p w14:paraId="30A1C3CF" w14:textId="7E34A998" w:rsidR="003E5A38" w:rsidRPr="00591564" w:rsidRDefault="00F10931"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0.49 (0.32-0.76)</w:t>
            </w:r>
          </w:p>
        </w:tc>
      </w:tr>
      <w:tr w:rsidR="003E5A38" w:rsidRPr="00591564" w14:paraId="46BC5C50" w14:textId="77777777" w:rsidTr="009F590D">
        <w:trPr>
          <w:trHeight w:val="20"/>
        </w:trPr>
        <w:tc>
          <w:tcPr>
            <w:tcW w:w="2689" w:type="dxa"/>
            <w:vMerge w:val="restart"/>
            <w:noWrap/>
            <w:hideMark/>
          </w:tcPr>
          <w:p w14:paraId="21B07948" w14:textId="77777777" w:rsidR="003E5A38" w:rsidRPr="00591564" w:rsidRDefault="003E5A38" w:rsidP="00052EB3">
            <w:pPr>
              <w:jc w:val="cente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Shoulder peri-articular</w:t>
            </w:r>
          </w:p>
        </w:tc>
        <w:tc>
          <w:tcPr>
            <w:tcW w:w="2268" w:type="dxa"/>
            <w:noWrap/>
            <w:hideMark/>
          </w:tcPr>
          <w:p w14:paraId="0A298AEA"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Owen et al. 2020</w:t>
            </w:r>
          </w:p>
        </w:tc>
        <w:tc>
          <w:tcPr>
            <w:tcW w:w="1871" w:type="dxa"/>
            <w:noWrap/>
            <w:hideMark/>
          </w:tcPr>
          <w:p w14:paraId="76C2D89E"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97.0 (84.2-99.9)</w:t>
            </w:r>
          </w:p>
        </w:tc>
        <w:tc>
          <w:tcPr>
            <w:tcW w:w="1871" w:type="dxa"/>
            <w:noWrap/>
            <w:hideMark/>
          </w:tcPr>
          <w:p w14:paraId="2BFD2CA5"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18.2 (12.0-25.8)</w:t>
            </w:r>
          </w:p>
        </w:tc>
        <w:tc>
          <w:tcPr>
            <w:tcW w:w="2154" w:type="dxa"/>
            <w:noWrap/>
            <w:hideMark/>
          </w:tcPr>
          <w:p w14:paraId="2AA68A89"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7.11 (0.93-54.63)</w:t>
            </w:r>
          </w:p>
        </w:tc>
        <w:tc>
          <w:tcPr>
            <w:tcW w:w="1814" w:type="dxa"/>
            <w:noWrap/>
            <w:hideMark/>
          </w:tcPr>
          <w:p w14:paraId="521D8661"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1.19 (1.07-1.31)</w:t>
            </w:r>
          </w:p>
        </w:tc>
        <w:tc>
          <w:tcPr>
            <w:tcW w:w="1814" w:type="dxa"/>
            <w:noWrap/>
            <w:hideMark/>
          </w:tcPr>
          <w:p w14:paraId="51B9248F"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0.17 (0.02-1.19)</w:t>
            </w:r>
          </w:p>
        </w:tc>
      </w:tr>
      <w:tr w:rsidR="003E5A38" w:rsidRPr="00591564" w14:paraId="61B7370C" w14:textId="77777777" w:rsidTr="009F590D">
        <w:trPr>
          <w:trHeight w:val="20"/>
        </w:trPr>
        <w:tc>
          <w:tcPr>
            <w:tcW w:w="2689" w:type="dxa"/>
            <w:vMerge/>
            <w:hideMark/>
          </w:tcPr>
          <w:p w14:paraId="432E4526" w14:textId="77777777" w:rsidR="003E5A38" w:rsidRPr="00591564" w:rsidRDefault="003E5A38" w:rsidP="00052EB3">
            <w:pPr>
              <w:rPr>
                <w:rFonts w:ascii="Arial" w:eastAsia="Times New Roman" w:hAnsi="Arial" w:cs="Arial"/>
                <w:color w:val="000000"/>
                <w:sz w:val="18"/>
                <w:szCs w:val="18"/>
                <w:lang w:val="en-GB" w:eastAsia="nl-NL"/>
              </w:rPr>
            </w:pPr>
          </w:p>
        </w:tc>
        <w:tc>
          <w:tcPr>
            <w:tcW w:w="2268" w:type="dxa"/>
            <w:noWrap/>
            <w:hideMark/>
          </w:tcPr>
          <w:p w14:paraId="611FA5B5" w14:textId="77777777" w:rsidR="003E5A38" w:rsidRPr="00591564" w:rsidRDefault="003E5A38" w:rsidP="00052EB3">
            <w:pPr>
              <w:rPr>
                <w:rFonts w:ascii="Arial" w:eastAsia="Times New Roman" w:hAnsi="Arial" w:cs="Arial"/>
                <w:color w:val="000000"/>
                <w:sz w:val="18"/>
                <w:szCs w:val="18"/>
                <w:lang w:val="en-GB" w:eastAsia="nl-NL"/>
              </w:rPr>
            </w:pPr>
            <w:proofErr w:type="spellStart"/>
            <w:r w:rsidRPr="00591564">
              <w:rPr>
                <w:rFonts w:ascii="Arial" w:eastAsia="Times New Roman" w:hAnsi="Arial" w:cs="Arial"/>
                <w:color w:val="000000"/>
                <w:sz w:val="18"/>
                <w:szCs w:val="18"/>
                <w:lang w:val="en-GB" w:eastAsia="nl-NL"/>
              </w:rPr>
              <w:t>Wakura</w:t>
            </w:r>
            <w:proofErr w:type="spellEnd"/>
            <w:r w:rsidRPr="00591564">
              <w:rPr>
                <w:rFonts w:ascii="Arial" w:eastAsia="Times New Roman" w:hAnsi="Arial" w:cs="Arial"/>
                <w:color w:val="000000"/>
                <w:sz w:val="18"/>
                <w:szCs w:val="18"/>
                <w:lang w:val="en-GB" w:eastAsia="nl-NL"/>
              </w:rPr>
              <w:t xml:space="preserve"> et al. 2016</w:t>
            </w:r>
          </w:p>
        </w:tc>
        <w:tc>
          <w:tcPr>
            <w:tcW w:w="1871" w:type="dxa"/>
            <w:noWrap/>
            <w:hideMark/>
          </w:tcPr>
          <w:p w14:paraId="162507F8"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73.3 (44.9-92.2)</w:t>
            </w:r>
          </w:p>
        </w:tc>
        <w:tc>
          <w:tcPr>
            <w:tcW w:w="1871" w:type="dxa"/>
            <w:noWrap/>
            <w:hideMark/>
          </w:tcPr>
          <w:p w14:paraId="25AF6832"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85.7 (42.1-99.6)</w:t>
            </w:r>
          </w:p>
        </w:tc>
        <w:tc>
          <w:tcPr>
            <w:tcW w:w="2154" w:type="dxa"/>
            <w:noWrap/>
            <w:hideMark/>
          </w:tcPr>
          <w:p w14:paraId="553D1B5B"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16.50 (1.49-183.07)</w:t>
            </w:r>
          </w:p>
        </w:tc>
        <w:tc>
          <w:tcPr>
            <w:tcW w:w="1814" w:type="dxa"/>
            <w:noWrap/>
            <w:hideMark/>
          </w:tcPr>
          <w:p w14:paraId="244F600E"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5.13 (0.82-32.32)</w:t>
            </w:r>
          </w:p>
        </w:tc>
        <w:tc>
          <w:tcPr>
            <w:tcW w:w="1814" w:type="dxa"/>
            <w:noWrap/>
            <w:hideMark/>
          </w:tcPr>
          <w:p w14:paraId="1424C571"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0.31 (0.13-0.76)</w:t>
            </w:r>
          </w:p>
        </w:tc>
      </w:tr>
      <w:tr w:rsidR="003E5A38" w:rsidRPr="00591564" w14:paraId="31B944D4" w14:textId="77777777" w:rsidTr="009F590D">
        <w:trPr>
          <w:trHeight w:val="20"/>
        </w:trPr>
        <w:tc>
          <w:tcPr>
            <w:tcW w:w="2689" w:type="dxa"/>
            <w:vMerge/>
            <w:hideMark/>
          </w:tcPr>
          <w:p w14:paraId="4CC7ADA3" w14:textId="77777777" w:rsidR="003E5A38" w:rsidRPr="00591564" w:rsidRDefault="003E5A38" w:rsidP="00052EB3">
            <w:pPr>
              <w:rPr>
                <w:rFonts w:ascii="Arial" w:eastAsia="Times New Roman" w:hAnsi="Arial" w:cs="Arial"/>
                <w:color w:val="000000"/>
                <w:sz w:val="18"/>
                <w:szCs w:val="18"/>
                <w:lang w:val="en-GB" w:eastAsia="nl-NL"/>
              </w:rPr>
            </w:pPr>
          </w:p>
        </w:tc>
        <w:tc>
          <w:tcPr>
            <w:tcW w:w="2268" w:type="dxa"/>
            <w:noWrap/>
            <w:hideMark/>
          </w:tcPr>
          <w:p w14:paraId="235D1DBC"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POOLED</w:t>
            </w:r>
          </w:p>
        </w:tc>
        <w:tc>
          <w:tcPr>
            <w:tcW w:w="1871" w:type="dxa"/>
            <w:noWrap/>
            <w:hideMark/>
          </w:tcPr>
          <w:p w14:paraId="464A6EC4"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w:t>
            </w:r>
          </w:p>
        </w:tc>
        <w:tc>
          <w:tcPr>
            <w:tcW w:w="1871" w:type="dxa"/>
            <w:noWrap/>
            <w:hideMark/>
          </w:tcPr>
          <w:p w14:paraId="30883B42"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w:t>
            </w:r>
          </w:p>
        </w:tc>
        <w:tc>
          <w:tcPr>
            <w:tcW w:w="2154" w:type="dxa"/>
            <w:noWrap/>
            <w:hideMark/>
          </w:tcPr>
          <w:p w14:paraId="75561596"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10.11 (2.13-47.90)</w:t>
            </w:r>
          </w:p>
        </w:tc>
        <w:tc>
          <w:tcPr>
            <w:tcW w:w="1814" w:type="dxa"/>
            <w:noWrap/>
            <w:hideMark/>
          </w:tcPr>
          <w:p w14:paraId="028707B1"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w:t>
            </w:r>
          </w:p>
        </w:tc>
        <w:tc>
          <w:tcPr>
            <w:tcW w:w="1814" w:type="dxa"/>
            <w:noWrap/>
            <w:hideMark/>
          </w:tcPr>
          <w:p w14:paraId="113ECFDE"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0.28 (0.12-0.63)</w:t>
            </w:r>
          </w:p>
        </w:tc>
      </w:tr>
      <w:tr w:rsidR="003E5A38" w:rsidRPr="00591564" w14:paraId="79B89FE4" w14:textId="77777777" w:rsidTr="009F590D">
        <w:trPr>
          <w:trHeight w:val="20"/>
        </w:trPr>
        <w:tc>
          <w:tcPr>
            <w:tcW w:w="2689" w:type="dxa"/>
            <w:vMerge w:val="restart"/>
            <w:noWrap/>
            <w:hideMark/>
          </w:tcPr>
          <w:p w14:paraId="2B9246F1" w14:textId="77777777" w:rsidR="003E5A38" w:rsidRPr="00591564" w:rsidRDefault="003E5A38" w:rsidP="00052EB3">
            <w:pPr>
              <w:jc w:val="cente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Wrist</w:t>
            </w:r>
          </w:p>
        </w:tc>
        <w:tc>
          <w:tcPr>
            <w:tcW w:w="2268" w:type="dxa"/>
            <w:noWrap/>
            <w:hideMark/>
          </w:tcPr>
          <w:p w14:paraId="25B861CC" w14:textId="5452C711"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Takahashi et al. 201</w:t>
            </w:r>
            <w:r w:rsidR="009F03EF" w:rsidRPr="00591564">
              <w:rPr>
                <w:rFonts w:ascii="Arial" w:eastAsia="Times New Roman" w:hAnsi="Arial" w:cs="Arial"/>
                <w:color w:val="000000"/>
                <w:sz w:val="18"/>
                <w:szCs w:val="18"/>
                <w:lang w:val="en-GB" w:eastAsia="nl-NL"/>
              </w:rPr>
              <w:t>5</w:t>
            </w:r>
          </w:p>
        </w:tc>
        <w:tc>
          <w:tcPr>
            <w:tcW w:w="1871" w:type="dxa"/>
            <w:noWrap/>
            <w:hideMark/>
          </w:tcPr>
          <w:p w14:paraId="2D8C8536"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40.7 (22.4-61.2)</w:t>
            </w:r>
          </w:p>
        </w:tc>
        <w:tc>
          <w:tcPr>
            <w:tcW w:w="1871" w:type="dxa"/>
            <w:noWrap/>
            <w:hideMark/>
          </w:tcPr>
          <w:p w14:paraId="02DF21A4"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0.0 (0.0-30.8)</w:t>
            </w:r>
          </w:p>
        </w:tc>
        <w:tc>
          <w:tcPr>
            <w:tcW w:w="2154" w:type="dxa"/>
            <w:noWrap/>
            <w:hideMark/>
          </w:tcPr>
          <w:p w14:paraId="451A4CD2"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0.03 (0.00-0.63)</w:t>
            </w:r>
          </w:p>
        </w:tc>
        <w:tc>
          <w:tcPr>
            <w:tcW w:w="1814" w:type="dxa"/>
            <w:noWrap/>
            <w:hideMark/>
          </w:tcPr>
          <w:p w14:paraId="1D01EFA2"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0.43 (0.27-0.68)</w:t>
            </w:r>
          </w:p>
        </w:tc>
        <w:tc>
          <w:tcPr>
            <w:tcW w:w="1814" w:type="dxa"/>
            <w:noWrap/>
            <w:hideMark/>
          </w:tcPr>
          <w:p w14:paraId="6E52CE13"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12.96 (0.85-197.92)</w:t>
            </w:r>
          </w:p>
        </w:tc>
      </w:tr>
      <w:tr w:rsidR="003E5A38" w:rsidRPr="00591564" w14:paraId="1C919C6F" w14:textId="77777777" w:rsidTr="009F590D">
        <w:trPr>
          <w:trHeight w:val="20"/>
        </w:trPr>
        <w:tc>
          <w:tcPr>
            <w:tcW w:w="2689" w:type="dxa"/>
            <w:vMerge/>
            <w:hideMark/>
          </w:tcPr>
          <w:p w14:paraId="3ADAEABC" w14:textId="77777777" w:rsidR="003E5A38" w:rsidRPr="00591564" w:rsidRDefault="003E5A38" w:rsidP="00052EB3">
            <w:pPr>
              <w:rPr>
                <w:rFonts w:ascii="Arial" w:eastAsia="Times New Roman" w:hAnsi="Arial" w:cs="Arial"/>
                <w:color w:val="000000"/>
                <w:sz w:val="18"/>
                <w:szCs w:val="18"/>
                <w:lang w:val="en-GB" w:eastAsia="nl-NL"/>
              </w:rPr>
            </w:pPr>
          </w:p>
        </w:tc>
        <w:tc>
          <w:tcPr>
            <w:tcW w:w="2268" w:type="dxa"/>
            <w:noWrap/>
            <w:hideMark/>
          </w:tcPr>
          <w:p w14:paraId="7B6C0057" w14:textId="77777777" w:rsidR="003E5A38" w:rsidRPr="00591564" w:rsidRDefault="003E5A38" w:rsidP="00052EB3">
            <w:pPr>
              <w:rPr>
                <w:rFonts w:ascii="Arial" w:eastAsia="Times New Roman" w:hAnsi="Arial" w:cs="Arial"/>
                <w:color w:val="000000"/>
                <w:sz w:val="18"/>
                <w:szCs w:val="18"/>
                <w:lang w:val="en-GB" w:eastAsia="nl-NL"/>
              </w:rPr>
            </w:pPr>
            <w:proofErr w:type="spellStart"/>
            <w:r w:rsidRPr="00591564">
              <w:rPr>
                <w:rFonts w:ascii="Arial" w:eastAsia="Times New Roman" w:hAnsi="Arial" w:cs="Arial"/>
                <w:color w:val="000000"/>
                <w:sz w:val="18"/>
                <w:szCs w:val="18"/>
                <w:lang w:val="en-GB" w:eastAsia="nl-NL"/>
              </w:rPr>
              <w:t>Yuge</w:t>
            </w:r>
            <w:proofErr w:type="spellEnd"/>
            <w:r w:rsidRPr="00591564">
              <w:rPr>
                <w:rFonts w:ascii="Arial" w:eastAsia="Times New Roman" w:hAnsi="Arial" w:cs="Arial"/>
                <w:color w:val="000000"/>
                <w:sz w:val="18"/>
                <w:szCs w:val="18"/>
                <w:lang w:val="en-GB" w:eastAsia="nl-NL"/>
              </w:rPr>
              <w:t xml:space="preserve"> et al. 2018</w:t>
            </w:r>
          </w:p>
        </w:tc>
        <w:tc>
          <w:tcPr>
            <w:tcW w:w="1871" w:type="dxa"/>
            <w:noWrap/>
            <w:hideMark/>
          </w:tcPr>
          <w:p w14:paraId="795605D5"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6.3 (0.2-30.2)</w:t>
            </w:r>
          </w:p>
        </w:tc>
        <w:tc>
          <w:tcPr>
            <w:tcW w:w="1871" w:type="dxa"/>
            <w:noWrap/>
            <w:hideMark/>
          </w:tcPr>
          <w:p w14:paraId="742AC2DF"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77.3 (62.2-88.5)</w:t>
            </w:r>
          </w:p>
        </w:tc>
        <w:tc>
          <w:tcPr>
            <w:tcW w:w="2154" w:type="dxa"/>
            <w:noWrap/>
            <w:hideMark/>
          </w:tcPr>
          <w:p w14:paraId="2782E704"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0.23 (0.03-1.93)</w:t>
            </w:r>
          </w:p>
        </w:tc>
        <w:tc>
          <w:tcPr>
            <w:tcW w:w="1814" w:type="dxa"/>
            <w:noWrap/>
            <w:hideMark/>
          </w:tcPr>
          <w:p w14:paraId="63E53D9F"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0.28 (0.04-1.98)</w:t>
            </w:r>
          </w:p>
        </w:tc>
        <w:tc>
          <w:tcPr>
            <w:tcW w:w="1814" w:type="dxa"/>
            <w:noWrap/>
            <w:hideMark/>
          </w:tcPr>
          <w:p w14:paraId="6C79ED4D"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1.21 (0.99-1.49)</w:t>
            </w:r>
          </w:p>
        </w:tc>
      </w:tr>
      <w:tr w:rsidR="003E5A38" w:rsidRPr="00591564" w14:paraId="1DA2A8BD" w14:textId="77777777" w:rsidTr="009F590D">
        <w:trPr>
          <w:trHeight w:val="20"/>
        </w:trPr>
        <w:tc>
          <w:tcPr>
            <w:tcW w:w="2689" w:type="dxa"/>
            <w:vMerge/>
            <w:hideMark/>
          </w:tcPr>
          <w:p w14:paraId="192B12BD" w14:textId="77777777" w:rsidR="003E5A38" w:rsidRPr="00591564" w:rsidRDefault="003E5A38" w:rsidP="00052EB3">
            <w:pPr>
              <w:rPr>
                <w:rFonts w:ascii="Arial" w:eastAsia="Times New Roman" w:hAnsi="Arial" w:cs="Arial"/>
                <w:color w:val="000000"/>
                <w:sz w:val="18"/>
                <w:szCs w:val="18"/>
                <w:lang w:val="en-GB" w:eastAsia="nl-NL"/>
              </w:rPr>
            </w:pPr>
          </w:p>
        </w:tc>
        <w:tc>
          <w:tcPr>
            <w:tcW w:w="2268" w:type="dxa"/>
            <w:noWrap/>
            <w:hideMark/>
          </w:tcPr>
          <w:p w14:paraId="247A89EB"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POOLED</w:t>
            </w:r>
          </w:p>
        </w:tc>
        <w:tc>
          <w:tcPr>
            <w:tcW w:w="1871" w:type="dxa"/>
            <w:noWrap/>
            <w:hideMark/>
          </w:tcPr>
          <w:p w14:paraId="0C09CB20"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w:t>
            </w:r>
          </w:p>
        </w:tc>
        <w:tc>
          <w:tcPr>
            <w:tcW w:w="1871" w:type="dxa"/>
            <w:noWrap/>
            <w:hideMark/>
          </w:tcPr>
          <w:p w14:paraId="6EC23A6D"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w:t>
            </w:r>
          </w:p>
        </w:tc>
        <w:tc>
          <w:tcPr>
            <w:tcW w:w="2154" w:type="dxa"/>
            <w:noWrap/>
            <w:hideMark/>
          </w:tcPr>
          <w:p w14:paraId="2C486375"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0.11 (0.02-0.70)</w:t>
            </w:r>
          </w:p>
        </w:tc>
        <w:tc>
          <w:tcPr>
            <w:tcW w:w="1814" w:type="dxa"/>
            <w:noWrap/>
            <w:hideMark/>
          </w:tcPr>
          <w:p w14:paraId="701C3CB8"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0.42 (0.27-0.66)</w:t>
            </w:r>
          </w:p>
        </w:tc>
        <w:tc>
          <w:tcPr>
            <w:tcW w:w="1814" w:type="dxa"/>
            <w:noWrap/>
            <w:hideMark/>
          </w:tcPr>
          <w:p w14:paraId="0652480C" w14:textId="77777777" w:rsidR="003E5A38" w:rsidRPr="00591564" w:rsidRDefault="003E5A38"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w:t>
            </w:r>
          </w:p>
        </w:tc>
      </w:tr>
      <w:tr w:rsidR="00E93F7E" w:rsidRPr="00591564" w14:paraId="1E723DCB" w14:textId="77777777" w:rsidTr="009F590D">
        <w:trPr>
          <w:trHeight w:val="20"/>
        </w:trPr>
        <w:tc>
          <w:tcPr>
            <w:tcW w:w="2689" w:type="dxa"/>
            <w:vMerge w:val="restart"/>
          </w:tcPr>
          <w:p w14:paraId="4350A122" w14:textId="08DBBBAA" w:rsidR="00E93F7E" w:rsidRPr="00591564" w:rsidRDefault="00E93F7E" w:rsidP="00052EB3">
            <w:pPr>
              <w:jc w:val="cente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Composite FDG-PET/CT score</w:t>
            </w:r>
          </w:p>
        </w:tc>
        <w:tc>
          <w:tcPr>
            <w:tcW w:w="2268" w:type="dxa"/>
            <w:noWrap/>
          </w:tcPr>
          <w:p w14:paraId="07425F89" w14:textId="55726E95" w:rsidR="00E93F7E" w:rsidRPr="00591564" w:rsidRDefault="00E93F7E" w:rsidP="00052EB3">
            <w:pPr>
              <w:rPr>
                <w:rFonts w:ascii="Arial" w:eastAsia="Times New Roman" w:hAnsi="Arial" w:cs="Arial"/>
                <w:color w:val="000000"/>
                <w:sz w:val="18"/>
                <w:szCs w:val="18"/>
                <w:lang w:val="en-GB" w:eastAsia="nl-NL"/>
              </w:rPr>
            </w:pPr>
            <w:proofErr w:type="spellStart"/>
            <w:r w:rsidRPr="00591564">
              <w:rPr>
                <w:rFonts w:ascii="Arial" w:eastAsia="Times New Roman" w:hAnsi="Arial" w:cs="Arial"/>
                <w:color w:val="000000"/>
                <w:sz w:val="18"/>
                <w:szCs w:val="18"/>
                <w:lang w:val="en-GB" w:eastAsia="nl-NL"/>
              </w:rPr>
              <w:t>Sondag</w:t>
            </w:r>
            <w:proofErr w:type="spellEnd"/>
            <w:r w:rsidRPr="00591564">
              <w:rPr>
                <w:rFonts w:ascii="Arial" w:eastAsia="Times New Roman" w:hAnsi="Arial" w:cs="Arial"/>
                <w:color w:val="000000"/>
                <w:sz w:val="18"/>
                <w:szCs w:val="18"/>
                <w:lang w:val="en-GB" w:eastAsia="nl-NL"/>
              </w:rPr>
              <w:t xml:space="preserve"> et al. 2016</w:t>
            </w:r>
          </w:p>
        </w:tc>
        <w:tc>
          <w:tcPr>
            <w:tcW w:w="1871" w:type="dxa"/>
            <w:noWrap/>
          </w:tcPr>
          <w:p w14:paraId="1857B781" w14:textId="6E996EFD" w:rsidR="00E93F7E" w:rsidRPr="00591564" w:rsidRDefault="00E93F7E"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80.0 (66.3-90.0</w:t>
            </w:r>
          </w:p>
        </w:tc>
        <w:tc>
          <w:tcPr>
            <w:tcW w:w="1871" w:type="dxa"/>
            <w:noWrap/>
          </w:tcPr>
          <w:p w14:paraId="78279432" w14:textId="0F43CDC2" w:rsidR="00E93F7E" w:rsidRPr="00591564" w:rsidRDefault="00E93F7E"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77.4 (63.8-87.7)</w:t>
            </w:r>
          </w:p>
        </w:tc>
        <w:tc>
          <w:tcPr>
            <w:tcW w:w="2154" w:type="dxa"/>
            <w:noWrap/>
          </w:tcPr>
          <w:p w14:paraId="216D352E" w14:textId="37394A0B" w:rsidR="00E93F7E" w:rsidRPr="00591564" w:rsidRDefault="00E93F7E"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13.67 (5.31-35.18)</w:t>
            </w:r>
          </w:p>
        </w:tc>
        <w:tc>
          <w:tcPr>
            <w:tcW w:w="1814" w:type="dxa"/>
            <w:noWrap/>
          </w:tcPr>
          <w:p w14:paraId="759DF8A7" w14:textId="2BDA552C" w:rsidR="00E93F7E" w:rsidRPr="00591564" w:rsidRDefault="00E93F7E"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3.53 (2.11-5.92)</w:t>
            </w:r>
          </w:p>
        </w:tc>
        <w:tc>
          <w:tcPr>
            <w:tcW w:w="1814" w:type="dxa"/>
            <w:noWrap/>
          </w:tcPr>
          <w:p w14:paraId="485921CB" w14:textId="72025644" w:rsidR="00E93F7E" w:rsidRPr="00591564" w:rsidRDefault="00E93F7E"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0.26 (0.15-0.46)</w:t>
            </w:r>
          </w:p>
        </w:tc>
      </w:tr>
      <w:tr w:rsidR="00F437FA" w:rsidRPr="00591564" w14:paraId="55CF2479" w14:textId="77777777" w:rsidTr="009F590D">
        <w:trPr>
          <w:trHeight w:val="20"/>
        </w:trPr>
        <w:tc>
          <w:tcPr>
            <w:tcW w:w="2689" w:type="dxa"/>
            <w:vMerge/>
          </w:tcPr>
          <w:p w14:paraId="166F56DD" w14:textId="77777777" w:rsidR="00F437FA" w:rsidRPr="00591564" w:rsidRDefault="00F437FA" w:rsidP="00052EB3">
            <w:pPr>
              <w:jc w:val="center"/>
              <w:rPr>
                <w:rFonts w:ascii="Arial" w:eastAsia="Times New Roman" w:hAnsi="Arial" w:cs="Arial"/>
                <w:color w:val="000000"/>
                <w:sz w:val="18"/>
                <w:szCs w:val="18"/>
                <w:lang w:val="en-GB" w:eastAsia="nl-NL"/>
              </w:rPr>
            </w:pPr>
          </w:p>
        </w:tc>
        <w:tc>
          <w:tcPr>
            <w:tcW w:w="2268" w:type="dxa"/>
            <w:noWrap/>
          </w:tcPr>
          <w:p w14:paraId="48642078" w14:textId="66845D46" w:rsidR="00F437FA" w:rsidRPr="00591564" w:rsidRDefault="00F437FA"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Takahashi et al. 2015</w:t>
            </w:r>
          </w:p>
        </w:tc>
        <w:tc>
          <w:tcPr>
            <w:tcW w:w="1871" w:type="dxa"/>
            <w:noWrap/>
          </w:tcPr>
          <w:p w14:paraId="443E80AC" w14:textId="20A7BFCF" w:rsidR="00F437FA" w:rsidRPr="00591564" w:rsidRDefault="00F437FA"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92.6 (75.7-99.1)</w:t>
            </w:r>
          </w:p>
        </w:tc>
        <w:tc>
          <w:tcPr>
            <w:tcW w:w="1871" w:type="dxa"/>
            <w:noWrap/>
          </w:tcPr>
          <w:p w14:paraId="2CDB2199" w14:textId="5186C905" w:rsidR="00F437FA" w:rsidRPr="00591564" w:rsidRDefault="00F437FA"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90.0 (55.5-99.7)</w:t>
            </w:r>
          </w:p>
        </w:tc>
        <w:tc>
          <w:tcPr>
            <w:tcW w:w="2154" w:type="dxa"/>
            <w:noWrap/>
          </w:tcPr>
          <w:p w14:paraId="6DA4BFA0" w14:textId="1799BAE3" w:rsidR="00F437FA" w:rsidRPr="00591564" w:rsidRDefault="00F437FA"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112.50 (9.07-1396.10)</w:t>
            </w:r>
          </w:p>
        </w:tc>
        <w:tc>
          <w:tcPr>
            <w:tcW w:w="1814" w:type="dxa"/>
            <w:noWrap/>
          </w:tcPr>
          <w:p w14:paraId="64583D2E" w14:textId="3F81B924" w:rsidR="00F437FA" w:rsidRPr="00591564" w:rsidRDefault="00F437FA"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9.26 (1.44-59.63)</w:t>
            </w:r>
          </w:p>
        </w:tc>
        <w:tc>
          <w:tcPr>
            <w:tcW w:w="1814" w:type="dxa"/>
            <w:noWrap/>
          </w:tcPr>
          <w:p w14:paraId="283008D2" w14:textId="3CFA04A6" w:rsidR="00F437FA" w:rsidRPr="00591564" w:rsidRDefault="00F437FA"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0.08 (0.02-0.32)</w:t>
            </w:r>
          </w:p>
        </w:tc>
      </w:tr>
      <w:tr w:rsidR="00E93F7E" w:rsidRPr="00591564" w14:paraId="0A80F71B" w14:textId="77777777" w:rsidTr="009F590D">
        <w:trPr>
          <w:trHeight w:val="20"/>
        </w:trPr>
        <w:tc>
          <w:tcPr>
            <w:tcW w:w="2689" w:type="dxa"/>
            <w:vMerge/>
          </w:tcPr>
          <w:p w14:paraId="118E957C" w14:textId="77777777" w:rsidR="00E93F7E" w:rsidRPr="00591564" w:rsidRDefault="00E93F7E" w:rsidP="00052EB3">
            <w:pPr>
              <w:rPr>
                <w:rFonts w:ascii="Arial" w:eastAsia="Times New Roman" w:hAnsi="Arial" w:cs="Arial"/>
                <w:color w:val="000000"/>
                <w:sz w:val="18"/>
                <w:szCs w:val="18"/>
                <w:lang w:val="en-GB" w:eastAsia="nl-NL"/>
              </w:rPr>
            </w:pPr>
          </w:p>
        </w:tc>
        <w:tc>
          <w:tcPr>
            <w:tcW w:w="2268" w:type="dxa"/>
            <w:noWrap/>
          </w:tcPr>
          <w:p w14:paraId="260969E6" w14:textId="22091D3A" w:rsidR="00E93F7E" w:rsidRPr="00591564" w:rsidRDefault="00E93F7E" w:rsidP="00052EB3">
            <w:pPr>
              <w:rPr>
                <w:rFonts w:ascii="Arial" w:eastAsia="Times New Roman" w:hAnsi="Arial" w:cs="Arial"/>
                <w:color w:val="000000"/>
                <w:sz w:val="18"/>
                <w:szCs w:val="18"/>
                <w:lang w:val="en-GB" w:eastAsia="nl-NL"/>
              </w:rPr>
            </w:pPr>
            <w:proofErr w:type="spellStart"/>
            <w:r w:rsidRPr="00591564">
              <w:rPr>
                <w:rFonts w:ascii="Arial" w:eastAsia="Times New Roman" w:hAnsi="Arial" w:cs="Arial"/>
                <w:color w:val="000000"/>
                <w:sz w:val="18"/>
                <w:szCs w:val="18"/>
                <w:lang w:val="en-GB" w:eastAsia="nl-NL"/>
              </w:rPr>
              <w:t>Wakura</w:t>
            </w:r>
            <w:proofErr w:type="spellEnd"/>
            <w:r w:rsidRPr="00591564">
              <w:rPr>
                <w:rFonts w:ascii="Arial" w:eastAsia="Times New Roman" w:hAnsi="Arial" w:cs="Arial"/>
                <w:color w:val="000000"/>
                <w:sz w:val="18"/>
                <w:szCs w:val="18"/>
                <w:lang w:val="en-GB" w:eastAsia="nl-NL"/>
              </w:rPr>
              <w:t xml:space="preserve"> et al. 2016</w:t>
            </w:r>
          </w:p>
        </w:tc>
        <w:tc>
          <w:tcPr>
            <w:tcW w:w="1871" w:type="dxa"/>
            <w:noWrap/>
          </w:tcPr>
          <w:p w14:paraId="52306AB4" w14:textId="5EB47460" w:rsidR="00E93F7E" w:rsidRPr="00591564" w:rsidRDefault="00E93F7E"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86.7 (59.5-98.3)</w:t>
            </w:r>
          </w:p>
        </w:tc>
        <w:tc>
          <w:tcPr>
            <w:tcW w:w="1871" w:type="dxa"/>
            <w:noWrap/>
          </w:tcPr>
          <w:p w14:paraId="267A668A" w14:textId="4BE16283" w:rsidR="00E93F7E" w:rsidRPr="00591564" w:rsidRDefault="00E93F7E"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85.7 (42.1-99.6)</w:t>
            </w:r>
          </w:p>
        </w:tc>
        <w:tc>
          <w:tcPr>
            <w:tcW w:w="2154" w:type="dxa"/>
            <w:noWrap/>
          </w:tcPr>
          <w:p w14:paraId="40BC8C3B" w14:textId="208D1B0D" w:rsidR="00E93F7E" w:rsidRPr="00591564" w:rsidRDefault="00E93F7E"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39.00 (2.93-518.84)</w:t>
            </w:r>
          </w:p>
        </w:tc>
        <w:tc>
          <w:tcPr>
            <w:tcW w:w="1814" w:type="dxa"/>
            <w:noWrap/>
          </w:tcPr>
          <w:p w14:paraId="1C5C93F2" w14:textId="605384EF" w:rsidR="00E93F7E" w:rsidRPr="00591564" w:rsidRDefault="00E93F7E"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6.07 (0.98-37.65)</w:t>
            </w:r>
          </w:p>
        </w:tc>
        <w:tc>
          <w:tcPr>
            <w:tcW w:w="1814" w:type="dxa"/>
            <w:noWrap/>
          </w:tcPr>
          <w:p w14:paraId="26A45C98" w14:textId="7F1F9C0A" w:rsidR="00E93F7E" w:rsidRPr="00591564" w:rsidRDefault="00E93F7E"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0.16 (0.04-0.59)</w:t>
            </w:r>
          </w:p>
        </w:tc>
      </w:tr>
      <w:tr w:rsidR="00E93F7E" w:rsidRPr="00852C32" w14:paraId="75286372" w14:textId="77777777" w:rsidTr="009F590D">
        <w:trPr>
          <w:trHeight w:val="20"/>
        </w:trPr>
        <w:tc>
          <w:tcPr>
            <w:tcW w:w="2689" w:type="dxa"/>
            <w:vMerge/>
          </w:tcPr>
          <w:p w14:paraId="56A18FEF" w14:textId="77777777" w:rsidR="00E93F7E" w:rsidRPr="00591564" w:rsidRDefault="00E93F7E" w:rsidP="00052EB3">
            <w:pPr>
              <w:rPr>
                <w:rFonts w:ascii="Arial" w:eastAsia="Times New Roman" w:hAnsi="Arial" w:cs="Arial"/>
                <w:color w:val="000000"/>
                <w:sz w:val="18"/>
                <w:szCs w:val="18"/>
                <w:lang w:val="en-GB" w:eastAsia="nl-NL"/>
              </w:rPr>
            </w:pPr>
          </w:p>
        </w:tc>
        <w:tc>
          <w:tcPr>
            <w:tcW w:w="2268" w:type="dxa"/>
            <w:noWrap/>
          </w:tcPr>
          <w:p w14:paraId="0F1BB2DF" w14:textId="04B2D9BE" w:rsidR="00E93F7E" w:rsidRPr="00591564" w:rsidRDefault="00E93F7E"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POOLED</w:t>
            </w:r>
          </w:p>
        </w:tc>
        <w:tc>
          <w:tcPr>
            <w:tcW w:w="1871" w:type="dxa"/>
            <w:noWrap/>
          </w:tcPr>
          <w:p w14:paraId="34A9CFD5" w14:textId="3800D354" w:rsidR="00E93F7E" w:rsidRPr="00591564" w:rsidRDefault="001626DD"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84.8 (75.8-91.4)</w:t>
            </w:r>
          </w:p>
        </w:tc>
        <w:tc>
          <w:tcPr>
            <w:tcW w:w="1871" w:type="dxa"/>
            <w:noWrap/>
          </w:tcPr>
          <w:p w14:paraId="7196E868" w14:textId="4D44595A" w:rsidR="00E93F7E" w:rsidRPr="00591564" w:rsidRDefault="001626DD"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80.0 (68.7-88.6)</w:t>
            </w:r>
          </w:p>
        </w:tc>
        <w:tc>
          <w:tcPr>
            <w:tcW w:w="2154" w:type="dxa"/>
            <w:noWrap/>
          </w:tcPr>
          <w:p w14:paraId="455EC94E" w14:textId="07A69B59" w:rsidR="00E93F7E" w:rsidRPr="00591564" w:rsidRDefault="001626DD"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24.26 (7.39-79.68)</w:t>
            </w:r>
          </w:p>
        </w:tc>
        <w:tc>
          <w:tcPr>
            <w:tcW w:w="1814" w:type="dxa"/>
            <w:noWrap/>
          </w:tcPr>
          <w:p w14:paraId="605D81FC" w14:textId="1B69020C" w:rsidR="00E93F7E" w:rsidRPr="00591564" w:rsidRDefault="001626DD"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3.91 (2.42-6.32)</w:t>
            </w:r>
          </w:p>
        </w:tc>
        <w:tc>
          <w:tcPr>
            <w:tcW w:w="1814" w:type="dxa"/>
            <w:noWrap/>
          </w:tcPr>
          <w:p w14:paraId="7E5099C7" w14:textId="5E8477EC" w:rsidR="00E93F7E" w:rsidRPr="00852C32" w:rsidRDefault="001626DD" w:rsidP="00052EB3">
            <w:pPr>
              <w:rPr>
                <w:rFonts w:ascii="Arial" w:eastAsia="Times New Roman" w:hAnsi="Arial" w:cs="Arial"/>
                <w:color w:val="000000"/>
                <w:sz w:val="18"/>
                <w:szCs w:val="18"/>
                <w:lang w:val="en-GB" w:eastAsia="nl-NL"/>
              </w:rPr>
            </w:pPr>
            <w:r w:rsidRPr="00591564">
              <w:rPr>
                <w:rFonts w:ascii="Arial" w:eastAsia="Times New Roman" w:hAnsi="Arial" w:cs="Arial"/>
                <w:color w:val="000000"/>
                <w:sz w:val="18"/>
                <w:szCs w:val="18"/>
                <w:lang w:val="en-GB" w:eastAsia="nl-NL"/>
              </w:rPr>
              <w:t>0.19 (0.10-0.36)</w:t>
            </w:r>
          </w:p>
        </w:tc>
      </w:tr>
    </w:tbl>
    <w:p w14:paraId="5FDE5476" w14:textId="7E80F062" w:rsidR="00355B94" w:rsidRPr="00852C32" w:rsidRDefault="00355B94" w:rsidP="00052EB3">
      <w:pPr>
        <w:spacing w:after="0" w:line="240" w:lineRule="auto"/>
        <w:jc w:val="both"/>
        <w:rPr>
          <w:rFonts w:ascii="Arial" w:hAnsi="Arial" w:cs="Arial"/>
          <w:sz w:val="20"/>
          <w:szCs w:val="20"/>
          <w:lang w:val="en-GB"/>
        </w:rPr>
      </w:pPr>
    </w:p>
    <w:p w14:paraId="3392C98D" w14:textId="214AFA12" w:rsidR="004D47CE" w:rsidRPr="00852C32" w:rsidRDefault="004D47CE" w:rsidP="00052EB3">
      <w:pPr>
        <w:spacing w:after="0" w:line="240" w:lineRule="auto"/>
        <w:jc w:val="both"/>
        <w:rPr>
          <w:rFonts w:ascii="Arial" w:hAnsi="Arial" w:cs="Arial"/>
          <w:sz w:val="20"/>
          <w:szCs w:val="20"/>
          <w:lang w:val="en-GB"/>
        </w:rPr>
      </w:pPr>
    </w:p>
    <w:p w14:paraId="546841D4" w14:textId="3EB2522F" w:rsidR="004D47CE" w:rsidRPr="00852C32" w:rsidRDefault="004D47CE" w:rsidP="00052EB3">
      <w:pPr>
        <w:spacing w:after="0" w:line="240" w:lineRule="auto"/>
        <w:jc w:val="both"/>
        <w:rPr>
          <w:rFonts w:ascii="Arial" w:hAnsi="Arial" w:cs="Arial"/>
          <w:sz w:val="20"/>
          <w:szCs w:val="20"/>
          <w:lang w:val="en-GB"/>
        </w:rPr>
      </w:pPr>
    </w:p>
    <w:p w14:paraId="5A07ABB1" w14:textId="73527E3D" w:rsidR="004D47CE" w:rsidRPr="00852C32" w:rsidRDefault="004D47CE" w:rsidP="00052EB3">
      <w:pPr>
        <w:spacing w:after="0" w:line="240" w:lineRule="auto"/>
        <w:jc w:val="both"/>
        <w:rPr>
          <w:rFonts w:ascii="Arial" w:hAnsi="Arial" w:cs="Arial"/>
          <w:sz w:val="20"/>
          <w:szCs w:val="20"/>
          <w:lang w:val="en-GB"/>
        </w:rPr>
      </w:pPr>
    </w:p>
    <w:p w14:paraId="27012219" w14:textId="7185D4F2" w:rsidR="004D47CE" w:rsidRPr="00852C32" w:rsidRDefault="004D47CE" w:rsidP="00052EB3">
      <w:pPr>
        <w:spacing w:after="0" w:line="240" w:lineRule="auto"/>
        <w:jc w:val="both"/>
        <w:rPr>
          <w:rFonts w:ascii="Arial" w:hAnsi="Arial" w:cs="Arial"/>
          <w:sz w:val="20"/>
          <w:szCs w:val="20"/>
          <w:lang w:val="en-GB"/>
        </w:rPr>
      </w:pPr>
    </w:p>
    <w:sectPr w:rsidR="004D47CE" w:rsidRPr="00852C32" w:rsidSect="001F7B2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B9F7D7" w14:textId="77777777" w:rsidR="0046596A" w:rsidRDefault="0046596A" w:rsidP="001F7B25">
      <w:pPr>
        <w:spacing w:after="0" w:line="240" w:lineRule="auto"/>
      </w:pPr>
      <w:r>
        <w:separator/>
      </w:r>
    </w:p>
  </w:endnote>
  <w:endnote w:type="continuationSeparator" w:id="0">
    <w:p w14:paraId="59C0C908" w14:textId="77777777" w:rsidR="0046596A" w:rsidRDefault="0046596A" w:rsidP="001F7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8BB751" w14:textId="77777777" w:rsidR="0046596A" w:rsidRDefault="0046596A" w:rsidP="001F7B25">
      <w:pPr>
        <w:spacing w:after="0" w:line="240" w:lineRule="auto"/>
      </w:pPr>
      <w:r>
        <w:separator/>
      </w:r>
    </w:p>
  </w:footnote>
  <w:footnote w:type="continuationSeparator" w:id="0">
    <w:p w14:paraId="3B90E970" w14:textId="77777777" w:rsidR="0046596A" w:rsidRDefault="0046596A" w:rsidP="001F7B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A38"/>
    <w:rsid w:val="00000D32"/>
    <w:rsid w:val="00001A79"/>
    <w:rsid w:val="00003C20"/>
    <w:rsid w:val="00003E59"/>
    <w:rsid w:val="00004C26"/>
    <w:rsid w:val="00010B7F"/>
    <w:rsid w:val="0001177F"/>
    <w:rsid w:val="00011FBE"/>
    <w:rsid w:val="00013DCC"/>
    <w:rsid w:val="00015B9C"/>
    <w:rsid w:val="00016B5A"/>
    <w:rsid w:val="000211EE"/>
    <w:rsid w:val="00022D9F"/>
    <w:rsid w:val="00025463"/>
    <w:rsid w:val="000259C4"/>
    <w:rsid w:val="00026993"/>
    <w:rsid w:val="00027CAE"/>
    <w:rsid w:val="0003091F"/>
    <w:rsid w:val="00032F7D"/>
    <w:rsid w:val="00034F77"/>
    <w:rsid w:val="00040065"/>
    <w:rsid w:val="000402D5"/>
    <w:rsid w:val="000416D5"/>
    <w:rsid w:val="000438FB"/>
    <w:rsid w:val="00044F38"/>
    <w:rsid w:val="00045982"/>
    <w:rsid w:val="000460FB"/>
    <w:rsid w:val="00052EB3"/>
    <w:rsid w:val="00053BAD"/>
    <w:rsid w:val="000540A2"/>
    <w:rsid w:val="000540AE"/>
    <w:rsid w:val="0005558B"/>
    <w:rsid w:val="00056B1B"/>
    <w:rsid w:val="00061390"/>
    <w:rsid w:val="000631F6"/>
    <w:rsid w:val="000650BC"/>
    <w:rsid w:val="00066F81"/>
    <w:rsid w:val="00070F7B"/>
    <w:rsid w:val="00071CC6"/>
    <w:rsid w:val="000723FE"/>
    <w:rsid w:val="00072F44"/>
    <w:rsid w:val="00074B71"/>
    <w:rsid w:val="00080197"/>
    <w:rsid w:val="00080D5D"/>
    <w:rsid w:val="000830B8"/>
    <w:rsid w:val="00083971"/>
    <w:rsid w:val="00087662"/>
    <w:rsid w:val="000924B8"/>
    <w:rsid w:val="00093FE0"/>
    <w:rsid w:val="000960BD"/>
    <w:rsid w:val="000975AE"/>
    <w:rsid w:val="000979EF"/>
    <w:rsid w:val="000A0BA1"/>
    <w:rsid w:val="000A22B4"/>
    <w:rsid w:val="000A23DB"/>
    <w:rsid w:val="000A34F8"/>
    <w:rsid w:val="000A3A9D"/>
    <w:rsid w:val="000A3DAD"/>
    <w:rsid w:val="000A4680"/>
    <w:rsid w:val="000A4A25"/>
    <w:rsid w:val="000A694F"/>
    <w:rsid w:val="000B0E60"/>
    <w:rsid w:val="000B2654"/>
    <w:rsid w:val="000B305A"/>
    <w:rsid w:val="000B588A"/>
    <w:rsid w:val="000B7486"/>
    <w:rsid w:val="000B7B6A"/>
    <w:rsid w:val="000C019B"/>
    <w:rsid w:val="000D2625"/>
    <w:rsid w:val="000D4A46"/>
    <w:rsid w:val="000D571D"/>
    <w:rsid w:val="000D7E06"/>
    <w:rsid w:val="000E19D4"/>
    <w:rsid w:val="000E32D2"/>
    <w:rsid w:val="000E37B0"/>
    <w:rsid w:val="000E423E"/>
    <w:rsid w:val="000E4A89"/>
    <w:rsid w:val="000F1CE3"/>
    <w:rsid w:val="000F3DB9"/>
    <w:rsid w:val="000F4563"/>
    <w:rsid w:val="000F7C54"/>
    <w:rsid w:val="00100891"/>
    <w:rsid w:val="00101A4F"/>
    <w:rsid w:val="0010234D"/>
    <w:rsid w:val="00104565"/>
    <w:rsid w:val="00104C40"/>
    <w:rsid w:val="00106815"/>
    <w:rsid w:val="0011222F"/>
    <w:rsid w:val="001135C2"/>
    <w:rsid w:val="00113987"/>
    <w:rsid w:val="00113E48"/>
    <w:rsid w:val="001140A0"/>
    <w:rsid w:val="00130338"/>
    <w:rsid w:val="001308A7"/>
    <w:rsid w:val="00131D28"/>
    <w:rsid w:val="001327D9"/>
    <w:rsid w:val="00134019"/>
    <w:rsid w:val="00134DB3"/>
    <w:rsid w:val="0013698F"/>
    <w:rsid w:val="00136A28"/>
    <w:rsid w:val="00136F79"/>
    <w:rsid w:val="00140A9C"/>
    <w:rsid w:val="00145574"/>
    <w:rsid w:val="00147F20"/>
    <w:rsid w:val="001523F3"/>
    <w:rsid w:val="00152AB8"/>
    <w:rsid w:val="00153E05"/>
    <w:rsid w:val="00154285"/>
    <w:rsid w:val="00157519"/>
    <w:rsid w:val="001600D2"/>
    <w:rsid w:val="00161502"/>
    <w:rsid w:val="00161DC5"/>
    <w:rsid w:val="001626DD"/>
    <w:rsid w:val="00163B9E"/>
    <w:rsid w:val="0016445F"/>
    <w:rsid w:val="00164539"/>
    <w:rsid w:val="001656CA"/>
    <w:rsid w:val="00166893"/>
    <w:rsid w:val="00167BED"/>
    <w:rsid w:val="00170D1A"/>
    <w:rsid w:val="001726F0"/>
    <w:rsid w:val="00172CEA"/>
    <w:rsid w:val="00176584"/>
    <w:rsid w:val="001777AA"/>
    <w:rsid w:val="001811D7"/>
    <w:rsid w:val="001822E6"/>
    <w:rsid w:val="00182A9F"/>
    <w:rsid w:val="0018490D"/>
    <w:rsid w:val="00184E8A"/>
    <w:rsid w:val="0018737B"/>
    <w:rsid w:val="001874E4"/>
    <w:rsid w:val="001875B6"/>
    <w:rsid w:val="00190D30"/>
    <w:rsid w:val="0019157B"/>
    <w:rsid w:val="00191B18"/>
    <w:rsid w:val="001923DD"/>
    <w:rsid w:val="00192760"/>
    <w:rsid w:val="00192C89"/>
    <w:rsid w:val="00195006"/>
    <w:rsid w:val="00196301"/>
    <w:rsid w:val="001A0236"/>
    <w:rsid w:val="001A0D44"/>
    <w:rsid w:val="001A3637"/>
    <w:rsid w:val="001A4E46"/>
    <w:rsid w:val="001A5057"/>
    <w:rsid w:val="001A5F9E"/>
    <w:rsid w:val="001B0659"/>
    <w:rsid w:val="001B1951"/>
    <w:rsid w:val="001B2503"/>
    <w:rsid w:val="001B5ED9"/>
    <w:rsid w:val="001B7811"/>
    <w:rsid w:val="001B7AE8"/>
    <w:rsid w:val="001C1DE0"/>
    <w:rsid w:val="001C2111"/>
    <w:rsid w:val="001C3907"/>
    <w:rsid w:val="001C412D"/>
    <w:rsid w:val="001D28D1"/>
    <w:rsid w:val="001D32C8"/>
    <w:rsid w:val="001D4C58"/>
    <w:rsid w:val="001E23D6"/>
    <w:rsid w:val="001E4854"/>
    <w:rsid w:val="001E4895"/>
    <w:rsid w:val="001E568E"/>
    <w:rsid w:val="001E57C4"/>
    <w:rsid w:val="001E5C34"/>
    <w:rsid w:val="001E72B2"/>
    <w:rsid w:val="001F0A09"/>
    <w:rsid w:val="001F18DE"/>
    <w:rsid w:val="001F1A45"/>
    <w:rsid w:val="001F2698"/>
    <w:rsid w:val="001F27A9"/>
    <w:rsid w:val="001F2F37"/>
    <w:rsid w:val="001F4A03"/>
    <w:rsid w:val="001F5C02"/>
    <w:rsid w:val="001F7B25"/>
    <w:rsid w:val="00202CA3"/>
    <w:rsid w:val="002041E2"/>
    <w:rsid w:val="0020468E"/>
    <w:rsid w:val="00210173"/>
    <w:rsid w:val="002109F7"/>
    <w:rsid w:val="00213C11"/>
    <w:rsid w:val="00214F9A"/>
    <w:rsid w:val="0021736B"/>
    <w:rsid w:val="00217449"/>
    <w:rsid w:val="00217F68"/>
    <w:rsid w:val="00220CE2"/>
    <w:rsid w:val="00220EF9"/>
    <w:rsid w:val="0022424F"/>
    <w:rsid w:val="00224734"/>
    <w:rsid w:val="00224BC2"/>
    <w:rsid w:val="00224FB5"/>
    <w:rsid w:val="00225A6C"/>
    <w:rsid w:val="00227B55"/>
    <w:rsid w:val="002300D4"/>
    <w:rsid w:val="00231362"/>
    <w:rsid w:val="00234C0C"/>
    <w:rsid w:val="002409B8"/>
    <w:rsid w:val="00243B84"/>
    <w:rsid w:val="00250557"/>
    <w:rsid w:val="00250D2D"/>
    <w:rsid w:val="002524A6"/>
    <w:rsid w:val="002565E0"/>
    <w:rsid w:val="002577C0"/>
    <w:rsid w:val="00257ED8"/>
    <w:rsid w:val="002608F8"/>
    <w:rsid w:val="002617DD"/>
    <w:rsid w:val="00263E51"/>
    <w:rsid w:val="00263FC3"/>
    <w:rsid w:val="002670B1"/>
    <w:rsid w:val="00267329"/>
    <w:rsid w:val="00270E44"/>
    <w:rsid w:val="00270ED6"/>
    <w:rsid w:val="0027174F"/>
    <w:rsid w:val="00272F02"/>
    <w:rsid w:val="00273A8B"/>
    <w:rsid w:val="00273E90"/>
    <w:rsid w:val="00275ED2"/>
    <w:rsid w:val="00277DFD"/>
    <w:rsid w:val="0028340D"/>
    <w:rsid w:val="002855A1"/>
    <w:rsid w:val="00290752"/>
    <w:rsid w:val="00290EA3"/>
    <w:rsid w:val="002931EA"/>
    <w:rsid w:val="00293560"/>
    <w:rsid w:val="00294A58"/>
    <w:rsid w:val="002A31CA"/>
    <w:rsid w:val="002A4066"/>
    <w:rsid w:val="002A4545"/>
    <w:rsid w:val="002A5F8B"/>
    <w:rsid w:val="002A6F1F"/>
    <w:rsid w:val="002B0CF2"/>
    <w:rsid w:val="002B251B"/>
    <w:rsid w:val="002B4A5C"/>
    <w:rsid w:val="002C0B47"/>
    <w:rsid w:val="002C491E"/>
    <w:rsid w:val="002C7E45"/>
    <w:rsid w:val="002C7F18"/>
    <w:rsid w:val="002D0624"/>
    <w:rsid w:val="002D13B6"/>
    <w:rsid w:val="002D2276"/>
    <w:rsid w:val="002D2E66"/>
    <w:rsid w:val="002D340C"/>
    <w:rsid w:val="002D34F3"/>
    <w:rsid w:val="002D4EAA"/>
    <w:rsid w:val="002D5531"/>
    <w:rsid w:val="002D7BBD"/>
    <w:rsid w:val="002E111E"/>
    <w:rsid w:val="002E2D9F"/>
    <w:rsid w:val="002E42A1"/>
    <w:rsid w:val="002E43A4"/>
    <w:rsid w:val="002E5D0A"/>
    <w:rsid w:val="002F6BAE"/>
    <w:rsid w:val="002F7EBE"/>
    <w:rsid w:val="00301499"/>
    <w:rsid w:val="00302963"/>
    <w:rsid w:val="00302E5F"/>
    <w:rsid w:val="00303A21"/>
    <w:rsid w:val="0030748B"/>
    <w:rsid w:val="00311ECD"/>
    <w:rsid w:val="00322F69"/>
    <w:rsid w:val="0032305C"/>
    <w:rsid w:val="00325FD0"/>
    <w:rsid w:val="00326B30"/>
    <w:rsid w:val="00326F52"/>
    <w:rsid w:val="00327118"/>
    <w:rsid w:val="00335BAD"/>
    <w:rsid w:val="00335FC0"/>
    <w:rsid w:val="00336089"/>
    <w:rsid w:val="003373A8"/>
    <w:rsid w:val="003440F2"/>
    <w:rsid w:val="00346337"/>
    <w:rsid w:val="00347B9E"/>
    <w:rsid w:val="00350473"/>
    <w:rsid w:val="00351030"/>
    <w:rsid w:val="00351AC9"/>
    <w:rsid w:val="0035293D"/>
    <w:rsid w:val="00354EAD"/>
    <w:rsid w:val="00354FDB"/>
    <w:rsid w:val="00355B94"/>
    <w:rsid w:val="00357BCC"/>
    <w:rsid w:val="003613AB"/>
    <w:rsid w:val="00365D41"/>
    <w:rsid w:val="00367C3C"/>
    <w:rsid w:val="003706AC"/>
    <w:rsid w:val="00371302"/>
    <w:rsid w:val="00375D5B"/>
    <w:rsid w:val="00381295"/>
    <w:rsid w:val="003827A8"/>
    <w:rsid w:val="00383A5E"/>
    <w:rsid w:val="003861C4"/>
    <w:rsid w:val="00387DD4"/>
    <w:rsid w:val="00392AE8"/>
    <w:rsid w:val="00393195"/>
    <w:rsid w:val="00396E8E"/>
    <w:rsid w:val="003A48BB"/>
    <w:rsid w:val="003A49C3"/>
    <w:rsid w:val="003A7BE5"/>
    <w:rsid w:val="003B0DC8"/>
    <w:rsid w:val="003B1786"/>
    <w:rsid w:val="003B3E2F"/>
    <w:rsid w:val="003C02B3"/>
    <w:rsid w:val="003C55FA"/>
    <w:rsid w:val="003C7034"/>
    <w:rsid w:val="003C751E"/>
    <w:rsid w:val="003E02AD"/>
    <w:rsid w:val="003E069E"/>
    <w:rsid w:val="003E228A"/>
    <w:rsid w:val="003E3DDF"/>
    <w:rsid w:val="003E5957"/>
    <w:rsid w:val="003E5A38"/>
    <w:rsid w:val="003E79E0"/>
    <w:rsid w:val="003F68CC"/>
    <w:rsid w:val="003F6AA1"/>
    <w:rsid w:val="003F7BB6"/>
    <w:rsid w:val="004020A2"/>
    <w:rsid w:val="00404F39"/>
    <w:rsid w:val="004126D4"/>
    <w:rsid w:val="004143CA"/>
    <w:rsid w:val="0041463B"/>
    <w:rsid w:val="00421250"/>
    <w:rsid w:val="00423396"/>
    <w:rsid w:val="00425C87"/>
    <w:rsid w:val="004270FD"/>
    <w:rsid w:val="004275AC"/>
    <w:rsid w:val="0043168E"/>
    <w:rsid w:val="004354DA"/>
    <w:rsid w:val="00435DB1"/>
    <w:rsid w:val="004375E8"/>
    <w:rsid w:val="00440D91"/>
    <w:rsid w:val="004430E3"/>
    <w:rsid w:val="00445270"/>
    <w:rsid w:val="00446A4D"/>
    <w:rsid w:val="004471FD"/>
    <w:rsid w:val="00450539"/>
    <w:rsid w:val="004508C2"/>
    <w:rsid w:val="00450E56"/>
    <w:rsid w:val="004520F6"/>
    <w:rsid w:val="00457A09"/>
    <w:rsid w:val="00461C8B"/>
    <w:rsid w:val="0046596A"/>
    <w:rsid w:val="00466D29"/>
    <w:rsid w:val="00473FA3"/>
    <w:rsid w:val="00477692"/>
    <w:rsid w:val="0047790B"/>
    <w:rsid w:val="00477E50"/>
    <w:rsid w:val="0048084A"/>
    <w:rsid w:val="004827E3"/>
    <w:rsid w:val="00482D3A"/>
    <w:rsid w:val="0048349F"/>
    <w:rsid w:val="004849B8"/>
    <w:rsid w:val="004901AA"/>
    <w:rsid w:val="00491472"/>
    <w:rsid w:val="0049274A"/>
    <w:rsid w:val="004A0028"/>
    <w:rsid w:val="004A502E"/>
    <w:rsid w:val="004A7943"/>
    <w:rsid w:val="004B110E"/>
    <w:rsid w:val="004B16D6"/>
    <w:rsid w:val="004B4A55"/>
    <w:rsid w:val="004C03A6"/>
    <w:rsid w:val="004C0AA1"/>
    <w:rsid w:val="004C16CC"/>
    <w:rsid w:val="004C2A97"/>
    <w:rsid w:val="004C4A51"/>
    <w:rsid w:val="004C4F3D"/>
    <w:rsid w:val="004C533D"/>
    <w:rsid w:val="004C7556"/>
    <w:rsid w:val="004C78CC"/>
    <w:rsid w:val="004D1A3C"/>
    <w:rsid w:val="004D2BA5"/>
    <w:rsid w:val="004D3F3E"/>
    <w:rsid w:val="004D47CE"/>
    <w:rsid w:val="004D5AD5"/>
    <w:rsid w:val="004E0A2E"/>
    <w:rsid w:val="004E0AAA"/>
    <w:rsid w:val="004E2FF5"/>
    <w:rsid w:val="004E4646"/>
    <w:rsid w:val="004F2049"/>
    <w:rsid w:val="004F219D"/>
    <w:rsid w:val="004F7800"/>
    <w:rsid w:val="00501F1C"/>
    <w:rsid w:val="00502556"/>
    <w:rsid w:val="00502881"/>
    <w:rsid w:val="005077BF"/>
    <w:rsid w:val="00507D6B"/>
    <w:rsid w:val="00522400"/>
    <w:rsid w:val="00525087"/>
    <w:rsid w:val="0052510A"/>
    <w:rsid w:val="00527C69"/>
    <w:rsid w:val="005339DC"/>
    <w:rsid w:val="00535832"/>
    <w:rsid w:val="005365A8"/>
    <w:rsid w:val="005366A5"/>
    <w:rsid w:val="00545940"/>
    <w:rsid w:val="0054598E"/>
    <w:rsid w:val="005479F0"/>
    <w:rsid w:val="005503DA"/>
    <w:rsid w:val="005510E7"/>
    <w:rsid w:val="00556097"/>
    <w:rsid w:val="00556511"/>
    <w:rsid w:val="00556AA0"/>
    <w:rsid w:val="00561A3C"/>
    <w:rsid w:val="00561AC2"/>
    <w:rsid w:val="00572D60"/>
    <w:rsid w:val="0057451E"/>
    <w:rsid w:val="00575013"/>
    <w:rsid w:val="00575D36"/>
    <w:rsid w:val="00576751"/>
    <w:rsid w:val="005804C6"/>
    <w:rsid w:val="00580BCC"/>
    <w:rsid w:val="00587DFC"/>
    <w:rsid w:val="00591564"/>
    <w:rsid w:val="0059164E"/>
    <w:rsid w:val="0059320C"/>
    <w:rsid w:val="0059747B"/>
    <w:rsid w:val="005A1CEE"/>
    <w:rsid w:val="005A4416"/>
    <w:rsid w:val="005A600F"/>
    <w:rsid w:val="005A6023"/>
    <w:rsid w:val="005B0D3D"/>
    <w:rsid w:val="005B2C96"/>
    <w:rsid w:val="005B37AB"/>
    <w:rsid w:val="005B6350"/>
    <w:rsid w:val="005B712E"/>
    <w:rsid w:val="005C40A2"/>
    <w:rsid w:val="005C4B0E"/>
    <w:rsid w:val="005D06BE"/>
    <w:rsid w:val="005D2F60"/>
    <w:rsid w:val="005D43E8"/>
    <w:rsid w:val="005E0AEB"/>
    <w:rsid w:val="005E1BB1"/>
    <w:rsid w:val="005F2F08"/>
    <w:rsid w:val="005F4714"/>
    <w:rsid w:val="005F5FD5"/>
    <w:rsid w:val="005F7A11"/>
    <w:rsid w:val="005F7DCC"/>
    <w:rsid w:val="00601A15"/>
    <w:rsid w:val="0060375F"/>
    <w:rsid w:val="00604638"/>
    <w:rsid w:val="0060604B"/>
    <w:rsid w:val="0060610B"/>
    <w:rsid w:val="0060626A"/>
    <w:rsid w:val="00607EFD"/>
    <w:rsid w:val="006103BF"/>
    <w:rsid w:val="006142FC"/>
    <w:rsid w:val="00614FF6"/>
    <w:rsid w:val="00616CE6"/>
    <w:rsid w:val="006173DB"/>
    <w:rsid w:val="006270FF"/>
    <w:rsid w:val="006304F4"/>
    <w:rsid w:val="0063059F"/>
    <w:rsid w:val="0063076C"/>
    <w:rsid w:val="00633DB8"/>
    <w:rsid w:val="00633E66"/>
    <w:rsid w:val="00642885"/>
    <w:rsid w:val="00643CAC"/>
    <w:rsid w:val="00651012"/>
    <w:rsid w:val="006514DD"/>
    <w:rsid w:val="006561EE"/>
    <w:rsid w:val="00656851"/>
    <w:rsid w:val="006570CD"/>
    <w:rsid w:val="0066074A"/>
    <w:rsid w:val="00661FAC"/>
    <w:rsid w:val="00662E20"/>
    <w:rsid w:val="0066459E"/>
    <w:rsid w:val="00664F24"/>
    <w:rsid w:val="006650E0"/>
    <w:rsid w:val="00665EA0"/>
    <w:rsid w:val="006661DE"/>
    <w:rsid w:val="00670A44"/>
    <w:rsid w:val="006727E3"/>
    <w:rsid w:val="00672896"/>
    <w:rsid w:val="006744ED"/>
    <w:rsid w:val="00674939"/>
    <w:rsid w:val="00676C07"/>
    <w:rsid w:val="00677A29"/>
    <w:rsid w:val="0068092A"/>
    <w:rsid w:val="00681A2F"/>
    <w:rsid w:val="00681FB2"/>
    <w:rsid w:val="00682C2A"/>
    <w:rsid w:val="0068419D"/>
    <w:rsid w:val="00686851"/>
    <w:rsid w:val="006873BC"/>
    <w:rsid w:val="00690077"/>
    <w:rsid w:val="006915EA"/>
    <w:rsid w:val="006A19BF"/>
    <w:rsid w:val="006A2803"/>
    <w:rsid w:val="006A291E"/>
    <w:rsid w:val="006A76EC"/>
    <w:rsid w:val="006B2757"/>
    <w:rsid w:val="006B2A18"/>
    <w:rsid w:val="006B3662"/>
    <w:rsid w:val="006B3919"/>
    <w:rsid w:val="006B3A9A"/>
    <w:rsid w:val="006B62E5"/>
    <w:rsid w:val="006C0866"/>
    <w:rsid w:val="006C3E6A"/>
    <w:rsid w:val="006C4388"/>
    <w:rsid w:val="006D1958"/>
    <w:rsid w:val="006D2201"/>
    <w:rsid w:val="006D3BAE"/>
    <w:rsid w:val="006D4C07"/>
    <w:rsid w:val="006E0316"/>
    <w:rsid w:val="006E1A25"/>
    <w:rsid w:val="006E25B6"/>
    <w:rsid w:val="006E2DE4"/>
    <w:rsid w:val="006E3607"/>
    <w:rsid w:val="006E41C3"/>
    <w:rsid w:val="006E4471"/>
    <w:rsid w:val="006E691B"/>
    <w:rsid w:val="006E6A2D"/>
    <w:rsid w:val="006F0573"/>
    <w:rsid w:val="006F1167"/>
    <w:rsid w:val="006F4F77"/>
    <w:rsid w:val="006F6B01"/>
    <w:rsid w:val="007002D8"/>
    <w:rsid w:val="00700A19"/>
    <w:rsid w:val="00700E7A"/>
    <w:rsid w:val="007018DD"/>
    <w:rsid w:val="00703115"/>
    <w:rsid w:val="00703D6E"/>
    <w:rsid w:val="00705CC2"/>
    <w:rsid w:val="00707E98"/>
    <w:rsid w:val="0071183F"/>
    <w:rsid w:val="00720DB2"/>
    <w:rsid w:val="00723ACD"/>
    <w:rsid w:val="00723BB9"/>
    <w:rsid w:val="0072545C"/>
    <w:rsid w:val="00732017"/>
    <w:rsid w:val="0073576B"/>
    <w:rsid w:val="00737578"/>
    <w:rsid w:val="007403E5"/>
    <w:rsid w:val="0074662D"/>
    <w:rsid w:val="0074759A"/>
    <w:rsid w:val="00750F77"/>
    <w:rsid w:val="007517D6"/>
    <w:rsid w:val="007528BF"/>
    <w:rsid w:val="0075455B"/>
    <w:rsid w:val="00754835"/>
    <w:rsid w:val="00755066"/>
    <w:rsid w:val="00755B21"/>
    <w:rsid w:val="00756ED5"/>
    <w:rsid w:val="0076259D"/>
    <w:rsid w:val="00766DB8"/>
    <w:rsid w:val="007677EE"/>
    <w:rsid w:val="0077224A"/>
    <w:rsid w:val="00772799"/>
    <w:rsid w:val="00773017"/>
    <w:rsid w:val="0077502D"/>
    <w:rsid w:val="00775122"/>
    <w:rsid w:val="007759F1"/>
    <w:rsid w:val="00776375"/>
    <w:rsid w:val="007804E1"/>
    <w:rsid w:val="00780523"/>
    <w:rsid w:val="00783D7C"/>
    <w:rsid w:val="00785BD1"/>
    <w:rsid w:val="00786AB6"/>
    <w:rsid w:val="00791A06"/>
    <w:rsid w:val="00793C75"/>
    <w:rsid w:val="00796D13"/>
    <w:rsid w:val="007972CC"/>
    <w:rsid w:val="00797D0C"/>
    <w:rsid w:val="007A02B2"/>
    <w:rsid w:val="007A06B1"/>
    <w:rsid w:val="007A10BE"/>
    <w:rsid w:val="007A1DA6"/>
    <w:rsid w:val="007A21C9"/>
    <w:rsid w:val="007A2A3C"/>
    <w:rsid w:val="007A4FE4"/>
    <w:rsid w:val="007A61F6"/>
    <w:rsid w:val="007A7B96"/>
    <w:rsid w:val="007B2064"/>
    <w:rsid w:val="007B2754"/>
    <w:rsid w:val="007B5F1C"/>
    <w:rsid w:val="007B6A95"/>
    <w:rsid w:val="007C18ED"/>
    <w:rsid w:val="007C2094"/>
    <w:rsid w:val="007C27DD"/>
    <w:rsid w:val="007C3471"/>
    <w:rsid w:val="007C7088"/>
    <w:rsid w:val="007C7782"/>
    <w:rsid w:val="007D0EEA"/>
    <w:rsid w:val="007D2D3A"/>
    <w:rsid w:val="007D3541"/>
    <w:rsid w:val="007D3882"/>
    <w:rsid w:val="007D4DFA"/>
    <w:rsid w:val="007D7138"/>
    <w:rsid w:val="007D730F"/>
    <w:rsid w:val="007E1DED"/>
    <w:rsid w:val="007F03BC"/>
    <w:rsid w:val="007F4216"/>
    <w:rsid w:val="007F5104"/>
    <w:rsid w:val="007F617D"/>
    <w:rsid w:val="00800257"/>
    <w:rsid w:val="008013F4"/>
    <w:rsid w:val="00804639"/>
    <w:rsid w:val="00806FBA"/>
    <w:rsid w:val="0080778E"/>
    <w:rsid w:val="00810010"/>
    <w:rsid w:val="008118C5"/>
    <w:rsid w:val="00811A1A"/>
    <w:rsid w:val="00811E26"/>
    <w:rsid w:val="00812844"/>
    <w:rsid w:val="00813D1B"/>
    <w:rsid w:val="00814851"/>
    <w:rsid w:val="008164DE"/>
    <w:rsid w:val="008164E0"/>
    <w:rsid w:val="008172D7"/>
    <w:rsid w:val="008211FE"/>
    <w:rsid w:val="00822572"/>
    <w:rsid w:val="00823FA6"/>
    <w:rsid w:val="00826853"/>
    <w:rsid w:val="00826BB4"/>
    <w:rsid w:val="0082718C"/>
    <w:rsid w:val="008354D7"/>
    <w:rsid w:val="0084014B"/>
    <w:rsid w:val="008404A1"/>
    <w:rsid w:val="008412B7"/>
    <w:rsid w:val="0084186C"/>
    <w:rsid w:val="00846BC8"/>
    <w:rsid w:val="00847201"/>
    <w:rsid w:val="00852C32"/>
    <w:rsid w:val="00852D83"/>
    <w:rsid w:val="008535ED"/>
    <w:rsid w:val="008539A4"/>
    <w:rsid w:val="00856CA5"/>
    <w:rsid w:val="0086022F"/>
    <w:rsid w:val="00861338"/>
    <w:rsid w:val="008635AB"/>
    <w:rsid w:val="008641E4"/>
    <w:rsid w:val="00866FF3"/>
    <w:rsid w:val="008673AB"/>
    <w:rsid w:val="00867517"/>
    <w:rsid w:val="0087607B"/>
    <w:rsid w:val="0087708B"/>
    <w:rsid w:val="0088463A"/>
    <w:rsid w:val="00886574"/>
    <w:rsid w:val="008911EC"/>
    <w:rsid w:val="00891FAA"/>
    <w:rsid w:val="008A37B8"/>
    <w:rsid w:val="008A3C53"/>
    <w:rsid w:val="008A4D62"/>
    <w:rsid w:val="008A582C"/>
    <w:rsid w:val="008B02E5"/>
    <w:rsid w:val="008B04FA"/>
    <w:rsid w:val="008B0A7E"/>
    <w:rsid w:val="008B20D7"/>
    <w:rsid w:val="008B5DD6"/>
    <w:rsid w:val="008B6F39"/>
    <w:rsid w:val="008B776A"/>
    <w:rsid w:val="008B79B4"/>
    <w:rsid w:val="008C0286"/>
    <w:rsid w:val="008C0CD9"/>
    <w:rsid w:val="008C19EE"/>
    <w:rsid w:val="008C3583"/>
    <w:rsid w:val="008C37E8"/>
    <w:rsid w:val="008C5BBF"/>
    <w:rsid w:val="008C6513"/>
    <w:rsid w:val="008C76DE"/>
    <w:rsid w:val="008D61BF"/>
    <w:rsid w:val="008D7214"/>
    <w:rsid w:val="008D73FF"/>
    <w:rsid w:val="008E345D"/>
    <w:rsid w:val="008E509B"/>
    <w:rsid w:val="008E78E7"/>
    <w:rsid w:val="008F2C30"/>
    <w:rsid w:val="008F2FF3"/>
    <w:rsid w:val="008F470E"/>
    <w:rsid w:val="008F4B55"/>
    <w:rsid w:val="00900307"/>
    <w:rsid w:val="009012CB"/>
    <w:rsid w:val="0090282E"/>
    <w:rsid w:val="00906F12"/>
    <w:rsid w:val="00911767"/>
    <w:rsid w:val="00914091"/>
    <w:rsid w:val="009171A7"/>
    <w:rsid w:val="00921C1F"/>
    <w:rsid w:val="0092218A"/>
    <w:rsid w:val="009247F7"/>
    <w:rsid w:val="00924A38"/>
    <w:rsid w:val="00925A9E"/>
    <w:rsid w:val="0092609B"/>
    <w:rsid w:val="009315EF"/>
    <w:rsid w:val="00931783"/>
    <w:rsid w:val="0093220D"/>
    <w:rsid w:val="00932D41"/>
    <w:rsid w:val="00936865"/>
    <w:rsid w:val="00941BFD"/>
    <w:rsid w:val="00943DB6"/>
    <w:rsid w:val="00944EF1"/>
    <w:rsid w:val="0094500B"/>
    <w:rsid w:val="00945258"/>
    <w:rsid w:val="009453C9"/>
    <w:rsid w:val="00946FCE"/>
    <w:rsid w:val="009475A8"/>
    <w:rsid w:val="0094778D"/>
    <w:rsid w:val="00953AE5"/>
    <w:rsid w:val="009552AB"/>
    <w:rsid w:val="00956829"/>
    <w:rsid w:val="00956F03"/>
    <w:rsid w:val="009614A1"/>
    <w:rsid w:val="00963118"/>
    <w:rsid w:val="00963601"/>
    <w:rsid w:val="00964429"/>
    <w:rsid w:val="009645E6"/>
    <w:rsid w:val="0096711B"/>
    <w:rsid w:val="00967E9E"/>
    <w:rsid w:val="00971962"/>
    <w:rsid w:val="0097439B"/>
    <w:rsid w:val="00974C99"/>
    <w:rsid w:val="00974DB8"/>
    <w:rsid w:val="009751EE"/>
    <w:rsid w:val="009755C0"/>
    <w:rsid w:val="00976514"/>
    <w:rsid w:val="00981A0F"/>
    <w:rsid w:val="00984C12"/>
    <w:rsid w:val="00987FD1"/>
    <w:rsid w:val="00994838"/>
    <w:rsid w:val="0099516A"/>
    <w:rsid w:val="009A0A1F"/>
    <w:rsid w:val="009A188F"/>
    <w:rsid w:val="009A1A5A"/>
    <w:rsid w:val="009A1ECE"/>
    <w:rsid w:val="009A45B8"/>
    <w:rsid w:val="009B2C8A"/>
    <w:rsid w:val="009B53F7"/>
    <w:rsid w:val="009B5722"/>
    <w:rsid w:val="009C0F12"/>
    <w:rsid w:val="009C18E2"/>
    <w:rsid w:val="009C2808"/>
    <w:rsid w:val="009C2F4A"/>
    <w:rsid w:val="009C6A28"/>
    <w:rsid w:val="009D1816"/>
    <w:rsid w:val="009D24E7"/>
    <w:rsid w:val="009D52EC"/>
    <w:rsid w:val="009E0143"/>
    <w:rsid w:val="009E11CC"/>
    <w:rsid w:val="009E3D0B"/>
    <w:rsid w:val="009E54D7"/>
    <w:rsid w:val="009E5767"/>
    <w:rsid w:val="009E7E8B"/>
    <w:rsid w:val="009F03EF"/>
    <w:rsid w:val="009F05F5"/>
    <w:rsid w:val="009F06A1"/>
    <w:rsid w:val="009F0A56"/>
    <w:rsid w:val="009F3127"/>
    <w:rsid w:val="009F4BD3"/>
    <w:rsid w:val="009F590D"/>
    <w:rsid w:val="009F7800"/>
    <w:rsid w:val="009F7B3D"/>
    <w:rsid w:val="009F7EA4"/>
    <w:rsid w:val="00A00181"/>
    <w:rsid w:val="00A02413"/>
    <w:rsid w:val="00A0274E"/>
    <w:rsid w:val="00A040A6"/>
    <w:rsid w:val="00A05737"/>
    <w:rsid w:val="00A07AED"/>
    <w:rsid w:val="00A13DA9"/>
    <w:rsid w:val="00A17253"/>
    <w:rsid w:val="00A23A8A"/>
    <w:rsid w:val="00A243CA"/>
    <w:rsid w:val="00A24AE7"/>
    <w:rsid w:val="00A27477"/>
    <w:rsid w:val="00A30AAE"/>
    <w:rsid w:val="00A32700"/>
    <w:rsid w:val="00A32A62"/>
    <w:rsid w:val="00A33EBF"/>
    <w:rsid w:val="00A34A27"/>
    <w:rsid w:val="00A34FEE"/>
    <w:rsid w:val="00A376D8"/>
    <w:rsid w:val="00A40363"/>
    <w:rsid w:val="00A452CD"/>
    <w:rsid w:val="00A50290"/>
    <w:rsid w:val="00A50477"/>
    <w:rsid w:val="00A54769"/>
    <w:rsid w:val="00A554F6"/>
    <w:rsid w:val="00A57161"/>
    <w:rsid w:val="00A571EA"/>
    <w:rsid w:val="00A579F5"/>
    <w:rsid w:val="00A608D3"/>
    <w:rsid w:val="00A62B7A"/>
    <w:rsid w:val="00A62FDA"/>
    <w:rsid w:val="00A645FA"/>
    <w:rsid w:val="00A65DA0"/>
    <w:rsid w:val="00A6680F"/>
    <w:rsid w:val="00A66942"/>
    <w:rsid w:val="00A70FB5"/>
    <w:rsid w:val="00A72870"/>
    <w:rsid w:val="00A803E1"/>
    <w:rsid w:val="00A8085C"/>
    <w:rsid w:val="00A82976"/>
    <w:rsid w:val="00A86B09"/>
    <w:rsid w:val="00A875FF"/>
    <w:rsid w:val="00A91097"/>
    <w:rsid w:val="00A92829"/>
    <w:rsid w:val="00A932E2"/>
    <w:rsid w:val="00A93D9E"/>
    <w:rsid w:val="00A943AC"/>
    <w:rsid w:val="00A9468D"/>
    <w:rsid w:val="00A948F8"/>
    <w:rsid w:val="00A97C43"/>
    <w:rsid w:val="00AA0749"/>
    <w:rsid w:val="00AA78C3"/>
    <w:rsid w:val="00AB21D1"/>
    <w:rsid w:val="00AB47B3"/>
    <w:rsid w:val="00AB58D2"/>
    <w:rsid w:val="00AB7203"/>
    <w:rsid w:val="00AB7EF6"/>
    <w:rsid w:val="00AC2B46"/>
    <w:rsid w:val="00AC398F"/>
    <w:rsid w:val="00AC5921"/>
    <w:rsid w:val="00AD6343"/>
    <w:rsid w:val="00AE0293"/>
    <w:rsid w:val="00AE1874"/>
    <w:rsid w:val="00AE6950"/>
    <w:rsid w:val="00AF0928"/>
    <w:rsid w:val="00AF37B6"/>
    <w:rsid w:val="00AF3BF2"/>
    <w:rsid w:val="00AF4E40"/>
    <w:rsid w:val="00AF57EA"/>
    <w:rsid w:val="00B02268"/>
    <w:rsid w:val="00B04DC6"/>
    <w:rsid w:val="00B11B26"/>
    <w:rsid w:val="00B1449E"/>
    <w:rsid w:val="00B15254"/>
    <w:rsid w:val="00B15D3E"/>
    <w:rsid w:val="00B16216"/>
    <w:rsid w:val="00B215DF"/>
    <w:rsid w:val="00B23AEF"/>
    <w:rsid w:val="00B255CF"/>
    <w:rsid w:val="00B2571A"/>
    <w:rsid w:val="00B27B63"/>
    <w:rsid w:val="00B330ED"/>
    <w:rsid w:val="00B33E92"/>
    <w:rsid w:val="00B34B2B"/>
    <w:rsid w:val="00B34C49"/>
    <w:rsid w:val="00B4004C"/>
    <w:rsid w:val="00B40BD6"/>
    <w:rsid w:val="00B4175B"/>
    <w:rsid w:val="00B44607"/>
    <w:rsid w:val="00B46041"/>
    <w:rsid w:val="00B46717"/>
    <w:rsid w:val="00B504E3"/>
    <w:rsid w:val="00B51168"/>
    <w:rsid w:val="00B51B6D"/>
    <w:rsid w:val="00B53586"/>
    <w:rsid w:val="00B5492F"/>
    <w:rsid w:val="00B55993"/>
    <w:rsid w:val="00B55B6E"/>
    <w:rsid w:val="00B56F73"/>
    <w:rsid w:val="00B5792A"/>
    <w:rsid w:val="00B60037"/>
    <w:rsid w:val="00B6022F"/>
    <w:rsid w:val="00B60F01"/>
    <w:rsid w:val="00B617C0"/>
    <w:rsid w:val="00B626AD"/>
    <w:rsid w:val="00B63A3B"/>
    <w:rsid w:val="00B63DC8"/>
    <w:rsid w:val="00B65BD0"/>
    <w:rsid w:val="00B708B5"/>
    <w:rsid w:val="00B7300E"/>
    <w:rsid w:val="00B74380"/>
    <w:rsid w:val="00B80755"/>
    <w:rsid w:val="00B81A77"/>
    <w:rsid w:val="00B81C54"/>
    <w:rsid w:val="00B82232"/>
    <w:rsid w:val="00B83679"/>
    <w:rsid w:val="00B84409"/>
    <w:rsid w:val="00B8628E"/>
    <w:rsid w:val="00B9054C"/>
    <w:rsid w:val="00B91C60"/>
    <w:rsid w:val="00B91FA9"/>
    <w:rsid w:val="00B9214E"/>
    <w:rsid w:val="00B9247D"/>
    <w:rsid w:val="00B937B1"/>
    <w:rsid w:val="00B9625A"/>
    <w:rsid w:val="00B9748D"/>
    <w:rsid w:val="00BA45B3"/>
    <w:rsid w:val="00BA6056"/>
    <w:rsid w:val="00BB5836"/>
    <w:rsid w:val="00BB5B83"/>
    <w:rsid w:val="00BB6614"/>
    <w:rsid w:val="00BB6C3A"/>
    <w:rsid w:val="00BC0967"/>
    <w:rsid w:val="00BC135B"/>
    <w:rsid w:val="00BC15E8"/>
    <w:rsid w:val="00BC1C77"/>
    <w:rsid w:val="00BC50FC"/>
    <w:rsid w:val="00BD4EBC"/>
    <w:rsid w:val="00BD5AB0"/>
    <w:rsid w:val="00BD5DC0"/>
    <w:rsid w:val="00BD6515"/>
    <w:rsid w:val="00BD657D"/>
    <w:rsid w:val="00BE025D"/>
    <w:rsid w:val="00BE28F3"/>
    <w:rsid w:val="00BE4B29"/>
    <w:rsid w:val="00BF5936"/>
    <w:rsid w:val="00BF5B9E"/>
    <w:rsid w:val="00BF7324"/>
    <w:rsid w:val="00BF7393"/>
    <w:rsid w:val="00C053D6"/>
    <w:rsid w:val="00C05BDE"/>
    <w:rsid w:val="00C07C81"/>
    <w:rsid w:val="00C11A21"/>
    <w:rsid w:val="00C12BE1"/>
    <w:rsid w:val="00C12D54"/>
    <w:rsid w:val="00C15C58"/>
    <w:rsid w:val="00C24A8E"/>
    <w:rsid w:val="00C261E3"/>
    <w:rsid w:val="00C41C0F"/>
    <w:rsid w:val="00C479CB"/>
    <w:rsid w:val="00C5041C"/>
    <w:rsid w:val="00C51D22"/>
    <w:rsid w:val="00C530C2"/>
    <w:rsid w:val="00C54B94"/>
    <w:rsid w:val="00C61C12"/>
    <w:rsid w:val="00C63E66"/>
    <w:rsid w:val="00C70FDF"/>
    <w:rsid w:val="00C724E7"/>
    <w:rsid w:val="00C730C9"/>
    <w:rsid w:val="00C74D0F"/>
    <w:rsid w:val="00C80C68"/>
    <w:rsid w:val="00C813DB"/>
    <w:rsid w:val="00C84C47"/>
    <w:rsid w:val="00C86267"/>
    <w:rsid w:val="00C9043B"/>
    <w:rsid w:val="00C909B3"/>
    <w:rsid w:val="00C947BC"/>
    <w:rsid w:val="00C94EE3"/>
    <w:rsid w:val="00C9663E"/>
    <w:rsid w:val="00C973F5"/>
    <w:rsid w:val="00CA2E77"/>
    <w:rsid w:val="00CA3FC1"/>
    <w:rsid w:val="00CA459C"/>
    <w:rsid w:val="00CB5506"/>
    <w:rsid w:val="00CC5F20"/>
    <w:rsid w:val="00CD00DE"/>
    <w:rsid w:val="00CD0C1D"/>
    <w:rsid w:val="00CD14DD"/>
    <w:rsid w:val="00CD4AE4"/>
    <w:rsid w:val="00CD5423"/>
    <w:rsid w:val="00CD7E11"/>
    <w:rsid w:val="00CE45C4"/>
    <w:rsid w:val="00CE5D7D"/>
    <w:rsid w:val="00CE796B"/>
    <w:rsid w:val="00CF265E"/>
    <w:rsid w:val="00CF2B29"/>
    <w:rsid w:val="00CF4016"/>
    <w:rsid w:val="00D03284"/>
    <w:rsid w:val="00D05F50"/>
    <w:rsid w:val="00D07AA5"/>
    <w:rsid w:val="00D103DB"/>
    <w:rsid w:val="00D104AD"/>
    <w:rsid w:val="00D11253"/>
    <w:rsid w:val="00D15284"/>
    <w:rsid w:val="00D2113E"/>
    <w:rsid w:val="00D21CBD"/>
    <w:rsid w:val="00D22A1A"/>
    <w:rsid w:val="00D26A60"/>
    <w:rsid w:val="00D26DAB"/>
    <w:rsid w:val="00D275CB"/>
    <w:rsid w:val="00D363D7"/>
    <w:rsid w:val="00D377E4"/>
    <w:rsid w:val="00D41BB0"/>
    <w:rsid w:val="00D43ADC"/>
    <w:rsid w:val="00D445BF"/>
    <w:rsid w:val="00D46640"/>
    <w:rsid w:val="00D47857"/>
    <w:rsid w:val="00D517D9"/>
    <w:rsid w:val="00D52580"/>
    <w:rsid w:val="00D52807"/>
    <w:rsid w:val="00D57795"/>
    <w:rsid w:val="00D7086A"/>
    <w:rsid w:val="00D70B45"/>
    <w:rsid w:val="00D74037"/>
    <w:rsid w:val="00D742B7"/>
    <w:rsid w:val="00D813C2"/>
    <w:rsid w:val="00D81D88"/>
    <w:rsid w:val="00D856C8"/>
    <w:rsid w:val="00DA0385"/>
    <w:rsid w:val="00DA100C"/>
    <w:rsid w:val="00DA100F"/>
    <w:rsid w:val="00DA31B4"/>
    <w:rsid w:val="00DA5806"/>
    <w:rsid w:val="00DA731C"/>
    <w:rsid w:val="00DB0DC8"/>
    <w:rsid w:val="00DB2EFF"/>
    <w:rsid w:val="00DB467C"/>
    <w:rsid w:val="00DC7891"/>
    <w:rsid w:val="00DC798F"/>
    <w:rsid w:val="00DD1103"/>
    <w:rsid w:val="00DD1A3D"/>
    <w:rsid w:val="00DD33B5"/>
    <w:rsid w:val="00DD578A"/>
    <w:rsid w:val="00DD6303"/>
    <w:rsid w:val="00DD795B"/>
    <w:rsid w:val="00DD7C3F"/>
    <w:rsid w:val="00DE0FE3"/>
    <w:rsid w:val="00DE17A7"/>
    <w:rsid w:val="00DE3B29"/>
    <w:rsid w:val="00DE3E52"/>
    <w:rsid w:val="00DE4657"/>
    <w:rsid w:val="00DE4E93"/>
    <w:rsid w:val="00DE758F"/>
    <w:rsid w:val="00DE7E54"/>
    <w:rsid w:val="00DF075A"/>
    <w:rsid w:val="00DF179D"/>
    <w:rsid w:val="00DF34E4"/>
    <w:rsid w:val="00DF46B6"/>
    <w:rsid w:val="00DF4813"/>
    <w:rsid w:val="00E02C81"/>
    <w:rsid w:val="00E04080"/>
    <w:rsid w:val="00E06B59"/>
    <w:rsid w:val="00E12818"/>
    <w:rsid w:val="00E150A1"/>
    <w:rsid w:val="00E1607E"/>
    <w:rsid w:val="00E16131"/>
    <w:rsid w:val="00E17691"/>
    <w:rsid w:val="00E24130"/>
    <w:rsid w:val="00E24C2F"/>
    <w:rsid w:val="00E26642"/>
    <w:rsid w:val="00E2691A"/>
    <w:rsid w:val="00E436AE"/>
    <w:rsid w:val="00E451C8"/>
    <w:rsid w:val="00E46174"/>
    <w:rsid w:val="00E50D11"/>
    <w:rsid w:val="00E520DC"/>
    <w:rsid w:val="00E54718"/>
    <w:rsid w:val="00E54ABB"/>
    <w:rsid w:val="00E55E22"/>
    <w:rsid w:val="00E56E3E"/>
    <w:rsid w:val="00E60783"/>
    <w:rsid w:val="00E60830"/>
    <w:rsid w:val="00E62AD3"/>
    <w:rsid w:val="00E652FE"/>
    <w:rsid w:val="00E6620C"/>
    <w:rsid w:val="00E66FEB"/>
    <w:rsid w:val="00E74F12"/>
    <w:rsid w:val="00E752FD"/>
    <w:rsid w:val="00E75F9E"/>
    <w:rsid w:val="00E77730"/>
    <w:rsid w:val="00E84073"/>
    <w:rsid w:val="00E843F7"/>
    <w:rsid w:val="00E93F7E"/>
    <w:rsid w:val="00EA2A82"/>
    <w:rsid w:val="00EA2EDB"/>
    <w:rsid w:val="00EA3342"/>
    <w:rsid w:val="00EA70EE"/>
    <w:rsid w:val="00EA7364"/>
    <w:rsid w:val="00EA74E4"/>
    <w:rsid w:val="00EB066E"/>
    <w:rsid w:val="00EB3A9C"/>
    <w:rsid w:val="00EB3C6B"/>
    <w:rsid w:val="00EB77A1"/>
    <w:rsid w:val="00EB79D8"/>
    <w:rsid w:val="00EC0CB9"/>
    <w:rsid w:val="00EC1216"/>
    <w:rsid w:val="00EC3A51"/>
    <w:rsid w:val="00EC3C39"/>
    <w:rsid w:val="00EC43B5"/>
    <w:rsid w:val="00EC603E"/>
    <w:rsid w:val="00EC6CB5"/>
    <w:rsid w:val="00ED18C4"/>
    <w:rsid w:val="00ED1DB1"/>
    <w:rsid w:val="00ED2298"/>
    <w:rsid w:val="00EE5BAF"/>
    <w:rsid w:val="00EF1D5C"/>
    <w:rsid w:val="00EF4B69"/>
    <w:rsid w:val="00EF692F"/>
    <w:rsid w:val="00EF6A99"/>
    <w:rsid w:val="00F000AF"/>
    <w:rsid w:val="00F00CBE"/>
    <w:rsid w:val="00F0272F"/>
    <w:rsid w:val="00F03C8B"/>
    <w:rsid w:val="00F07B9B"/>
    <w:rsid w:val="00F10394"/>
    <w:rsid w:val="00F10931"/>
    <w:rsid w:val="00F17853"/>
    <w:rsid w:val="00F17B59"/>
    <w:rsid w:val="00F201D8"/>
    <w:rsid w:val="00F2064E"/>
    <w:rsid w:val="00F21389"/>
    <w:rsid w:val="00F21BC7"/>
    <w:rsid w:val="00F2467A"/>
    <w:rsid w:val="00F25C31"/>
    <w:rsid w:val="00F32CBC"/>
    <w:rsid w:val="00F32E3C"/>
    <w:rsid w:val="00F32FB7"/>
    <w:rsid w:val="00F354A9"/>
    <w:rsid w:val="00F3657D"/>
    <w:rsid w:val="00F40F05"/>
    <w:rsid w:val="00F4288F"/>
    <w:rsid w:val="00F437FA"/>
    <w:rsid w:val="00F43928"/>
    <w:rsid w:val="00F450CF"/>
    <w:rsid w:val="00F476EA"/>
    <w:rsid w:val="00F477A5"/>
    <w:rsid w:val="00F505C9"/>
    <w:rsid w:val="00F567C5"/>
    <w:rsid w:val="00F60304"/>
    <w:rsid w:val="00F60AA2"/>
    <w:rsid w:val="00F62962"/>
    <w:rsid w:val="00F63A12"/>
    <w:rsid w:val="00F63C19"/>
    <w:rsid w:val="00F63DE1"/>
    <w:rsid w:val="00F64614"/>
    <w:rsid w:val="00F66B60"/>
    <w:rsid w:val="00F67638"/>
    <w:rsid w:val="00F678E8"/>
    <w:rsid w:val="00F71143"/>
    <w:rsid w:val="00F734CA"/>
    <w:rsid w:val="00F7605E"/>
    <w:rsid w:val="00F76C70"/>
    <w:rsid w:val="00F813BD"/>
    <w:rsid w:val="00F8303D"/>
    <w:rsid w:val="00F86DE6"/>
    <w:rsid w:val="00F87A55"/>
    <w:rsid w:val="00F90145"/>
    <w:rsid w:val="00F9072F"/>
    <w:rsid w:val="00F90C02"/>
    <w:rsid w:val="00F913BB"/>
    <w:rsid w:val="00F91767"/>
    <w:rsid w:val="00F93522"/>
    <w:rsid w:val="00F93F92"/>
    <w:rsid w:val="00F9505E"/>
    <w:rsid w:val="00F95103"/>
    <w:rsid w:val="00FA051D"/>
    <w:rsid w:val="00FA2742"/>
    <w:rsid w:val="00FA2839"/>
    <w:rsid w:val="00FA28BB"/>
    <w:rsid w:val="00FA2C32"/>
    <w:rsid w:val="00FA30E8"/>
    <w:rsid w:val="00FA517E"/>
    <w:rsid w:val="00FB26DD"/>
    <w:rsid w:val="00FB5F1A"/>
    <w:rsid w:val="00FC0D3E"/>
    <w:rsid w:val="00FC14B6"/>
    <w:rsid w:val="00FC72FC"/>
    <w:rsid w:val="00FD00E1"/>
    <w:rsid w:val="00FD55F1"/>
    <w:rsid w:val="00FD5E7E"/>
    <w:rsid w:val="00FD6802"/>
    <w:rsid w:val="00FE1B82"/>
    <w:rsid w:val="00FE3386"/>
    <w:rsid w:val="00FE65F5"/>
    <w:rsid w:val="00FF09B0"/>
    <w:rsid w:val="00FF0D18"/>
    <w:rsid w:val="00FF44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6F465"/>
  <w15:docId w15:val="{245B345B-F147-48D8-B0C7-92ADEA9EB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F5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1licht-Accent31">
    <w:name w:val="Rastertabel 1 licht - Accent 31"/>
    <w:basedOn w:val="Standaardtabel"/>
    <w:uiPriority w:val="46"/>
    <w:rsid w:val="004D47C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2C7E4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C7E45"/>
    <w:rPr>
      <w:rFonts w:ascii="Tahoma" w:hAnsi="Tahoma" w:cs="Tahoma"/>
      <w:sz w:val="16"/>
      <w:szCs w:val="16"/>
    </w:rPr>
  </w:style>
  <w:style w:type="paragraph" w:styleId="Koptekst">
    <w:name w:val="header"/>
    <w:basedOn w:val="Standaard"/>
    <w:link w:val="KoptekstChar"/>
    <w:uiPriority w:val="99"/>
    <w:unhideWhenUsed/>
    <w:rsid w:val="001F7B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7B25"/>
  </w:style>
  <w:style w:type="paragraph" w:styleId="Voettekst">
    <w:name w:val="footer"/>
    <w:basedOn w:val="Standaard"/>
    <w:link w:val="VoettekstChar"/>
    <w:uiPriority w:val="99"/>
    <w:unhideWhenUsed/>
    <w:rsid w:val="001F7B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7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102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1775</Words>
  <Characters>9767</Characters>
  <Application>Microsoft Office Word</Application>
  <DocSecurity>0</DocSecurity>
  <Lines>81</Lines>
  <Paragraphs>23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Cliniques Universitaires Saint-Luc</Company>
  <LinksUpToDate>false</LinksUpToDate>
  <CharactersWithSpaces>11519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niels van der geest</dc:creator>
  <cp:lastModifiedBy>niels van der geest</cp:lastModifiedBy>
  <cp:revision>6</cp:revision>
  <dcterms:created xsi:type="dcterms:W3CDTF">2020-12-23T18:33:00Z</dcterms:created>
  <dcterms:modified xsi:type="dcterms:W3CDTF">2020-12-23T19:07:00Z</dcterms:modified>
</cp:coreProperties>
</file>