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91AAF7" w14:textId="77777777" w:rsidR="00386BA7" w:rsidRPr="008E6D8F" w:rsidRDefault="00F2540D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Times New Roman"/>
          <w:b/>
          <w:bCs/>
          <w:color w:val="00000A"/>
          <w:kern w:val="2"/>
          <w:sz w:val="20"/>
          <w:szCs w:val="20"/>
          <w:lang w:val="en-US" w:eastAsia="zh-CN" w:bidi="hi-IN"/>
        </w:rPr>
      </w:pPr>
      <w:r w:rsidRPr="008E6D8F">
        <w:rPr>
          <w:rFonts w:ascii="Times New Roman" w:eastAsia="SimSun" w:hAnsi="Times New Roman" w:cs="Times New Roman"/>
          <w:b/>
          <w:bCs/>
          <w:color w:val="00000A"/>
          <w:kern w:val="2"/>
          <w:sz w:val="20"/>
          <w:szCs w:val="20"/>
          <w:lang w:val="en-US" w:eastAsia="zh-CN" w:bidi="hi-IN"/>
        </w:rPr>
        <w:t>Supplementary Table 1. Inclusion and exclusion criteria in RAD-THYR trial.</w:t>
      </w:r>
    </w:p>
    <w:p w14:paraId="52588A84" w14:textId="77777777" w:rsidR="00386BA7" w:rsidRPr="008E6D8F" w:rsidRDefault="00386BA7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color w:val="00000A"/>
          <w:kern w:val="2"/>
          <w:sz w:val="18"/>
          <w:szCs w:val="18"/>
          <w:lang w:val="en-US" w:eastAsia="zh-CN" w:bidi="hi-IN"/>
        </w:rPr>
      </w:pPr>
    </w:p>
    <w:tbl>
      <w:tblPr>
        <w:tblStyle w:val="Grigliatabella"/>
        <w:tblW w:w="9628" w:type="dxa"/>
        <w:tblInd w:w="-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4815"/>
        <w:gridCol w:w="4813"/>
      </w:tblGrid>
      <w:tr w:rsidR="00386BA7" w:rsidRPr="008E6D8F" w14:paraId="6D246079" w14:textId="77777777" w:rsidTr="008E6D8F">
        <w:tc>
          <w:tcPr>
            <w:tcW w:w="4815" w:type="dxa"/>
            <w:shd w:val="clear" w:color="auto" w:fill="auto"/>
            <w:tcMar>
              <w:left w:w="83" w:type="dxa"/>
            </w:tcMar>
          </w:tcPr>
          <w:p w14:paraId="29C6BA0E" w14:textId="77777777" w:rsidR="00386BA7" w:rsidRPr="008E6D8F" w:rsidRDefault="00E7309C">
            <w:pPr>
              <w:widowControl w:val="0"/>
              <w:suppressAutoHyphens/>
              <w:spacing w:after="0" w:line="240" w:lineRule="auto"/>
              <w:rPr>
                <w:b/>
                <w:color w:val="00000A"/>
                <w:kern w:val="2"/>
                <w:sz w:val="18"/>
                <w:szCs w:val="18"/>
                <w:lang w:val="en-US" w:eastAsia="zh-CN" w:bidi="hi-IN"/>
              </w:rPr>
            </w:pPr>
            <w:r w:rsidRPr="008E6D8F">
              <w:rPr>
                <w:rFonts w:ascii="Times New Roman" w:eastAsia="SimSun" w:hAnsi="Times New Roman" w:cs="Times New Roman"/>
                <w:b/>
                <w:color w:val="00000A"/>
                <w:kern w:val="2"/>
                <w:sz w:val="18"/>
                <w:szCs w:val="18"/>
                <w:lang w:val="en-US" w:eastAsia="zh-CN" w:bidi="hi-IN"/>
              </w:rPr>
              <w:t>INCLUSION CRITERIA</w:t>
            </w:r>
          </w:p>
        </w:tc>
        <w:tc>
          <w:tcPr>
            <w:tcW w:w="4813" w:type="dxa"/>
            <w:shd w:val="clear" w:color="auto" w:fill="auto"/>
            <w:tcMar>
              <w:left w:w="83" w:type="dxa"/>
            </w:tcMar>
          </w:tcPr>
          <w:p w14:paraId="47DC653B" w14:textId="77777777" w:rsidR="00386BA7" w:rsidRPr="008E6D8F" w:rsidRDefault="00386BA7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bidi="hi-IN"/>
              </w:rPr>
            </w:pPr>
          </w:p>
        </w:tc>
      </w:tr>
      <w:tr w:rsidR="00386BA7" w:rsidRPr="009757A2" w14:paraId="5D3A11D7" w14:textId="77777777" w:rsidTr="008E6D8F">
        <w:tc>
          <w:tcPr>
            <w:tcW w:w="4815" w:type="dxa"/>
            <w:shd w:val="clear" w:color="auto" w:fill="auto"/>
            <w:tcMar>
              <w:left w:w="83" w:type="dxa"/>
            </w:tcMar>
          </w:tcPr>
          <w:p w14:paraId="2795EC35" w14:textId="77777777" w:rsidR="00386BA7" w:rsidRPr="008E6D8F" w:rsidRDefault="00E7309C">
            <w:pPr>
              <w:widowControl w:val="0"/>
              <w:suppressAutoHyphens/>
              <w:spacing w:after="0" w:line="240" w:lineRule="auto"/>
              <w:rPr>
                <w:color w:val="00000A"/>
                <w:kern w:val="2"/>
                <w:sz w:val="18"/>
                <w:szCs w:val="18"/>
                <w:lang w:val="en-US" w:eastAsia="zh-CN" w:bidi="hi-IN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>Affiliation to a social security regimen</w:t>
            </w:r>
          </w:p>
        </w:tc>
        <w:tc>
          <w:tcPr>
            <w:tcW w:w="4813" w:type="dxa"/>
            <w:shd w:val="clear" w:color="auto" w:fill="auto"/>
            <w:tcMar>
              <w:left w:w="83" w:type="dxa"/>
            </w:tcMar>
          </w:tcPr>
          <w:p w14:paraId="3D93769C" w14:textId="77777777" w:rsidR="00386BA7" w:rsidRPr="008E6D8F" w:rsidRDefault="00386BA7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bidi="hi-IN"/>
              </w:rPr>
            </w:pPr>
          </w:p>
        </w:tc>
      </w:tr>
      <w:tr w:rsidR="00386BA7" w:rsidRPr="009757A2" w14:paraId="16A4777B" w14:textId="77777777" w:rsidTr="008E6D8F">
        <w:tc>
          <w:tcPr>
            <w:tcW w:w="4815" w:type="dxa"/>
            <w:shd w:val="clear" w:color="auto" w:fill="auto"/>
            <w:tcMar>
              <w:left w:w="83" w:type="dxa"/>
            </w:tcMar>
          </w:tcPr>
          <w:p w14:paraId="17CB56C6" w14:textId="77777777" w:rsidR="00386BA7" w:rsidRPr="008E6D8F" w:rsidRDefault="00E7309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18"/>
                <w:szCs w:val="18"/>
                <w:lang w:val="en-US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>Histologically confirmed differentiated thyroid cancer (DTC)</w:t>
            </w:r>
          </w:p>
        </w:tc>
        <w:tc>
          <w:tcPr>
            <w:tcW w:w="4813" w:type="dxa"/>
            <w:shd w:val="clear" w:color="auto" w:fill="auto"/>
            <w:tcMar>
              <w:left w:w="83" w:type="dxa"/>
            </w:tcMar>
          </w:tcPr>
          <w:p w14:paraId="6ECCB275" w14:textId="77777777" w:rsidR="00386BA7" w:rsidRPr="008E6D8F" w:rsidRDefault="00E7309C">
            <w:pPr>
              <w:widowControl w:val="0"/>
              <w:suppressAutoHyphens/>
              <w:spacing w:after="0" w:line="240" w:lineRule="auto"/>
              <w:rPr>
                <w:color w:val="00000A"/>
                <w:kern w:val="2"/>
                <w:sz w:val="18"/>
                <w:szCs w:val="18"/>
                <w:lang w:val="en-US" w:eastAsia="zh-CN" w:bidi="hi-IN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>Papillary</w:t>
            </w:r>
          </w:p>
          <w:p w14:paraId="3DE72C1D" w14:textId="77777777" w:rsidR="00386BA7" w:rsidRPr="008E6D8F" w:rsidRDefault="00E7309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18"/>
                <w:szCs w:val="18"/>
                <w:lang w:val="en-US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 xml:space="preserve">Follicular including Hurtle cell </w:t>
            </w:r>
          </w:p>
          <w:p w14:paraId="689426E1" w14:textId="77777777" w:rsidR="00386BA7" w:rsidRPr="008E6D8F" w:rsidRDefault="00E7309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18"/>
                <w:szCs w:val="18"/>
                <w:lang w:val="en-US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>Poorly differentiated</w:t>
            </w:r>
          </w:p>
        </w:tc>
      </w:tr>
      <w:tr w:rsidR="00386BA7" w:rsidRPr="009757A2" w14:paraId="66480EF8" w14:textId="77777777" w:rsidTr="008E6D8F">
        <w:tc>
          <w:tcPr>
            <w:tcW w:w="4815" w:type="dxa"/>
            <w:shd w:val="clear" w:color="auto" w:fill="auto"/>
            <w:tcMar>
              <w:left w:w="83" w:type="dxa"/>
            </w:tcMar>
          </w:tcPr>
          <w:p w14:paraId="3E88792F" w14:textId="77777777" w:rsidR="00386BA7" w:rsidRPr="008E6D8F" w:rsidRDefault="00E7309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 xml:space="preserve">Radioactive Iodine refractory disease </w:t>
            </w:r>
          </w:p>
        </w:tc>
        <w:tc>
          <w:tcPr>
            <w:tcW w:w="4813" w:type="dxa"/>
            <w:shd w:val="clear" w:color="auto" w:fill="auto"/>
            <w:tcMar>
              <w:left w:w="83" w:type="dxa"/>
            </w:tcMar>
          </w:tcPr>
          <w:p w14:paraId="149DCF34" w14:textId="3815F326" w:rsidR="00386BA7" w:rsidRPr="007F7F2C" w:rsidRDefault="00E7309C" w:rsidP="004037E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7F7F2C">
              <w:rPr>
                <w:rFonts w:ascii="Times New Roman" w:eastAsia="SimSun" w:hAnsi="Times New Roman" w:cs="Times New Roman"/>
                <w:color w:val="FF0000"/>
                <w:kern w:val="2"/>
                <w:sz w:val="18"/>
                <w:szCs w:val="18"/>
                <w:lang w:val="en-US" w:eastAsia="zh-CN" w:bidi="hi-IN"/>
              </w:rPr>
              <w:t>Definition</w:t>
            </w:r>
            <w:r w:rsidR="00045112" w:rsidRPr="007F7F2C">
              <w:rPr>
                <w:rFonts w:ascii="Times New Roman" w:eastAsia="SimSun" w:hAnsi="Times New Roman" w:cs="Times New Roman"/>
                <w:color w:val="FF0000"/>
                <w:kern w:val="2"/>
                <w:sz w:val="18"/>
                <w:szCs w:val="18"/>
                <w:lang w:val="en-US" w:eastAsia="zh-CN" w:bidi="hi-IN"/>
              </w:rPr>
              <w:t xml:space="preserve"> </w:t>
            </w:r>
          </w:p>
          <w:p w14:paraId="0522AA2D" w14:textId="02A579CB" w:rsidR="00386BA7" w:rsidRPr="007F7F2C" w:rsidRDefault="00E7309C" w:rsidP="004037E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7F7F2C">
              <w:rPr>
                <w:rFonts w:ascii="Times New Roman" w:eastAsia="SimSun" w:hAnsi="Times New Roman" w:cs="Times New Roman"/>
                <w:color w:val="FF0000"/>
                <w:kern w:val="2"/>
                <w:sz w:val="18"/>
                <w:szCs w:val="18"/>
                <w:lang w:val="en-US" w:eastAsia="zh-CN" w:bidi="hi-IN"/>
              </w:rPr>
              <w:t xml:space="preserve">- </w:t>
            </w:r>
            <w:bookmarkStart w:id="0" w:name="_Hlk62041598"/>
            <w:r w:rsidRPr="007F7F2C">
              <w:rPr>
                <w:rFonts w:ascii="Times New Roman" w:eastAsia="SimSun" w:hAnsi="Times New Roman" w:cs="Times New Roman"/>
                <w:color w:val="FF0000"/>
                <w:kern w:val="2"/>
                <w:sz w:val="18"/>
                <w:szCs w:val="18"/>
                <w:lang w:val="en-US" w:eastAsia="zh-CN" w:bidi="hi-IN"/>
              </w:rPr>
              <w:t xml:space="preserve">absence of Radioactive iodine (RAI) uptake </w:t>
            </w:r>
            <w:bookmarkStart w:id="1" w:name="_Hlk62041690"/>
            <w:r w:rsidRPr="007F7F2C">
              <w:rPr>
                <w:rFonts w:ascii="Times New Roman" w:eastAsia="SimSun" w:hAnsi="Times New Roman" w:cs="Times New Roman"/>
                <w:color w:val="FF0000"/>
                <w:kern w:val="2"/>
                <w:sz w:val="18"/>
                <w:szCs w:val="18"/>
                <w:lang w:val="en-US" w:eastAsia="zh-CN" w:bidi="hi-IN"/>
              </w:rPr>
              <w:t>in metastatic lesions</w:t>
            </w:r>
            <w:bookmarkEnd w:id="1"/>
            <w:r w:rsidRPr="007F7F2C">
              <w:rPr>
                <w:rFonts w:ascii="Times New Roman" w:eastAsia="SimSun" w:hAnsi="Times New Roman" w:cs="Times New Roman"/>
                <w:color w:val="FF0000"/>
                <w:kern w:val="2"/>
                <w:sz w:val="18"/>
                <w:szCs w:val="18"/>
                <w:lang w:val="en-US" w:eastAsia="zh-CN" w:bidi="hi-IN"/>
              </w:rPr>
              <w:t xml:space="preserve"> </w:t>
            </w:r>
            <w:bookmarkEnd w:id="0"/>
            <w:r w:rsidRPr="007F7F2C">
              <w:rPr>
                <w:rFonts w:ascii="Times New Roman" w:eastAsia="SimSun" w:hAnsi="Times New Roman" w:cs="Times New Roman"/>
                <w:color w:val="FF0000"/>
                <w:kern w:val="2"/>
                <w:sz w:val="18"/>
                <w:szCs w:val="18"/>
                <w:lang w:val="en-US" w:eastAsia="zh-CN" w:bidi="hi-IN"/>
              </w:rPr>
              <w:t xml:space="preserve">at diagnostic </w:t>
            </w:r>
            <w:r w:rsidRPr="007F7F2C">
              <w:rPr>
                <w:rFonts w:ascii="Times New Roman" w:eastAsia="SimSun" w:hAnsi="Times New Roman" w:cs="Times New Roman"/>
                <w:color w:val="FF0000"/>
                <w:kern w:val="2"/>
                <w:sz w:val="18"/>
                <w:szCs w:val="18"/>
                <w:vertAlign w:val="superscript"/>
                <w:lang w:val="en-US" w:eastAsia="zh-CN" w:bidi="hi-IN"/>
              </w:rPr>
              <w:t>131</w:t>
            </w:r>
            <w:r w:rsidRPr="007F7F2C">
              <w:rPr>
                <w:rFonts w:ascii="Times New Roman" w:eastAsia="SimSun" w:hAnsi="Times New Roman" w:cs="Times New Roman"/>
                <w:color w:val="FF0000"/>
                <w:kern w:val="2"/>
                <w:sz w:val="18"/>
                <w:szCs w:val="18"/>
                <w:lang w:val="en-US" w:eastAsia="zh-CN" w:bidi="hi-IN"/>
              </w:rPr>
              <w:t xml:space="preserve">I scan or after a post-therapeutic </w:t>
            </w:r>
            <w:r w:rsidRPr="007F7F2C">
              <w:rPr>
                <w:rFonts w:ascii="Times New Roman" w:eastAsia="SimSun" w:hAnsi="Times New Roman" w:cs="Times New Roman"/>
                <w:color w:val="FF0000"/>
                <w:kern w:val="2"/>
                <w:sz w:val="18"/>
                <w:szCs w:val="18"/>
                <w:vertAlign w:val="superscript"/>
                <w:lang w:val="en-US" w:eastAsia="zh-CN" w:bidi="hi-IN"/>
              </w:rPr>
              <w:t>131</w:t>
            </w:r>
            <w:r w:rsidRPr="007F7F2C">
              <w:rPr>
                <w:rFonts w:ascii="Times New Roman" w:eastAsia="SimSun" w:hAnsi="Times New Roman" w:cs="Times New Roman"/>
                <w:color w:val="FF0000"/>
                <w:kern w:val="2"/>
                <w:sz w:val="18"/>
                <w:szCs w:val="18"/>
                <w:lang w:val="en-US" w:eastAsia="zh-CN" w:bidi="hi-IN"/>
              </w:rPr>
              <w:t xml:space="preserve">I scan performed several days after RAI treatment </w:t>
            </w:r>
            <w:r w:rsidR="00045112" w:rsidRPr="007F7F2C">
              <w:rPr>
                <w:rFonts w:ascii="Times New Roman" w:eastAsia="SimSun" w:hAnsi="Times New Roman" w:cs="Times New Roman"/>
                <w:color w:val="FF0000"/>
                <w:kern w:val="2"/>
                <w:sz w:val="18"/>
                <w:szCs w:val="18"/>
                <w:lang w:val="en-US" w:eastAsia="zh-CN" w:bidi="hi-IN"/>
              </w:rPr>
              <w:t>or</w:t>
            </w:r>
          </w:p>
          <w:p w14:paraId="1DE7413D" w14:textId="1F49BCA6" w:rsidR="00386BA7" w:rsidRPr="007F7F2C" w:rsidRDefault="00E7309C" w:rsidP="004037ED">
            <w:pPr>
              <w:widowControl w:val="0"/>
              <w:suppressAutoHyphens/>
              <w:spacing w:after="0" w:line="240" w:lineRule="auto"/>
              <w:jc w:val="both"/>
              <w:rPr>
                <w:color w:val="FF0000"/>
                <w:kern w:val="2"/>
                <w:sz w:val="18"/>
                <w:szCs w:val="18"/>
                <w:lang w:val="en-US" w:eastAsia="zh-CN" w:bidi="hi-IN"/>
              </w:rPr>
            </w:pPr>
            <w:r w:rsidRPr="007F7F2C">
              <w:rPr>
                <w:rFonts w:ascii="Times New Roman" w:eastAsia="SimSun" w:hAnsi="Times New Roman" w:cs="Times New Roman"/>
                <w:color w:val="FF0000"/>
                <w:kern w:val="2"/>
                <w:sz w:val="18"/>
                <w:szCs w:val="18"/>
                <w:lang w:val="en-US" w:eastAsia="zh-CN" w:bidi="hi-IN"/>
              </w:rPr>
              <w:t xml:space="preserve">- </w:t>
            </w:r>
            <w:bookmarkStart w:id="2" w:name="_Hlk62041627"/>
            <w:r w:rsidRPr="007F7F2C">
              <w:rPr>
                <w:rFonts w:ascii="Times New Roman" w:eastAsia="SimSun" w:hAnsi="Times New Roman" w:cs="Times New Roman"/>
                <w:color w:val="FF0000"/>
                <w:kern w:val="2"/>
                <w:sz w:val="18"/>
                <w:szCs w:val="18"/>
                <w:lang w:val="en-US" w:eastAsia="zh-CN" w:bidi="hi-IN"/>
              </w:rPr>
              <w:t xml:space="preserve">in case of </w:t>
            </w:r>
            <w:r w:rsidR="009757A2">
              <w:rPr>
                <w:rFonts w:ascii="Times New Roman" w:eastAsia="SimSun" w:hAnsi="Times New Roman" w:cs="Times New Roman"/>
                <w:color w:val="FF0000"/>
                <w:kern w:val="2"/>
                <w:sz w:val="18"/>
                <w:szCs w:val="18"/>
                <w:lang w:val="en-US" w:eastAsia="zh-CN" w:bidi="hi-IN"/>
              </w:rPr>
              <w:t xml:space="preserve">RAI </w:t>
            </w:r>
            <w:r w:rsidRPr="007F7F2C">
              <w:rPr>
                <w:rFonts w:ascii="Times New Roman" w:eastAsia="SimSun" w:hAnsi="Times New Roman" w:cs="Times New Roman"/>
                <w:color w:val="FF0000"/>
                <w:kern w:val="2"/>
                <w:sz w:val="18"/>
                <w:szCs w:val="18"/>
                <w:lang w:val="en-US" w:eastAsia="zh-CN" w:bidi="hi-IN"/>
              </w:rPr>
              <w:t xml:space="preserve">uptake present in some but not in other tumor foci </w:t>
            </w:r>
            <w:bookmarkEnd w:id="2"/>
            <w:r w:rsidR="00045112" w:rsidRPr="007F7F2C">
              <w:rPr>
                <w:rFonts w:ascii="Times New Roman" w:eastAsia="SimSun" w:hAnsi="Times New Roman" w:cs="Times New Roman"/>
                <w:color w:val="FF0000"/>
                <w:kern w:val="2"/>
                <w:sz w:val="18"/>
                <w:szCs w:val="18"/>
                <w:lang w:val="en-US" w:eastAsia="zh-CN" w:bidi="hi-IN"/>
              </w:rPr>
              <w:t>or</w:t>
            </w:r>
          </w:p>
          <w:p w14:paraId="4698E950" w14:textId="0648DA27" w:rsidR="00947CF4" w:rsidRPr="007F7F2C" w:rsidRDefault="00E7309C" w:rsidP="004037E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FF0000"/>
                <w:kern w:val="2"/>
                <w:sz w:val="18"/>
                <w:szCs w:val="18"/>
                <w:lang w:val="en-US" w:eastAsia="zh-CN" w:bidi="hi-IN"/>
              </w:rPr>
            </w:pPr>
            <w:r w:rsidRPr="007F7F2C">
              <w:rPr>
                <w:rFonts w:ascii="Times New Roman" w:eastAsia="SimSun" w:hAnsi="Times New Roman" w:cs="Times New Roman"/>
                <w:color w:val="FF0000"/>
                <w:kern w:val="2"/>
                <w:sz w:val="18"/>
                <w:szCs w:val="18"/>
                <w:lang w:val="en-US" w:eastAsia="zh-CN" w:bidi="hi-IN"/>
              </w:rPr>
              <w:t>-</w:t>
            </w:r>
            <w:bookmarkStart w:id="3" w:name="_Hlk58419323"/>
            <w:r w:rsidRPr="007F7F2C">
              <w:rPr>
                <w:rFonts w:ascii="Times New Roman" w:eastAsia="SimSun" w:hAnsi="Times New Roman" w:cs="Times New Roman"/>
                <w:color w:val="FF0000"/>
                <w:kern w:val="2"/>
                <w:sz w:val="18"/>
                <w:szCs w:val="18"/>
                <w:lang w:val="en-US" w:eastAsia="zh-CN" w:bidi="hi-IN"/>
              </w:rPr>
              <w:t xml:space="preserve">progression of the disease within 14 months after RAI administration treatment </w:t>
            </w:r>
            <w:r w:rsidR="00947CF4" w:rsidRPr="007F7F2C">
              <w:rPr>
                <w:rFonts w:ascii="Times New Roman" w:eastAsia="SimSun" w:hAnsi="Times New Roman" w:cs="Times New Roman"/>
                <w:color w:val="FF0000"/>
                <w:kern w:val="2"/>
                <w:sz w:val="18"/>
                <w:szCs w:val="18"/>
                <w:lang w:val="en-US" w:eastAsia="zh-CN" w:bidi="hi-IN"/>
              </w:rPr>
              <w:t xml:space="preserve">or </w:t>
            </w:r>
          </w:p>
          <w:p w14:paraId="4BBE802D" w14:textId="4D21122D" w:rsidR="00212896" w:rsidRPr="00947CF4" w:rsidRDefault="00947CF4" w:rsidP="004037E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</w:pPr>
            <w:r w:rsidRPr="007F7F2C">
              <w:rPr>
                <w:rFonts w:ascii="Times New Roman" w:eastAsia="SimSun" w:hAnsi="Times New Roman" w:cs="Times New Roman"/>
                <w:color w:val="FF0000"/>
                <w:kern w:val="2"/>
                <w:sz w:val="18"/>
                <w:szCs w:val="18"/>
                <w:lang w:val="en-US" w:eastAsia="zh-CN" w:bidi="hi-IN"/>
              </w:rPr>
              <w:t xml:space="preserve">- </w:t>
            </w:r>
            <w:r w:rsidR="00E7309C" w:rsidRPr="007F7F2C">
              <w:rPr>
                <w:rFonts w:ascii="Times New Roman" w:eastAsia="SimSun" w:hAnsi="Times New Roman" w:cs="Times New Roman"/>
                <w:color w:val="FF0000"/>
                <w:kern w:val="2"/>
                <w:sz w:val="18"/>
                <w:szCs w:val="18"/>
                <w:lang w:val="en-US" w:eastAsia="zh-CN" w:bidi="hi-IN"/>
              </w:rPr>
              <w:t xml:space="preserve">persistent disease after the administration of a cumulative activity of 22 </w:t>
            </w:r>
            <w:proofErr w:type="spellStart"/>
            <w:r w:rsidR="00E7309C" w:rsidRPr="007F7F2C">
              <w:rPr>
                <w:rFonts w:ascii="Times New Roman" w:eastAsia="SimSun" w:hAnsi="Times New Roman" w:cs="Times New Roman"/>
                <w:color w:val="FF0000"/>
                <w:kern w:val="2"/>
                <w:sz w:val="18"/>
                <w:szCs w:val="18"/>
                <w:lang w:val="en-US" w:eastAsia="zh-CN" w:bidi="hi-IN"/>
              </w:rPr>
              <w:t>GBq</w:t>
            </w:r>
            <w:proofErr w:type="spellEnd"/>
            <w:r w:rsidR="00E7309C" w:rsidRPr="007F7F2C">
              <w:rPr>
                <w:rFonts w:ascii="Times New Roman" w:eastAsia="SimSun" w:hAnsi="Times New Roman" w:cs="Times New Roman"/>
                <w:color w:val="FF0000"/>
                <w:kern w:val="2"/>
                <w:sz w:val="18"/>
                <w:szCs w:val="18"/>
                <w:lang w:val="en-US" w:eastAsia="zh-CN" w:bidi="hi-IN"/>
              </w:rPr>
              <w:t xml:space="preserve"> </w:t>
            </w:r>
            <w:bookmarkEnd w:id="3"/>
          </w:p>
        </w:tc>
      </w:tr>
      <w:tr w:rsidR="00386BA7" w:rsidRPr="008E6D8F" w14:paraId="4260ABBF" w14:textId="77777777" w:rsidTr="008E6D8F">
        <w:tc>
          <w:tcPr>
            <w:tcW w:w="4815" w:type="dxa"/>
            <w:shd w:val="clear" w:color="auto" w:fill="auto"/>
            <w:tcMar>
              <w:left w:w="83" w:type="dxa"/>
            </w:tcMar>
          </w:tcPr>
          <w:p w14:paraId="75732B03" w14:textId="77777777" w:rsidR="00386BA7" w:rsidRPr="008E6D8F" w:rsidRDefault="00E7309C">
            <w:pPr>
              <w:widowControl w:val="0"/>
              <w:suppressAutoHyphens/>
              <w:spacing w:after="0" w:line="240" w:lineRule="auto"/>
              <w:rPr>
                <w:color w:val="00000A"/>
                <w:kern w:val="2"/>
                <w:sz w:val="18"/>
                <w:szCs w:val="18"/>
                <w:lang w:val="en-US" w:eastAsia="zh-CN" w:bidi="hi-IN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 xml:space="preserve">Age </w:t>
            </w:r>
          </w:p>
        </w:tc>
        <w:tc>
          <w:tcPr>
            <w:tcW w:w="4813" w:type="dxa"/>
            <w:shd w:val="clear" w:color="auto" w:fill="auto"/>
            <w:tcMar>
              <w:left w:w="83" w:type="dxa"/>
            </w:tcMar>
          </w:tcPr>
          <w:p w14:paraId="5E461A02" w14:textId="77777777" w:rsidR="00386BA7" w:rsidRPr="008E6D8F" w:rsidRDefault="00E7309C">
            <w:pPr>
              <w:widowControl w:val="0"/>
              <w:suppressAutoHyphens/>
              <w:spacing w:after="0" w:line="240" w:lineRule="auto"/>
              <w:rPr>
                <w:color w:val="00000A"/>
                <w:kern w:val="2"/>
                <w:sz w:val="18"/>
                <w:szCs w:val="18"/>
                <w:lang w:val="en-US" w:eastAsia="zh-CN" w:bidi="hi-IN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>≥18 years</w:t>
            </w:r>
          </w:p>
        </w:tc>
      </w:tr>
      <w:tr w:rsidR="00386BA7" w:rsidRPr="008E6D8F" w14:paraId="7114B256" w14:textId="77777777" w:rsidTr="008E6D8F">
        <w:tc>
          <w:tcPr>
            <w:tcW w:w="4815" w:type="dxa"/>
            <w:shd w:val="clear" w:color="auto" w:fill="auto"/>
            <w:tcMar>
              <w:left w:w="83" w:type="dxa"/>
            </w:tcMar>
          </w:tcPr>
          <w:p w14:paraId="11A9A33E" w14:textId="77777777" w:rsidR="00386BA7" w:rsidRPr="008E6D8F" w:rsidRDefault="00E7309C">
            <w:pPr>
              <w:widowControl w:val="0"/>
              <w:suppressAutoHyphens/>
              <w:spacing w:after="0" w:line="240" w:lineRule="auto"/>
              <w:rPr>
                <w:color w:val="00000A"/>
                <w:kern w:val="2"/>
                <w:sz w:val="18"/>
                <w:szCs w:val="18"/>
                <w:lang w:val="en-US" w:eastAsia="zh-CN" w:bidi="hi-IN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 xml:space="preserve">Eastern Cooperative Oncology Group performance </w:t>
            </w:r>
          </w:p>
        </w:tc>
        <w:tc>
          <w:tcPr>
            <w:tcW w:w="4813" w:type="dxa"/>
            <w:shd w:val="clear" w:color="auto" w:fill="auto"/>
            <w:tcMar>
              <w:left w:w="83" w:type="dxa"/>
            </w:tcMar>
          </w:tcPr>
          <w:p w14:paraId="33E847BB" w14:textId="77777777" w:rsidR="00386BA7" w:rsidRPr="008E6D8F" w:rsidRDefault="00E7309C">
            <w:pPr>
              <w:widowControl w:val="0"/>
              <w:suppressAutoHyphens/>
              <w:spacing w:after="0" w:line="240" w:lineRule="auto"/>
              <w:rPr>
                <w:color w:val="00000A"/>
                <w:kern w:val="2"/>
                <w:sz w:val="18"/>
                <w:szCs w:val="18"/>
                <w:lang w:val="en-US" w:eastAsia="zh-CN" w:bidi="hi-IN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>0-2</w:t>
            </w:r>
          </w:p>
        </w:tc>
      </w:tr>
      <w:tr w:rsidR="00386BA7" w:rsidRPr="008E6D8F" w14:paraId="074FC5D2" w14:textId="77777777" w:rsidTr="008E6D8F">
        <w:tc>
          <w:tcPr>
            <w:tcW w:w="4815" w:type="dxa"/>
            <w:shd w:val="clear" w:color="auto" w:fill="auto"/>
            <w:tcMar>
              <w:left w:w="83" w:type="dxa"/>
            </w:tcMar>
          </w:tcPr>
          <w:p w14:paraId="420A928A" w14:textId="77777777" w:rsidR="00386BA7" w:rsidRPr="008E6D8F" w:rsidRDefault="00E7309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 xml:space="preserve">Life expectancy </w:t>
            </w:r>
          </w:p>
        </w:tc>
        <w:tc>
          <w:tcPr>
            <w:tcW w:w="4813" w:type="dxa"/>
            <w:shd w:val="clear" w:color="auto" w:fill="auto"/>
            <w:tcMar>
              <w:left w:w="83" w:type="dxa"/>
            </w:tcMar>
          </w:tcPr>
          <w:p w14:paraId="2AA4975E" w14:textId="77777777" w:rsidR="00386BA7" w:rsidRPr="008E6D8F" w:rsidRDefault="00E7309C">
            <w:pPr>
              <w:widowControl w:val="0"/>
              <w:suppressAutoHyphens/>
              <w:spacing w:after="0" w:line="240" w:lineRule="auto"/>
              <w:rPr>
                <w:color w:val="00000A"/>
                <w:kern w:val="2"/>
                <w:sz w:val="18"/>
                <w:szCs w:val="18"/>
                <w:lang w:val="en-US" w:eastAsia="zh-CN" w:bidi="hi-IN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 xml:space="preserve">&gt;3 months </w:t>
            </w:r>
          </w:p>
        </w:tc>
      </w:tr>
      <w:tr w:rsidR="008E6D8F" w:rsidRPr="009757A2" w14:paraId="7C7105D7" w14:textId="77777777" w:rsidTr="008E6D8F">
        <w:tc>
          <w:tcPr>
            <w:tcW w:w="4815" w:type="dxa"/>
            <w:shd w:val="clear" w:color="auto" w:fill="auto"/>
            <w:tcMar>
              <w:left w:w="83" w:type="dxa"/>
            </w:tcMar>
          </w:tcPr>
          <w:p w14:paraId="70298778" w14:textId="6B5516A5" w:rsidR="008E6D8F" w:rsidRPr="008E6D8F" w:rsidRDefault="008E6D8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>Patient fully informed able to comply with the protocol.</w:t>
            </w:r>
          </w:p>
        </w:tc>
        <w:tc>
          <w:tcPr>
            <w:tcW w:w="4813" w:type="dxa"/>
            <w:shd w:val="clear" w:color="auto" w:fill="auto"/>
            <w:tcMar>
              <w:left w:w="83" w:type="dxa"/>
            </w:tcMar>
          </w:tcPr>
          <w:p w14:paraId="043EE8AE" w14:textId="77777777" w:rsidR="008E6D8F" w:rsidRPr="008E6D8F" w:rsidRDefault="008E6D8F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</w:pPr>
          </w:p>
        </w:tc>
      </w:tr>
      <w:tr w:rsidR="00386BA7" w:rsidRPr="009757A2" w14:paraId="6CB2A4AE" w14:textId="77777777" w:rsidTr="008E6D8F">
        <w:tc>
          <w:tcPr>
            <w:tcW w:w="4815" w:type="dxa"/>
            <w:shd w:val="clear" w:color="auto" w:fill="auto"/>
            <w:tcMar>
              <w:left w:w="83" w:type="dxa"/>
            </w:tcMar>
          </w:tcPr>
          <w:p w14:paraId="1A64C682" w14:textId="77777777" w:rsidR="00386BA7" w:rsidRPr="008E6D8F" w:rsidRDefault="00E7309C">
            <w:pPr>
              <w:widowControl w:val="0"/>
              <w:suppressAutoHyphens/>
              <w:spacing w:after="0" w:line="240" w:lineRule="auto"/>
              <w:rPr>
                <w:color w:val="00000A"/>
                <w:kern w:val="2"/>
                <w:sz w:val="18"/>
                <w:szCs w:val="18"/>
                <w:lang w:val="en-US" w:eastAsia="zh-CN" w:bidi="hi-IN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 xml:space="preserve">Low likelihood of an indication for systemic treatment within the next 6 months </w:t>
            </w:r>
          </w:p>
        </w:tc>
        <w:tc>
          <w:tcPr>
            <w:tcW w:w="4813" w:type="dxa"/>
            <w:shd w:val="clear" w:color="auto" w:fill="auto"/>
            <w:tcMar>
              <w:left w:w="83" w:type="dxa"/>
            </w:tcMar>
          </w:tcPr>
          <w:p w14:paraId="27202C10" w14:textId="77777777" w:rsidR="00386BA7" w:rsidRPr="008E6D8F" w:rsidRDefault="00E7309C">
            <w:pPr>
              <w:widowControl w:val="0"/>
              <w:suppressAutoHyphens/>
              <w:spacing w:after="0" w:line="240" w:lineRule="auto"/>
              <w:jc w:val="both"/>
              <w:rPr>
                <w:color w:val="00000A"/>
                <w:kern w:val="2"/>
                <w:sz w:val="18"/>
                <w:szCs w:val="18"/>
                <w:lang w:val="en-US" w:eastAsia="zh-CN" w:bidi="hi-IN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>Defined by:</w:t>
            </w:r>
          </w:p>
          <w:p w14:paraId="18473C8E" w14:textId="77777777" w:rsidR="00386BA7" w:rsidRPr="008E6D8F" w:rsidRDefault="00E7309C">
            <w:pPr>
              <w:widowControl w:val="0"/>
              <w:suppressAutoHyphens/>
              <w:spacing w:after="0" w:line="240" w:lineRule="auto"/>
              <w:jc w:val="both"/>
              <w:rPr>
                <w:color w:val="00000A"/>
                <w:kern w:val="2"/>
                <w:sz w:val="18"/>
                <w:szCs w:val="18"/>
                <w:lang w:val="en-US" w:eastAsia="zh-CN" w:bidi="hi-IN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 xml:space="preserve">- absence of soft tissue distant metastases </w:t>
            </w:r>
          </w:p>
          <w:p w14:paraId="7FEAC5C9" w14:textId="77777777" w:rsidR="00386BA7" w:rsidRPr="008E6D8F" w:rsidRDefault="00E7309C">
            <w:pPr>
              <w:widowControl w:val="0"/>
              <w:suppressAutoHyphens/>
              <w:spacing w:after="0" w:line="240" w:lineRule="auto"/>
              <w:jc w:val="both"/>
              <w:rPr>
                <w:color w:val="00000A"/>
                <w:kern w:val="2"/>
                <w:sz w:val="18"/>
                <w:szCs w:val="18"/>
                <w:lang w:val="en-US" w:eastAsia="zh-CN" w:bidi="hi-IN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>- presence of only small (&lt;1cm) soft-tissue metastases, or larger (&gt;1 cm) but stable soft tissue metastases within 6 months prior to inclusion</w:t>
            </w:r>
          </w:p>
        </w:tc>
      </w:tr>
      <w:tr w:rsidR="00386BA7" w:rsidRPr="009757A2" w14:paraId="6CB33F3F" w14:textId="77777777" w:rsidTr="008E6D8F">
        <w:tc>
          <w:tcPr>
            <w:tcW w:w="4815" w:type="dxa"/>
            <w:shd w:val="clear" w:color="auto" w:fill="auto"/>
            <w:tcMar>
              <w:left w:w="83" w:type="dxa"/>
            </w:tcMar>
          </w:tcPr>
          <w:p w14:paraId="1C64A05F" w14:textId="77777777" w:rsidR="00386BA7" w:rsidRPr="008E6D8F" w:rsidRDefault="00E7309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18"/>
                <w:szCs w:val="18"/>
                <w:lang w:val="en-US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 xml:space="preserve">Presence of at least one known bone metastasis </w:t>
            </w:r>
          </w:p>
        </w:tc>
        <w:tc>
          <w:tcPr>
            <w:tcW w:w="4813" w:type="dxa"/>
            <w:shd w:val="clear" w:color="auto" w:fill="auto"/>
            <w:tcMar>
              <w:left w:w="83" w:type="dxa"/>
            </w:tcMar>
          </w:tcPr>
          <w:p w14:paraId="5B692B69" w14:textId="77A5B80D" w:rsidR="00386BA7" w:rsidRPr="004037ED" w:rsidRDefault="00E7309C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</w:pPr>
            <w:r w:rsidRPr="004037ED">
              <w:rPr>
                <w:rFonts w:ascii="Times New Roman" w:eastAsia="SimSun" w:hAnsi="Times New Roman" w:cs="Times New Roman"/>
                <w:color w:val="FF0000"/>
                <w:kern w:val="2"/>
                <w:sz w:val="18"/>
                <w:szCs w:val="18"/>
                <w:lang w:val="en-US" w:eastAsia="zh-CN" w:bidi="hi-IN"/>
              </w:rPr>
              <w:t>Visible on CT sca</w:t>
            </w:r>
            <w:r w:rsidR="00212896" w:rsidRPr="004037ED">
              <w:rPr>
                <w:rFonts w:ascii="Times New Roman" w:eastAsia="SimSun" w:hAnsi="Times New Roman" w:cs="Times New Roman"/>
                <w:color w:val="FF0000"/>
                <w:kern w:val="2"/>
                <w:sz w:val="18"/>
                <w:szCs w:val="18"/>
                <w:lang w:val="en-US" w:eastAsia="zh-CN" w:bidi="hi-IN"/>
              </w:rPr>
              <w:t>n</w:t>
            </w:r>
            <w:r w:rsidR="00212896" w:rsidRPr="004037ED"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  <w:t xml:space="preserve"> </w:t>
            </w:r>
            <w:r w:rsidR="004037ED" w:rsidRPr="004037ED"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  <w:t>and not needing imminent local treatment</w:t>
            </w:r>
          </w:p>
        </w:tc>
      </w:tr>
      <w:tr w:rsidR="00386BA7" w:rsidRPr="008E6D8F" w14:paraId="55657397" w14:textId="77777777" w:rsidTr="008E6D8F">
        <w:tc>
          <w:tcPr>
            <w:tcW w:w="4815" w:type="dxa"/>
            <w:shd w:val="clear" w:color="auto" w:fill="auto"/>
            <w:tcMar>
              <w:left w:w="83" w:type="dxa"/>
            </w:tcMar>
          </w:tcPr>
          <w:p w14:paraId="665FB7DA" w14:textId="77777777" w:rsidR="00386BA7" w:rsidRPr="008E6D8F" w:rsidRDefault="00E7309C">
            <w:pPr>
              <w:widowControl w:val="0"/>
              <w:suppressAutoHyphens/>
              <w:spacing w:after="0" w:line="240" w:lineRule="auto"/>
              <w:rPr>
                <w:color w:val="00000A"/>
                <w:kern w:val="2"/>
                <w:sz w:val="18"/>
                <w:szCs w:val="18"/>
                <w:lang w:val="en-US" w:eastAsia="zh-CN" w:bidi="hi-IN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 xml:space="preserve">Presence of at least one bone metastasis with increased uptake </w:t>
            </w:r>
          </w:p>
        </w:tc>
        <w:tc>
          <w:tcPr>
            <w:tcW w:w="4813" w:type="dxa"/>
            <w:shd w:val="clear" w:color="auto" w:fill="auto"/>
            <w:tcMar>
              <w:left w:w="83" w:type="dxa"/>
            </w:tcMar>
          </w:tcPr>
          <w:p w14:paraId="011D201C" w14:textId="77777777" w:rsidR="00386BA7" w:rsidRPr="008E6D8F" w:rsidRDefault="00E7309C">
            <w:pPr>
              <w:widowControl w:val="0"/>
              <w:suppressAutoHyphens/>
              <w:spacing w:after="0" w:line="240" w:lineRule="auto"/>
              <w:rPr>
                <w:color w:val="00000A"/>
                <w:kern w:val="2"/>
                <w:sz w:val="18"/>
                <w:szCs w:val="18"/>
                <w:lang w:val="en-US" w:eastAsia="zh-CN" w:bidi="hi-IN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vertAlign w:val="superscript"/>
                <w:lang w:val="en-US" w:eastAsia="zh-CN" w:bidi="hi-IN"/>
              </w:rPr>
              <w:t>18</w:t>
            </w: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>F-FDG PET/CT</w:t>
            </w:r>
          </w:p>
        </w:tc>
      </w:tr>
      <w:tr w:rsidR="00386BA7" w:rsidRPr="009757A2" w14:paraId="2844D331" w14:textId="77777777" w:rsidTr="008E6D8F">
        <w:trPr>
          <w:trHeight w:val="156"/>
        </w:trPr>
        <w:tc>
          <w:tcPr>
            <w:tcW w:w="4815" w:type="dxa"/>
            <w:shd w:val="clear" w:color="auto" w:fill="auto"/>
            <w:tcMar>
              <w:left w:w="83" w:type="dxa"/>
            </w:tcMar>
          </w:tcPr>
          <w:p w14:paraId="30104226" w14:textId="77777777" w:rsidR="00386BA7" w:rsidRPr="008E6D8F" w:rsidRDefault="00E7309C">
            <w:pPr>
              <w:widowControl w:val="0"/>
              <w:suppressAutoHyphens/>
              <w:spacing w:after="0" w:line="240" w:lineRule="auto"/>
              <w:rPr>
                <w:color w:val="00000A"/>
                <w:kern w:val="2"/>
                <w:sz w:val="18"/>
                <w:szCs w:val="18"/>
                <w:lang w:val="en-US" w:eastAsia="zh-CN" w:bidi="hi-IN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 xml:space="preserve">Presence of at least one bone metastasis with increased uptake  </w:t>
            </w:r>
          </w:p>
        </w:tc>
        <w:tc>
          <w:tcPr>
            <w:tcW w:w="4813" w:type="dxa"/>
            <w:shd w:val="clear" w:color="auto" w:fill="auto"/>
            <w:tcMar>
              <w:left w:w="83" w:type="dxa"/>
            </w:tcMar>
          </w:tcPr>
          <w:p w14:paraId="7AC66605" w14:textId="70D2C6F7" w:rsidR="00386BA7" w:rsidRPr="008E6D8F" w:rsidRDefault="00E7309C">
            <w:pPr>
              <w:widowControl w:val="0"/>
              <w:suppressAutoHyphens/>
              <w:spacing w:after="0" w:line="240" w:lineRule="auto"/>
              <w:rPr>
                <w:color w:val="00000A"/>
                <w:kern w:val="2"/>
                <w:sz w:val="18"/>
                <w:szCs w:val="18"/>
                <w:lang w:val="en-US" w:eastAsia="zh-CN" w:bidi="hi-IN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vertAlign w:val="superscript"/>
                <w:lang w:val="en-US" w:eastAsia="zh-CN" w:bidi="hi-IN"/>
              </w:rPr>
              <w:t>99m</w:t>
            </w: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 xml:space="preserve">Tc HMDP bone scintigraphy </w:t>
            </w:r>
            <w:r w:rsidR="00212896"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>or</w:t>
            </w: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 xml:space="preserve"> </w:t>
            </w: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vertAlign w:val="superscript"/>
                <w:lang w:val="en-US" w:eastAsia="zh-CN" w:bidi="hi-IN"/>
              </w:rPr>
              <w:t>18</w:t>
            </w: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>FNa PET/CT</w:t>
            </w:r>
          </w:p>
        </w:tc>
      </w:tr>
      <w:tr w:rsidR="00386BA7" w:rsidRPr="009757A2" w14:paraId="7B23E93F" w14:textId="77777777" w:rsidTr="008E6D8F">
        <w:tc>
          <w:tcPr>
            <w:tcW w:w="4815" w:type="dxa"/>
            <w:shd w:val="clear" w:color="auto" w:fill="auto"/>
            <w:tcMar>
              <w:left w:w="83" w:type="dxa"/>
            </w:tcMar>
          </w:tcPr>
          <w:p w14:paraId="7366BE90" w14:textId="77777777" w:rsidR="00386BA7" w:rsidRPr="008E6D8F" w:rsidRDefault="00E7309C">
            <w:pPr>
              <w:widowControl w:val="0"/>
              <w:suppressAutoHyphens/>
              <w:spacing w:after="0" w:line="240" w:lineRule="auto"/>
              <w:rPr>
                <w:color w:val="00000A"/>
                <w:kern w:val="2"/>
                <w:sz w:val="18"/>
                <w:szCs w:val="18"/>
                <w:lang w:val="en-US" w:eastAsia="zh-CN" w:bidi="hi-IN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>Adequate hematological parameters</w:t>
            </w:r>
          </w:p>
        </w:tc>
        <w:tc>
          <w:tcPr>
            <w:tcW w:w="4813" w:type="dxa"/>
            <w:shd w:val="clear" w:color="auto" w:fill="auto"/>
            <w:tcMar>
              <w:left w:w="83" w:type="dxa"/>
            </w:tcMar>
          </w:tcPr>
          <w:p w14:paraId="47A98A41" w14:textId="77777777" w:rsidR="00386BA7" w:rsidRPr="008E6D8F" w:rsidRDefault="00E7309C">
            <w:pPr>
              <w:widowControl w:val="0"/>
              <w:suppressAutoHyphens/>
              <w:spacing w:after="0" w:line="240" w:lineRule="auto"/>
              <w:rPr>
                <w:color w:val="00000A"/>
                <w:kern w:val="2"/>
                <w:sz w:val="18"/>
                <w:szCs w:val="18"/>
                <w:lang w:val="en-US" w:eastAsia="zh-CN" w:bidi="hi-IN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>-Neutrophils: ≥1,5×109/L</w:t>
            </w:r>
          </w:p>
          <w:p w14:paraId="4E29C7D7" w14:textId="77777777" w:rsidR="00386BA7" w:rsidRPr="008E6D8F" w:rsidRDefault="00E7309C">
            <w:pPr>
              <w:widowControl w:val="0"/>
              <w:suppressAutoHyphens/>
              <w:spacing w:after="0" w:line="240" w:lineRule="auto"/>
              <w:rPr>
                <w:color w:val="00000A"/>
                <w:kern w:val="2"/>
                <w:sz w:val="18"/>
                <w:szCs w:val="18"/>
                <w:lang w:val="en-US" w:eastAsia="zh-CN" w:bidi="hi-IN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>-Platelets: ≥100×109/ L;</w:t>
            </w:r>
          </w:p>
          <w:p w14:paraId="33E44FFC" w14:textId="77777777" w:rsidR="00386BA7" w:rsidRPr="008E6D8F" w:rsidRDefault="00E7309C">
            <w:pPr>
              <w:widowControl w:val="0"/>
              <w:suppressAutoHyphens/>
              <w:spacing w:after="0" w:line="240" w:lineRule="auto"/>
              <w:rPr>
                <w:color w:val="00000A"/>
                <w:kern w:val="2"/>
                <w:sz w:val="18"/>
                <w:szCs w:val="18"/>
                <w:lang w:val="en-US" w:eastAsia="zh-CN" w:bidi="hi-IN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 xml:space="preserve">-Hemoglobin :&gt; 9g/dL </w:t>
            </w:r>
          </w:p>
          <w:p w14:paraId="58DD37F5" w14:textId="77777777" w:rsidR="00386BA7" w:rsidRPr="008E6D8F" w:rsidRDefault="00E7309C">
            <w:pPr>
              <w:widowControl w:val="0"/>
              <w:suppressAutoHyphens/>
              <w:spacing w:after="0" w:line="240" w:lineRule="auto"/>
              <w:rPr>
                <w:color w:val="00000A"/>
                <w:kern w:val="2"/>
                <w:sz w:val="18"/>
                <w:szCs w:val="18"/>
                <w:lang w:val="en-US" w:eastAsia="zh-CN" w:bidi="hi-IN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>-Renal function: creatinine &lt;1,5×upper limit of normal range</w:t>
            </w:r>
          </w:p>
          <w:p w14:paraId="39B8A1CC" w14:textId="77777777" w:rsidR="00386BA7" w:rsidRPr="008E6D8F" w:rsidRDefault="00E7309C">
            <w:pPr>
              <w:widowControl w:val="0"/>
              <w:suppressAutoHyphens/>
              <w:spacing w:after="0" w:line="240" w:lineRule="auto"/>
              <w:rPr>
                <w:color w:val="00000A"/>
                <w:kern w:val="2"/>
                <w:sz w:val="18"/>
                <w:szCs w:val="18"/>
                <w:lang w:val="en-US" w:eastAsia="zh-CN" w:bidi="hi-IN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>- Hepatic function: total bilirubin &lt; 1.5 institutional upper limit of normal, aspartate aminotransferase and alanine aminotransferase &lt;2,5×upper limit of normal range in the absence of liver metastases or &lt;5×upper limit of normal range in case of liver metastases</w:t>
            </w:r>
          </w:p>
        </w:tc>
      </w:tr>
      <w:tr w:rsidR="00386BA7" w:rsidRPr="009757A2" w14:paraId="3D5EA0E6" w14:textId="77777777" w:rsidTr="008E6D8F">
        <w:tc>
          <w:tcPr>
            <w:tcW w:w="4815" w:type="dxa"/>
            <w:shd w:val="clear" w:color="auto" w:fill="auto"/>
            <w:tcMar>
              <w:left w:w="83" w:type="dxa"/>
            </w:tcMar>
          </w:tcPr>
          <w:p w14:paraId="2BB8036F" w14:textId="77777777" w:rsidR="00386BA7" w:rsidRPr="008E6D8F" w:rsidRDefault="00E7309C">
            <w:pPr>
              <w:widowControl w:val="0"/>
              <w:suppressAutoHyphens/>
              <w:spacing w:after="0" w:line="240" w:lineRule="auto"/>
              <w:rPr>
                <w:color w:val="00000A"/>
                <w:kern w:val="2"/>
                <w:sz w:val="18"/>
                <w:szCs w:val="18"/>
                <w:lang w:val="en-US" w:eastAsia="zh-CN" w:bidi="hi-IN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>Blood negative pregnancy test in women of childbearing potential within 30 days prior to treatment initiation</w:t>
            </w:r>
          </w:p>
        </w:tc>
        <w:tc>
          <w:tcPr>
            <w:tcW w:w="4813" w:type="dxa"/>
            <w:shd w:val="clear" w:color="auto" w:fill="auto"/>
            <w:tcMar>
              <w:left w:w="83" w:type="dxa"/>
            </w:tcMar>
          </w:tcPr>
          <w:p w14:paraId="4D688261" w14:textId="77777777" w:rsidR="00386BA7" w:rsidRPr="008E6D8F" w:rsidRDefault="00386BA7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bidi="hi-IN"/>
              </w:rPr>
            </w:pPr>
          </w:p>
        </w:tc>
      </w:tr>
      <w:tr w:rsidR="00386BA7" w:rsidRPr="009757A2" w14:paraId="036DE756" w14:textId="77777777" w:rsidTr="008E6D8F">
        <w:tc>
          <w:tcPr>
            <w:tcW w:w="4815" w:type="dxa"/>
            <w:shd w:val="clear" w:color="auto" w:fill="auto"/>
            <w:tcMar>
              <w:left w:w="83" w:type="dxa"/>
            </w:tcMar>
          </w:tcPr>
          <w:p w14:paraId="724F7357" w14:textId="77777777" w:rsidR="00386BA7" w:rsidRPr="008E6D8F" w:rsidRDefault="00E7309C">
            <w:pPr>
              <w:widowControl w:val="0"/>
              <w:suppressAutoHyphens/>
              <w:spacing w:after="0" w:line="240" w:lineRule="auto"/>
              <w:rPr>
                <w:color w:val="00000A"/>
                <w:kern w:val="2"/>
                <w:sz w:val="18"/>
                <w:szCs w:val="18"/>
                <w:lang w:val="en-US" w:eastAsia="zh-CN" w:bidi="hi-IN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 xml:space="preserve">Bisphosphonates or anti-RANK ligand (Denosumab) allowed </w:t>
            </w:r>
          </w:p>
        </w:tc>
        <w:tc>
          <w:tcPr>
            <w:tcW w:w="4813" w:type="dxa"/>
            <w:shd w:val="clear" w:color="auto" w:fill="auto"/>
            <w:tcMar>
              <w:left w:w="83" w:type="dxa"/>
            </w:tcMar>
          </w:tcPr>
          <w:p w14:paraId="6D08BE00" w14:textId="77777777" w:rsidR="00386BA7" w:rsidRPr="008E6D8F" w:rsidRDefault="00E7309C">
            <w:pPr>
              <w:widowControl w:val="0"/>
              <w:suppressAutoHyphens/>
              <w:spacing w:after="0" w:line="240" w:lineRule="auto"/>
              <w:rPr>
                <w:color w:val="00000A"/>
                <w:kern w:val="2"/>
                <w:sz w:val="18"/>
                <w:szCs w:val="18"/>
                <w:lang w:val="en-US" w:eastAsia="zh-CN" w:bidi="hi-IN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>at least 2 administrations prior to Radium-223 administration and scheduled to be continued during Radium-223 treatment</w:t>
            </w:r>
          </w:p>
        </w:tc>
      </w:tr>
      <w:tr w:rsidR="00386BA7" w:rsidRPr="008E6D8F" w14:paraId="087D50F8" w14:textId="77777777" w:rsidTr="008E6D8F">
        <w:tc>
          <w:tcPr>
            <w:tcW w:w="4815" w:type="dxa"/>
            <w:shd w:val="clear" w:color="auto" w:fill="auto"/>
            <w:tcMar>
              <w:left w:w="83" w:type="dxa"/>
            </w:tcMar>
          </w:tcPr>
          <w:p w14:paraId="2A507FEC" w14:textId="77777777" w:rsidR="00386BA7" w:rsidRPr="008E6D8F" w:rsidRDefault="00E7309C">
            <w:pPr>
              <w:widowControl w:val="0"/>
              <w:suppressAutoHyphens/>
              <w:spacing w:after="0" w:line="240" w:lineRule="auto"/>
              <w:rPr>
                <w:b/>
                <w:color w:val="00000A"/>
                <w:kern w:val="2"/>
                <w:sz w:val="18"/>
                <w:szCs w:val="18"/>
                <w:lang w:val="en-US" w:eastAsia="zh-CN" w:bidi="hi-IN"/>
              </w:rPr>
            </w:pPr>
            <w:r w:rsidRPr="008E6D8F">
              <w:rPr>
                <w:rFonts w:ascii="Times New Roman" w:eastAsia="SimSun" w:hAnsi="Times New Roman" w:cs="Times New Roman"/>
                <w:b/>
                <w:color w:val="00000A"/>
                <w:kern w:val="2"/>
                <w:sz w:val="18"/>
                <w:szCs w:val="18"/>
                <w:lang w:val="en-US" w:eastAsia="zh-CN" w:bidi="hi-IN"/>
              </w:rPr>
              <w:t>EXCLUSION CRITERIA</w:t>
            </w:r>
          </w:p>
        </w:tc>
        <w:tc>
          <w:tcPr>
            <w:tcW w:w="4813" w:type="dxa"/>
            <w:shd w:val="clear" w:color="auto" w:fill="auto"/>
            <w:tcMar>
              <w:left w:w="83" w:type="dxa"/>
            </w:tcMar>
          </w:tcPr>
          <w:p w14:paraId="6D48449E" w14:textId="77777777" w:rsidR="00386BA7" w:rsidRPr="008E6D8F" w:rsidRDefault="00386BA7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bidi="hi-IN"/>
              </w:rPr>
            </w:pPr>
          </w:p>
        </w:tc>
      </w:tr>
      <w:tr w:rsidR="00386BA7" w:rsidRPr="008E6D8F" w14:paraId="30E7507C" w14:textId="77777777" w:rsidTr="008E6D8F">
        <w:tc>
          <w:tcPr>
            <w:tcW w:w="4815" w:type="dxa"/>
            <w:shd w:val="clear" w:color="auto" w:fill="auto"/>
            <w:tcMar>
              <w:left w:w="83" w:type="dxa"/>
            </w:tcMar>
          </w:tcPr>
          <w:p w14:paraId="4A97FF67" w14:textId="77777777" w:rsidR="00386BA7" w:rsidRPr="008E6D8F" w:rsidRDefault="00E7309C">
            <w:pPr>
              <w:widowControl w:val="0"/>
              <w:suppressAutoHyphens/>
              <w:spacing w:after="0" w:line="240" w:lineRule="auto"/>
              <w:rPr>
                <w:color w:val="00000A"/>
                <w:kern w:val="2"/>
                <w:sz w:val="18"/>
                <w:szCs w:val="18"/>
                <w:lang w:val="en-US" w:eastAsia="zh-CN" w:bidi="hi-IN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>Pregnancy or breast feeding</w:t>
            </w:r>
          </w:p>
        </w:tc>
        <w:tc>
          <w:tcPr>
            <w:tcW w:w="4813" w:type="dxa"/>
            <w:shd w:val="clear" w:color="auto" w:fill="auto"/>
            <w:tcMar>
              <w:left w:w="83" w:type="dxa"/>
            </w:tcMar>
          </w:tcPr>
          <w:p w14:paraId="442DECEE" w14:textId="77777777" w:rsidR="00386BA7" w:rsidRPr="008E6D8F" w:rsidRDefault="00386BA7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bidi="hi-IN"/>
              </w:rPr>
            </w:pPr>
          </w:p>
        </w:tc>
      </w:tr>
      <w:tr w:rsidR="00386BA7" w:rsidRPr="009757A2" w14:paraId="58C850E7" w14:textId="77777777" w:rsidTr="008E6D8F">
        <w:tc>
          <w:tcPr>
            <w:tcW w:w="4815" w:type="dxa"/>
            <w:shd w:val="clear" w:color="auto" w:fill="auto"/>
            <w:tcMar>
              <w:left w:w="83" w:type="dxa"/>
            </w:tcMar>
          </w:tcPr>
          <w:p w14:paraId="35077FB6" w14:textId="77777777" w:rsidR="00386BA7" w:rsidRPr="008E6D8F" w:rsidRDefault="00E7309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18"/>
                <w:szCs w:val="18"/>
                <w:lang w:val="en-US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 xml:space="preserve">Another malignancy that was not in remission for at least 2 years before the study </w:t>
            </w:r>
          </w:p>
        </w:tc>
        <w:tc>
          <w:tcPr>
            <w:tcW w:w="4813" w:type="dxa"/>
            <w:shd w:val="clear" w:color="auto" w:fill="auto"/>
            <w:tcMar>
              <w:left w:w="83" w:type="dxa"/>
            </w:tcMar>
          </w:tcPr>
          <w:p w14:paraId="7BBB3AB6" w14:textId="5536E709" w:rsidR="00386BA7" w:rsidRPr="008E6D8F" w:rsidRDefault="00E7309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18"/>
                <w:szCs w:val="18"/>
                <w:lang w:val="en-US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 xml:space="preserve">Except for in situ cervix uterine cancer, </w:t>
            </w:r>
            <w:proofErr w:type="spellStart"/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>basocellular</w:t>
            </w:r>
            <w:proofErr w:type="spellEnd"/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 xml:space="preserve"> skin cancer</w:t>
            </w:r>
          </w:p>
        </w:tc>
      </w:tr>
      <w:tr w:rsidR="00386BA7" w:rsidRPr="009757A2" w14:paraId="742A0120" w14:textId="77777777" w:rsidTr="008E6D8F">
        <w:tc>
          <w:tcPr>
            <w:tcW w:w="4815" w:type="dxa"/>
            <w:shd w:val="clear" w:color="auto" w:fill="auto"/>
            <w:tcMar>
              <w:left w:w="83" w:type="dxa"/>
            </w:tcMar>
          </w:tcPr>
          <w:p w14:paraId="17D48044" w14:textId="77777777" w:rsidR="00386BA7" w:rsidRPr="008E6D8F" w:rsidRDefault="00E7309C">
            <w:pPr>
              <w:widowControl w:val="0"/>
              <w:suppressAutoHyphens/>
              <w:spacing w:after="0" w:line="240" w:lineRule="auto"/>
              <w:rPr>
                <w:color w:val="00000A"/>
                <w:kern w:val="2"/>
                <w:sz w:val="18"/>
                <w:szCs w:val="18"/>
                <w:lang w:val="en-US" w:eastAsia="zh-CN" w:bidi="hi-IN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>Concomitant treatment with any investigational drug</w:t>
            </w:r>
          </w:p>
        </w:tc>
        <w:tc>
          <w:tcPr>
            <w:tcW w:w="4813" w:type="dxa"/>
            <w:shd w:val="clear" w:color="auto" w:fill="auto"/>
            <w:tcMar>
              <w:left w:w="83" w:type="dxa"/>
            </w:tcMar>
          </w:tcPr>
          <w:p w14:paraId="4E497C15" w14:textId="77777777" w:rsidR="00386BA7" w:rsidRPr="008E6D8F" w:rsidRDefault="00E7309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18"/>
                <w:szCs w:val="18"/>
                <w:lang w:val="en-US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>To be stopped at least within the previous 4 weeks prior to Radium-223 administration.</w:t>
            </w:r>
          </w:p>
        </w:tc>
      </w:tr>
      <w:tr w:rsidR="00386BA7" w:rsidRPr="009757A2" w14:paraId="40B9F8F6" w14:textId="77777777" w:rsidTr="008E6D8F">
        <w:tc>
          <w:tcPr>
            <w:tcW w:w="4815" w:type="dxa"/>
            <w:shd w:val="clear" w:color="auto" w:fill="auto"/>
            <w:tcMar>
              <w:left w:w="83" w:type="dxa"/>
            </w:tcMar>
          </w:tcPr>
          <w:p w14:paraId="0A7A1E1E" w14:textId="77777777" w:rsidR="00386BA7" w:rsidRPr="008E6D8F" w:rsidRDefault="00E7309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18"/>
                <w:szCs w:val="18"/>
                <w:lang w:val="en-US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 xml:space="preserve">Imminent or established spinal cord compression immediate need for local radiotherapy </w:t>
            </w:r>
          </w:p>
        </w:tc>
        <w:tc>
          <w:tcPr>
            <w:tcW w:w="4813" w:type="dxa"/>
            <w:shd w:val="clear" w:color="auto" w:fill="auto"/>
            <w:tcMar>
              <w:left w:w="83" w:type="dxa"/>
            </w:tcMar>
          </w:tcPr>
          <w:p w14:paraId="09E2112F" w14:textId="77777777" w:rsidR="00386BA7" w:rsidRPr="008E6D8F" w:rsidRDefault="00E7309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18"/>
                <w:szCs w:val="18"/>
                <w:lang w:val="en-US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 xml:space="preserve">based on clinical findings and/or MRI </w:t>
            </w:r>
          </w:p>
        </w:tc>
      </w:tr>
      <w:tr w:rsidR="00386BA7" w:rsidRPr="009757A2" w14:paraId="696811A6" w14:textId="77777777" w:rsidTr="008E6D8F">
        <w:tc>
          <w:tcPr>
            <w:tcW w:w="4815" w:type="dxa"/>
            <w:shd w:val="clear" w:color="auto" w:fill="auto"/>
            <w:tcMar>
              <w:left w:w="83" w:type="dxa"/>
            </w:tcMar>
          </w:tcPr>
          <w:p w14:paraId="3990DABF" w14:textId="77777777" w:rsidR="00386BA7" w:rsidRPr="008E6D8F" w:rsidRDefault="00E7309C">
            <w:pPr>
              <w:widowControl w:val="0"/>
              <w:suppressAutoHyphens/>
              <w:spacing w:after="0" w:line="240" w:lineRule="auto"/>
              <w:rPr>
                <w:color w:val="00000A"/>
                <w:kern w:val="2"/>
                <w:sz w:val="18"/>
                <w:szCs w:val="18"/>
                <w:lang w:val="en-US" w:eastAsia="zh-CN" w:bidi="hi-IN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 xml:space="preserve">Progressive visceral metastases </w:t>
            </w:r>
          </w:p>
        </w:tc>
        <w:tc>
          <w:tcPr>
            <w:tcW w:w="4813" w:type="dxa"/>
            <w:shd w:val="clear" w:color="auto" w:fill="auto"/>
            <w:tcMar>
              <w:left w:w="83" w:type="dxa"/>
            </w:tcMar>
          </w:tcPr>
          <w:p w14:paraId="0524A203" w14:textId="4BF98E73" w:rsidR="00386BA7" w:rsidRPr="008E6D8F" w:rsidRDefault="008E6D8F">
            <w:pPr>
              <w:widowControl w:val="0"/>
              <w:suppressAutoHyphens/>
              <w:spacing w:after="0" w:line="240" w:lineRule="auto"/>
              <w:rPr>
                <w:color w:val="00000A"/>
                <w:kern w:val="2"/>
                <w:sz w:val="18"/>
                <w:szCs w:val="18"/>
                <w:lang w:val="en-US" w:eastAsia="zh-CN" w:bidi="hi-IN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>b</w:t>
            </w:r>
            <w:r w:rsidR="00E7309C"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>ased on RECIST 1.1 criteria assessed by CT scan</w:t>
            </w:r>
          </w:p>
        </w:tc>
      </w:tr>
      <w:tr w:rsidR="00386BA7" w:rsidRPr="009757A2" w14:paraId="5920F4A9" w14:textId="77777777" w:rsidTr="008E6D8F">
        <w:tc>
          <w:tcPr>
            <w:tcW w:w="4815" w:type="dxa"/>
            <w:shd w:val="clear" w:color="auto" w:fill="auto"/>
            <w:tcMar>
              <w:left w:w="83" w:type="dxa"/>
            </w:tcMar>
          </w:tcPr>
          <w:p w14:paraId="5879EEDC" w14:textId="77777777" w:rsidR="00386BA7" w:rsidRPr="008E6D8F" w:rsidRDefault="00E7309C">
            <w:pPr>
              <w:widowControl w:val="0"/>
              <w:suppressAutoHyphens/>
              <w:spacing w:after="0" w:line="240" w:lineRule="auto"/>
              <w:rPr>
                <w:color w:val="00000A"/>
                <w:kern w:val="2"/>
                <w:sz w:val="18"/>
                <w:szCs w:val="18"/>
                <w:lang w:val="en-US" w:eastAsia="zh-CN" w:bidi="hi-IN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 xml:space="preserve">Symptomatic brain metastases </w:t>
            </w:r>
          </w:p>
        </w:tc>
        <w:tc>
          <w:tcPr>
            <w:tcW w:w="4813" w:type="dxa"/>
            <w:shd w:val="clear" w:color="auto" w:fill="auto"/>
            <w:tcMar>
              <w:left w:w="83" w:type="dxa"/>
            </w:tcMar>
          </w:tcPr>
          <w:p w14:paraId="58CD5ACB" w14:textId="77777777" w:rsidR="00386BA7" w:rsidRPr="008E6D8F" w:rsidRDefault="00E7309C">
            <w:pPr>
              <w:widowControl w:val="0"/>
              <w:suppressAutoHyphens/>
              <w:spacing w:after="0" w:line="240" w:lineRule="auto"/>
              <w:rPr>
                <w:color w:val="00000A"/>
                <w:kern w:val="2"/>
                <w:sz w:val="18"/>
                <w:szCs w:val="18"/>
                <w:lang w:val="en-US" w:eastAsia="zh-CN" w:bidi="hi-IN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>within 6 months prior to study initiation</w:t>
            </w:r>
          </w:p>
        </w:tc>
      </w:tr>
      <w:tr w:rsidR="00386BA7" w:rsidRPr="009757A2" w14:paraId="6D41099F" w14:textId="77777777" w:rsidTr="008E6D8F">
        <w:tc>
          <w:tcPr>
            <w:tcW w:w="4815" w:type="dxa"/>
            <w:shd w:val="clear" w:color="auto" w:fill="auto"/>
            <w:tcMar>
              <w:left w:w="83" w:type="dxa"/>
            </w:tcMar>
          </w:tcPr>
          <w:p w14:paraId="6056EC35" w14:textId="79EAE88F" w:rsidR="00386BA7" w:rsidRPr="008E6D8F" w:rsidRDefault="00E7309C">
            <w:pPr>
              <w:widowControl w:val="0"/>
              <w:suppressAutoHyphens/>
              <w:spacing w:after="0" w:line="240" w:lineRule="auto"/>
              <w:rPr>
                <w:color w:val="00000A"/>
                <w:kern w:val="2"/>
                <w:sz w:val="18"/>
                <w:szCs w:val="18"/>
                <w:lang w:val="en-US" w:eastAsia="zh-CN" w:bidi="hi-IN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>Symptomatic intestinal disease</w:t>
            </w:r>
          </w:p>
        </w:tc>
        <w:tc>
          <w:tcPr>
            <w:tcW w:w="4813" w:type="dxa"/>
            <w:shd w:val="clear" w:color="auto" w:fill="auto"/>
            <w:tcMar>
              <w:left w:w="83" w:type="dxa"/>
            </w:tcMar>
          </w:tcPr>
          <w:p w14:paraId="01B08DEA" w14:textId="77777777" w:rsidR="00386BA7" w:rsidRPr="008E6D8F" w:rsidRDefault="00E7309C">
            <w:pPr>
              <w:widowControl w:val="0"/>
              <w:suppressAutoHyphens/>
              <w:spacing w:after="0" w:line="240" w:lineRule="auto"/>
              <w:rPr>
                <w:color w:val="00000A"/>
                <w:kern w:val="2"/>
                <w:sz w:val="18"/>
                <w:szCs w:val="18"/>
                <w:lang w:val="en-US" w:eastAsia="zh-CN" w:bidi="hi-IN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>Crohn disease or ulcerative colitis</w:t>
            </w:r>
          </w:p>
        </w:tc>
      </w:tr>
      <w:tr w:rsidR="00386BA7" w:rsidRPr="008E6D8F" w14:paraId="156F281E" w14:textId="77777777" w:rsidTr="008E6D8F">
        <w:tc>
          <w:tcPr>
            <w:tcW w:w="4815" w:type="dxa"/>
            <w:shd w:val="clear" w:color="auto" w:fill="auto"/>
            <w:tcMar>
              <w:left w:w="83" w:type="dxa"/>
            </w:tcMar>
          </w:tcPr>
          <w:p w14:paraId="731AFAC4" w14:textId="77777777" w:rsidR="00386BA7" w:rsidRPr="008E6D8F" w:rsidRDefault="00E7309C">
            <w:pPr>
              <w:widowControl w:val="0"/>
              <w:suppressAutoHyphens/>
              <w:spacing w:after="0" w:line="240" w:lineRule="auto"/>
              <w:rPr>
                <w:color w:val="00000A"/>
                <w:kern w:val="2"/>
                <w:sz w:val="18"/>
                <w:szCs w:val="18"/>
                <w:lang w:val="en-US" w:eastAsia="zh-CN" w:bidi="hi-IN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>Bone marrow dysplasia</w:t>
            </w:r>
          </w:p>
        </w:tc>
        <w:tc>
          <w:tcPr>
            <w:tcW w:w="4813" w:type="dxa"/>
            <w:shd w:val="clear" w:color="auto" w:fill="auto"/>
            <w:tcMar>
              <w:left w:w="83" w:type="dxa"/>
            </w:tcMar>
          </w:tcPr>
          <w:p w14:paraId="6D133899" w14:textId="77777777" w:rsidR="00386BA7" w:rsidRPr="008E6D8F" w:rsidRDefault="00386BA7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bidi="hi-IN"/>
              </w:rPr>
            </w:pPr>
          </w:p>
        </w:tc>
      </w:tr>
      <w:tr w:rsidR="00386BA7" w:rsidRPr="008E6D8F" w14:paraId="74C3FA1E" w14:textId="77777777" w:rsidTr="008E6D8F">
        <w:tc>
          <w:tcPr>
            <w:tcW w:w="4815" w:type="dxa"/>
            <w:shd w:val="clear" w:color="auto" w:fill="auto"/>
            <w:tcMar>
              <w:left w:w="83" w:type="dxa"/>
            </w:tcMar>
          </w:tcPr>
          <w:p w14:paraId="6462B4FA" w14:textId="77777777" w:rsidR="00386BA7" w:rsidRPr="008E6D8F" w:rsidRDefault="00E7309C">
            <w:pPr>
              <w:widowControl w:val="0"/>
              <w:suppressAutoHyphens/>
              <w:spacing w:after="0" w:line="240" w:lineRule="auto"/>
              <w:rPr>
                <w:color w:val="00000A"/>
                <w:kern w:val="2"/>
                <w:sz w:val="18"/>
                <w:szCs w:val="18"/>
                <w:lang w:val="en-US" w:eastAsia="zh-CN" w:bidi="hi-IN"/>
              </w:rPr>
            </w:pPr>
            <w:r w:rsidRPr="008E6D8F"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eastAsia="zh-CN" w:bidi="hi-IN"/>
              </w:rPr>
              <w:t>Uncontrolled diabetes or infection</w:t>
            </w:r>
          </w:p>
        </w:tc>
        <w:tc>
          <w:tcPr>
            <w:tcW w:w="4813" w:type="dxa"/>
            <w:shd w:val="clear" w:color="auto" w:fill="auto"/>
            <w:tcMar>
              <w:left w:w="83" w:type="dxa"/>
            </w:tcMar>
          </w:tcPr>
          <w:p w14:paraId="39C5CFDC" w14:textId="77777777" w:rsidR="00386BA7" w:rsidRPr="008E6D8F" w:rsidRDefault="00386BA7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kern w:val="2"/>
                <w:sz w:val="18"/>
                <w:szCs w:val="18"/>
                <w:lang w:val="en-US" w:bidi="hi-IN"/>
              </w:rPr>
            </w:pPr>
          </w:p>
        </w:tc>
      </w:tr>
    </w:tbl>
    <w:p w14:paraId="1D5F50E1" w14:textId="77777777" w:rsidR="00386BA7" w:rsidRPr="008E6D8F" w:rsidRDefault="00386BA7">
      <w:pPr>
        <w:widowControl w:val="0"/>
        <w:suppressAutoHyphens/>
        <w:spacing w:after="0" w:line="240" w:lineRule="auto"/>
        <w:rPr>
          <w:sz w:val="18"/>
          <w:szCs w:val="18"/>
        </w:rPr>
      </w:pPr>
    </w:p>
    <w:sectPr w:rsidR="00386BA7" w:rsidRPr="008E6D8F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BA7"/>
    <w:rsid w:val="00045112"/>
    <w:rsid w:val="00212896"/>
    <w:rsid w:val="002D68B5"/>
    <w:rsid w:val="00386BA7"/>
    <w:rsid w:val="004037ED"/>
    <w:rsid w:val="004C7B73"/>
    <w:rsid w:val="007F7F2C"/>
    <w:rsid w:val="008E6D8F"/>
    <w:rsid w:val="00947CF4"/>
    <w:rsid w:val="009757A2"/>
    <w:rsid w:val="00E7309C"/>
    <w:rsid w:val="00F2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E2E9D"/>
  <w15:docId w15:val="{9DA08C59-BB93-4773-AF50-9E16A8755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table" w:styleId="Grigliatabella">
    <w:name w:val="Table Grid"/>
    <w:basedOn w:val="Tabellanormale"/>
    <w:uiPriority w:val="39"/>
    <w:rsid w:val="009A5CDB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128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12896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7F7F2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F7F2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F7F2C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F7F2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F7F2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440</Words>
  <Characters>2510</Characters>
  <Application>Microsoft Office Word</Application>
  <DocSecurity>0</DocSecurity>
  <Lines>20</Lines>
  <Paragraphs>5</Paragraphs>
  <ScaleCrop>false</ScaleCrop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Liberini</dc:creator>
  <dc:description/>
  <cp:lastModifiedBy>Desiree' Deandreis</cp:lastModifiedBy>
  <cp:revision>5</cp:revision>
  <cp:lastPrinted>2020-06-03T13:45:00Z</cp:lastPrinted>
  <dcterms:created xsi:type="dcterms:W3CDTF">2020-12-09T14:26:00Z</dcterms:created>
  <dcterms:modified xsi:type="dcterms:W3CDTF">2021-01-20T12:29:00Z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