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B6C11" w14:textId="6C35EFC1" w:rsidR="0023072C" w:rsidRPr="00A2257D" w:rsidRDefault="00C546EC" w:rsidP="0023072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</w:pPr>
      <w:bookmarkStart w:id="0" w:name="_Hlk49176989"/>
      <w:r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>Supplementary Table 2</w:t>
      </w:r>
      <w:r w:rsidR="00A2257D" w:rsidRPr="00A2257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: Response criteria used for </w:t>
      </w:r>
      <w:r w:rsidR="00A2257D" w:rsidRPr="003A570E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vertAlign w:val="superscript"/>
          <w:lang w:val="en-US" w:eastAsia="zh-CN" w:bidi="hi-IN"/>
        </w:rPr>
        <w:t>18</w:t>
      </w:r>
      <w:r w:rsidR="00A2257D" w:rsidRPr="00A2257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F-FDG PET/CT, </w:t>
      </w:r>
      <w:r w:rsidR="00A2257D" w:rsidRPr="003A570E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vertAlign w:val="superscript"/>
          <w:lang w:val="en-US" w:eastAsia="zh-CN" w:bidi="hi-IN"/>
        </w:rPr>
        <w:t>18</w:t>
      </w:r>
      <w:r w:rsidR="00A2257D" w:rsidRPr="00A2257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>FN</w:t>
      </w:r>
      <w:r w:rsidR="00114E7F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>a</w:t>
      </w:r>
      <w:r w:rsidR="00A2257D" w:rsidRPr="00A2257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 PET/CT, </w:t>
      </w:r>
      <w:r w:rsidR="00A2257D" w:rsidRPr="003A570E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vertAlign w:val="superscript"/>
          <w:lang w:val="en-US" w:eastAsia="zh-CN" w:bidi="hi-IN"/>
        </w:rPr>
        <w:t>99</w:t>
      </w:r>
      <w:r w:rsidR="00A2257D" w:rsidRPr="00A2257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US" w:eastAsia="zh-CN" w:bidi="hi-IN"/>
        </w:rPr>
        <w:t>mTc HMPD scintigraphy, tumoral markers, bone markers and Pain.</w:t>
      </w:r>
    </w:p>
    <w:bookmarkEnd w:id="0"/>
    <w:p w14:paraId="6FDDBEB6" w14:textId="77777777" w:rsidR="00A2257D" w:rsidRPr="0023072C" w:rsidRDefault="00A2257D" w:rsidP="0023072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0"/>
          <w:szCs w:val="20"/>
          <w:lang w:val="en-US" w:eastAsia="zh-CN" w:bidi="hi-IN"/>
        </w:rPr>
      </w:pPr>
    </w:p>
    <w:tbl>
      <w:tblPr>
        <w:tblStyle w:val="Grigliatabella1"/>
        <w:tblW w:w="9200" w:type="dxa"/>
        <w:tblInd w:w="576" w:type="dxa"/>
        <w:tblCellMar>
          <w:left w:w="38" w:type="dxa"/>
        </w:tblCellMar>
        <w:tblLook w:val="04A0" w:firstRow="1" w:lastRow="0" w:firstColumn="1" w:lastColumn="0" w:noHBand="0" w:noVBand="1"/>
      </w:tblPr>
      <w:tblGrid>
        <w:gridCol w:w="1782"/>
        <w:gridCol w:w="1952"/>
        <w:gridCol w:w="5466"/>
      </w:tblGrid>
      <w:tr w:rsidR="0023072C" w:rsidRPr="0023072C" w14:paraId="22767096" w14:textId="77777777" w:rsidTr="00952C66">
        <w:trPr>
          <w:trHeight w:val="216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28EA33BF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rFonts w:eastAsia="Calibri"/>
                <w:b/>
                <w:color w:val="00000A"/>
                <w:sz w:val="20"/>
                <w:szCs w:val="20"/>
                <w:lang w:val="en-US"/>
              </w:rPr>
              <w:t>METHOD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3BCFE1F5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rFonts w:eastAsia="Calibri"/>
                <w:b/>
                <w:color w:val="00000A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311C36FE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rFonts w:eastAsia="Calibri"/>
                <w:b/>
                <w:color w:val="00000A"/>
                <w:sz w:val="20"/>
                <w:szCs w:val="20"/>
                <w:lang w:val="en-US"/>
              </w:rPr>
              <w:t>RESPONSE CRITERIA</w:t>
            </w:r>
          </w:p>
        </w:tc>
      </w:tr>
      <w:tr w:rsidR="0023072C" w:rsidRPr="00114E7F" w14:paraId="79B179CD" w14:textId="77777777" w:rsidTr="00952C66">
        <w:trPr>
          <w:trHeight w:val="2596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34C9FAD1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vertAlign w:val="superscript"/>
                <w:lang w:val="en-US"/>
              </w:rPr>
              <w:t>18</w:t>
            </w: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F-FDG PET/CT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43A7F2FA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proofErr w:type="spellStart"/>
            <w:r w:rsidRPr="0023072C">
              <w:rPr>
                <w:rFonts w:eastAsia="Calibri"/>
                <w:b/>
                <w:color w:val="00000A"/>
                <w:sz w:val="20"/>
                <w:szCs w:val="20"/>
                <w:lang w:val="en-US"/>
              </w:rPr>
              <w:t>SULpeak</w:t>
            </w:r>
            <w:proofErr w:type="spellEnd"/>
            <w:r w:rsidRPr="0023072C">
              <w:rPr>
                <w:rFonts w:eastAsia="Calibri"/>
                <w:b/>
                <w:color w:val="00000A"/>
                <w:sz w:val="20"/>
                <w:szCs w:val="20"/>
                <w:lang w:val="en-US"/>
              </w:rPr>
              <w:t xml:space="preserve"> + TLG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1CB4EF83" w14:textId="65133259" w:rsidR="0023072C" w:rsidRPr="003A570E" w:rsidRDefault="0023072C" w:rsidP="003A570E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Complete metabolic response (CMR):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complete resolution of </w:t>
            </w:r>
            <w:r w:rsidRPr="0023072C">
              <w:rPr>
                <w:bCs/>
                <w:color w:val="00000A"/>
                <w:sz w:val="20"/>
                <w:szCs w:val="20"/>
                <w:vertAlign w:val="superscript"/>
                <w:lang w:val="en-US"/>
              </w:rPr>
              <w:t>18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F-FDG uptake within measurable target lesions so that it is less than mean liver activity and indistinguishable from surrounding background blood-pool levels.</w:t>
            </w:r>
          </w:p>
          <w:p w14:paraId="339B3294" w14:textId="31034FE6" w:rsidR="0023072C" w:rsidRPr="003A570E" w:rsidRDefault="0023072C" w:rsidP="003A570E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Partial metabolic response (PMR):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reduction of minimum 30% in target measurable total tumor </w:t>
            </w:r>
            <w:proofErr w:type="spellStart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SULpeak</w:t>
            </w:r>
            <w:proofErr w:type="spellEnd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absolut</w:t>
            </w:r>
            <w:proofErr w:type="spellEnd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drop. Absolute drop in SUL must be at least 0.8</w:t>
            </w:r>
            <w:r w:rsidR="003A570E">
              <w:rPr>
                <w:bCs/>
                <w:color w:val="00000A"/>
                <w:sz w:val="20"/>
                <w:szCs w:val="20"/>
                <w:lang w:val="en-US"/>
              </w:rPr>
              <w:t xml:space="preserve">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SUL units</w:t>
            </w:r>
          </w:p>
          <w:p w14:paraId="1091FA26" w14:textId="79E06804" w:rsidR="0023072C" w:rsidRPr="003A570E" w:rsidRDefault="0023072C" w:rsidP="003A570E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Stable Disease (SD):</w:t>
            </w:r>
            <w:r w:rsidRPr="0023072C">
              <w:rPr>
                <w:color w:val="00000A"/>
                <w:sz w:val="20"/>
                <w:szCs w:val="20"/>
                <w:lang w:val="en-US"/>
              </w:rPr>
              <w:t xml:space="preserve">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not CMR, PMR, or PMD.</w:t>
            </w:r>
          </w:p>
          <w:p w14:paraId="4B36358F" w14:textId="56967EBF" w:rsidR="0023072C" w:rsidRPr="0023072C" w:rsidRDefault="0023072C" w:rsidP="003A570E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Progression (PMD): </w:t>
            </w:r>
            <w:bookmarkStart w:id="1" w:name="_GoBack1"/>
            <w:bookmarkEnd w:id="1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increase of 30 % in total </w:t>
            </w:r>
            <w:proofErr w:type="spellStart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SULpeak</w:t>
            </w:r>
            <w:proofErr w:type="spellEnd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of target lesions with 0.8 SUL unit increase from baseline scan or new FDG avid lesions or visible increase in extent of FDG tumor uptake (&gt;75% in TLG volume).</w:t>
            </w:r>
          </w:p>
        </w:tc>
      </w:tr>
      <w:tr w:rsidR="0023072C" w:rsidRPr="00114E7F" w14:paraId="54376F35" w14:textId="77777777" w:rsidTr="001247F9">
        <w:trPr>
          <w:trHeight w:val="1726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289A98EC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4DE95B7E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0C67CEBD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0572D399" w14:textId="392BF2AD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vertAlign w:val="superscript"/>
                <w:lang w:val="en-US"/>
              </w:rPr>
              <w:t>18</w:t>
            </w: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FN</w:t>
            </w:r>
            <w:r w:rsidR="00114E7F">
              <w:rPr>
                <w:b/>
                <w:color w:val="00000A"/>
                <w:sz w:val="20"/>
                <w:szCs w:val="20"/>
                <w:lang w:val="en-US"/>
              </w:rPr>
              <w:t>a</w:t>
            </w: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 PET/CT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212C4B22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3B4B13D2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4A44292B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33EC3435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proofErr w:type="spellStart"/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SUVmax</w:t>
            </w:r>
            <w:proofErr w:type="spellEnd"/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79D8660D" w14:textId="6F5EB2DB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Complete response (CR):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complete resolution of tracer uptake within measurable target lesions</w:t>
            </w:r>
          </w:p>
          <w:p w14:paraId="30D169A2" w14:textId="1F0071B9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Partial response (PR):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reduction of at least 30 % of total </w:t>
            </w:r>
            <w:proofErr w:type="spellStart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SUVmax</w:t>
            </w:r>
            <w:proofErr w:type="spellEnd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of target lesions without appearance of any new lesion.</w:t>
            </w:r>
          </w:p>
          <w:p w14:paraId="412EDF25" w14:textId="6F178AEA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Stable Disease (SD): not CR, </w:t>
            </w:r>
            <w:proofErr w:type="gramStart"/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PR</w:t>
            </w:r>
            <w:proofErr w:type="gramEnd"/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 and PD</w:t>
            </w:r>
          </w:p>
          <w:p w14:paraId="3E3361B0" w14:textId="77777777" w:rsidR="0023072C" w:rsidRPr="0023072C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Progression (PD):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increase of at least 30 % of total </w:t>
            </w:r>
            <w:proofErr w:type="spellStart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SUVmax</w:t>
            </w:r>
            <w:proofErr w:type="spellEnd"/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of target lesions or appearance of any new lesion.</w:t>
            </w:r>
          </w:p>
        </w:tc>
      </w:tr>
      <w:tr w:rsidR="0023072C" w:rsidRPr="00114E7F" w14:paraId="746553AD" w14:textId="77777777" w:rsidTr="00952C66">
        <w:trPr>
          <w:trHeight w:val="1868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6DB22F06" w14:textId="77777777" w:rsidR="0023072C" w:rsidRPr="0023072C" w:rsidRDefault="0023072C" w:rsidP="0023072C">
            <w:pPr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67C2F329" w14:textId="77777777" w:rsidR="0023072C" w:rsidRPr="0023072C" w:rsidRDefault="0023072C" w:rsidP="0023072C">
            <w:pPr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3CF76102" w14:textId="77777777" w:rsidR="0023072C" w:rsidRPr="0023072C" w:rsidRDefault="0023072C" w:rsidP="0023072C">
            <w:pPr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79515FE4" w14:textId="77777777" w:rsidR="0023072C" w:rsidRPr="0023072C" w:rsidRDefault="0023072C" w:rsidP="0023072C">
            <w:pPr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41D8A9AF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vertAlign w:val="superscript"/>
                <w:lang w:val="en-US"/>
              </w:rPr>
              <w:t>99m</w:t>
            </w: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Tc HMDP scintigraphy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2FF28228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0577FB5F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66F31FE2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181B2008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63A8A134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Visual analysis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63F27EAD" w14:textId="04281CA1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Complete response (CR):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disappearance of tracer uptake in all lesions.</w:t>
            </w:r>
          </w:p>
          <w:p w14:paraId="3D28A0CE" w14:textId="426A09DA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Partial response (PR):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significant visual reduction of</w:t>
            </w:r>
            <w:r w:rsidRPr="001247F9">
              <w:rPr>
                <w:bCs/>
                <w:color w:val="00000A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247F9" w:rsidRPr="001247F9">
              <w:rPr>
                <w:bCs/>
                <w:color w:val="00000A"/>
                <w:sz w:val="20"/>
                <w:szCs w:val="20"/>
                <w:vertAlign w:val="superscript"/>
                <w:lang w:val="en-US"/>
              </w:rPr>
              <w:t>99m</w:t>
            </w:r>
            <w:r w:rsidRPr="001247F9">
              <w:rPr>
                <w:bCs/>
                <w:color w:val="00000A"/>
                <w:sz w:val="20"/>
                <w:szCs w:val="20"/>
                <w:vertAlign w:val="superscript"/>
                <w:lang w:val="en-US"/>
              </w:rPr>
              <w:t>Tc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-HMDP uptake in at least 1 lesion without appearance of new lesion.</w:t>
            </w:r>
          </w:p>
          <w:p w14:paraId="5C667F1C" w14:textId="3167EB6A" w:rsidR="0023072C" w:rsidRPr="001247F9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Stable Disease (SD):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absence of tracer uptake modification at visual analysis within target lesions.</w:t>
            </w:r>
          </w:p>
          <w:p w14:paraId="632743EA" w14:textId="77777777" w:rsidR="0023072C" w:rsidRPr="0023072C" w:rsidRDefault="0023072C" w:rsidP="001247F9">
            <w:pPr>
              <w:jc w:val="both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Progression (PD):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>appearance of new lesions</w:t>
            </w:r>
          </w:p>
        </w:tc>
      </w:tr>
      <w:tr w:rsidR="0023072C" w:rsidRPr="00114E7F" w14:paraId="22442647" w14:textId="77777777" w:rsidTr="001247F9">
        <w:trPr>
          <w:trHeight w:val="516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6E4814B9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5E4FE73B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Thyroglobulin (ng/ml)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3A669D2C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0DA8798E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Serum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134BE487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rFonts w:eastAsia="Calibri"/>
                <w:color w:val="00000A"/>
                <w:sz w:val="20"/>
                <w:szCs w:val="20"/>
                <w:lang w:val="en-US"/>
              </w:rPr>
              <w:t xml:space="preserve">A </w:t>
            </w:r>
            <w:r w:rsidRPr="0023072C">
              <w:rPr>
                <w:rFonts w:eastAsia="Calibri"/>
                <w:bCs/>
                <w:color w:val="00000A"/>
                <w:sz w:val="20"/>
                <w:szCs w:val="20"/>
                <w:lang w:val="en-US"/>
              </w:rPr>
              <w:t xml:space="preserve">reduction ≥ 50 % was considered as significant </w:t>
            </w:r>
          </w:p>
          <w:p w14:paraId="618ABB66" w14:textId="77777777" w:rsidR="0023072C" w:rsidRPr="0023072C" w:rsidRDefault="0023072C" w:rsidP="0023072C">
            <w:pPr>
              <w:rPr>
                <w:b/>
                <w:color w:val="00000A"/>
                <w:sz w:val="20"/>
                <w:szCs w:val="20"/>
                <w:lang w:val="en-US"/>
              </w:rPr>
            </w:pPr>
          </w:p>
        </w:tc>
      </w:tr>
      <w:tr w:rsidR="0023072C" w:rsidRPr="00114E7F" w14:paraId="0B330B47" w14:textId="77777777" w:rsidTr="00952C66">
        <w:trPr>
          <w:trHeight w:val="768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2B7D2CB0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7C282CEE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Total ALP, </w:t>
            </w:r>
            <w:proofErr w:type="spellStart"/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bALP</w:t>
            </w:r>
            <w:proofErr w:type="spellEnd"/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2C50B43A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2F1EE206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>Serum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4ED1C88F" w14:textId="65D75420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rFonts w:eastAsia="Calibri"/>
                <w:color w:val="00000A"/>
                <w:sz w:val="20"/>
                <w:szCs w:val="20"/>
                <w:lang w:val="en-US"/>
              </w:rPr>
              <w:t xml:space="preserve">A </w:t>
            </w:r>
            <w:r w:rsidRPr="0023072C">
              <w:rPr>
                <w:rFonts w:eastAsia="Calibri"/>
                <w:bCs/>
                <w:color w:val="00000A"/>
                <w:sz w:val="20"/>
                <w:szCs w:val="20"/>
                <w:lang w:val="en-US"/>
              </w:rPr>
              <w:t xml:space="preserve">reduction ≥ 30 </w:t>
            </w:r>
            <w:proofErr w:type="gramStart"/>
            <w:r w:rsidRPr="0023072C">
              <w:rPr>
                <w:rFonts w:eastAsia="Calibri"/>
                <w:bCs/>
                <w:color w:val="00000A"/>
                <w:sz w:val="20"/>
                <w:szCs w:val="20"/>
                <w:lang w:val="en-US"/>
              </w:rPr>
              <w:t>% ,</w:t>
            </w:r>
            <w:proofErr w:type="gramEnd"/>
            <w:r w:rsidR="001247F9">
              <w:rPr>
                <w:rFonts w:eastAsia="Calibri"/>
                <w:bCs/>
                <w:color w:val="00000A"/>
                <w:sz w:val="20"/>
                <w:szCs w:val="20"/>
                <w:lang w:val="en-US"/>
              </w:rPr>
              <w:t xml:space="preserve">  </w:t>
            </w:r>
            <w:r w:rsidRPr="0023072C">
              <w:rPr>
                <w:rFonts w:eastAsia="Calibri"/>
                <w:bCs/>
                <w:color w:val="00000A"/>
                <w:sz w:val="20"/>
                <w:szCs w:val="20"/>
                <w:lang w:val="en-US"/>
              </w:rPr>
              <w:t xml:space="preserve">confirmed 4 weeks later, was considered as significant </w:t>
            </w:r>
          </w:p>
          <w:p w14:paraId="6108019F" w14:textId="77777777" w:rsidR="0023072C" w:rsidRPr="0023072C" w:rsidRDefault="0023072C" w:rsidP="0023072C">
            <w:pPr>
              <w:rPr>
                <w:bCs/>
                <w:color w:val="00000A"/>
                <w:sz w:val="20"/>
                <w:szCs w:val="20"/>
                <w:lang w:val="en-US"/>
              </w:rPr>
            </w:pPr>
          </w:p>
        </w:tc>
      </w:tr>
      <w:tr w:rsidR="0023072C" w:rsidRPr="00114E7F" w14:paraId="21ABE27F" w14:textId="77777777" w:rsidTr="00952C66">
        <w:trPr>
          <w:trHeight w:val="453"/>
        </w:trPr>
        <w:tc>
          <w:tcPr>
            <w:tcW w:w="1782" w:type="dxa"/>
            <w:shd w:val="clear" w:color="auto" w:fill="auto"/>
            <w:tcMar>
              <w:left w:w="38" w:type="dxa"/>
            </w:tcMar>
          </w:tcPr>
          <w:p w14:paraId="40446674" w14:textId="77777777" w:rsidR="0023072C" w:rsidRPr="0023072C" w:rsidRDefault="0023072C" w:rsidP="0023072C">
            <w:pPr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</w:p>
          <w:p w14:paraId="1B1B4ACE" w14:textId="77777777" w:rsidR="0023072C" w:rsidRPr="0023072C" w:rsidRDefault="0023072C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color w:val="00000A"/>
                <w:sz w:val="20"/>
                <w:szCs w:val="20"/>
                <w:lang w:val="en-US"/>
              </w:rPr>
              <w:t xml:space="preserve">PAIN </w:t>
            </w:r>
          </w:p>
        </w:tc>
        <w:tc>
          <w:tcPr>
            <w:tcW w:w="1952" w:type="dxa"/>
            <w:shd w:val="clear" w:color="auto" w:fill="auto"/>
            <w:tcMar>
              <w:left w:w="38" w:type="dxa"/>
            </w:tcMar>
          </w:tcPr>
          <w:p w14:paraId="01119270" w14:textId="1A09E643" w:rsidR="0023072C" w:rsidRPr="0043398D" w:rsidRDefault="0043398D" w:rsidP="0023072C">
            <w:pPr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43398D">
              <w:rPr>
                <w:b/>
                <w:color w:val="FF0000"/>
                <w:sz w:val="20"/>
                <w:szCs w:val="20"/>
                <w:lang w:val="en-US"/>
              </w:rPr>
              <w:t>Numerical Visual Analogue Pain Scale</w:t>
            </w:r>
          </w:p>
          <w:p w14:paraId="1A2B7EBF" w14:textId="7ADCDB4E" w:rsidR="0023072C" w:rsidRPr="0023072C" w:rsidRDefault="0043398D" w:rsidP="0023072C">
            <w:pPr>
              <w:jc w:val="center"/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43398D">
              <w:rPr>
                <w:b/>
                <w:color w:val="FF0000"/>
                <w:sz w:val="20"/>
                <w:szCs w:val="20"/>
                <w:lang w:val="en-US"/>
              </w:rPr>
              <w:t xml:space="preserve">rating from </w:t>
            </w:r>
            <w:r w:rsidR="0023072C" w:rsidRPr="0043398D">
              <w:rPr>
                <w:b/>
                <w:color w:val="FF0000"/>
                <w:sz w:val="20"/>
                <w:szCs w:val="20"/>
                <w:lang w:val="en-US"/>
              </w:rPr>
              <w:t xml:space="preserve">0-to-10 </w:t>
            </w:r>
          </w:p>
        </w:tc>
        <w:tc>
          <w:tcPr>
            <w:tcW w:w="5466" w:type="dxa"/>
            <w:shd w:val="clear" w:color="auto" w:fill="auto"/>
            <w:tcMar>
              <w:left w:w="38" w:type="dxa"/>
            </w:tcMar>
          </w:tcPr>
          <w:p w14:paraId="11AA37BD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bCs/>
                <w:color w:val="00000A"/>
                <w:sz w:val="20"/>
                <w:szCs w:val="20"/>
                <w:lang w:val="en-US"/>
              </w:rPr>
              <w:t xml:space="preserve">Complete Pain response (CPR): 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improvement ≥50% </w:t>
            </w:r>
          </w:p>
          <w:p w14:paraId="4A28FE2D" w14:textId="77777777" w:rsidR="0023072C" w:rsidRPr="0023072C" w:rsidRDefault="0023072C" w:rsidP="0023072C">
            <w:pPr>
              <w:rPr>
                <w:color w:val="00000A"/>
                <w:kern w:val="2"/>
                <w:sz w:val="20"/>
                <w:szCs w:val="20"/>
                <w:lang w:val="en-US" w:eastAsia="zh-CN" w:bidi="hi-IN"/>
              </w:rPr>
            </w:pPr>
            <w:r w:rsidRPr="0023072C">
              <w:rPr>
                <w:b/>
                <w:bCs/>
                <w:color w:val="00000A"/>
                <w:sz w:val="20"/>
                <w:szCs w:val="20"/>
                <w:lang w:val="en-US"/>
              </w:rPr>
              <w:t>Partial Pain Response (PPR):</w:t>
            </w:r>
            <w:r w:rsidRPr="0023072C">
              <w:rPr>
                <w:bCs/>
                <w:color w:val="00000A"/>
                <w:sz w:val="20"/>
                <w:szCs w:val="20"/>
                <w:lang w:val="en-US"/>
              </w:rPr>
              <w:t xml:space="preserve"> improvement ≥30% and &lt;50% of the worst pain score compared to baseline.</w:t>
            </w:r>
          </w:p>
        </w:tc>
      </w:tr>
    </w:tbl>
    <w:p w14:paraId="5A1CF1B6" w14:textId="77777777" w:rsidR="0023072C" w:rsidRPr="0023072C" w:rsidRDefault="0023072C" w:rsidP="0023072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0"/>
          <w:szCs w:val="20"/>
          <w:lang w:val="en-US" w:eastAsia="zh-CN" w:bidi="hi-IN"/>
        </w:rPr>
      </w:pPr>
    </w:p>
    <w:p w14:paraId="2371A936" w14:textId="6C24B090" w:rsidR="0023072C" w:rsidRPr="0023072C" w:rsidRDefault="0023072C" w:rsidP="0023072C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SimSun" w:hAnsi="Times New Roman" w:cs="Times New Roman"/>
          <w:color w:val="00000A"/>
          <w:kern w:val="2"/>
          <w:sz w:val="20"/>
          <w:szCs w:val="20"/>
          <w:lang w:val="en-US" w:eastAsia="zh-CN" w:bidi="hi-IN"/>
        </w:rPr>
      </w:pPr>
      <w:r w:rsidRPr="0023072C">
        <w:rPr>
          <w:rFonts w:ascii="Times New Roman" w:eastAsia="SimSun" w:hAnsi="Times New Roman" w:cs="Times New Roman"/>
          <w:color w:val="000000"/>
          <w:kern w:val="2"/>
          <w:sz w:val="20"/>
          <w:szCs w:val="20"/>
          <w:lang w:val="en-US" w:eastAsia="zh-CN" w:bidi="hi-IN"/>
        </w:rPr>
        <w:t xml:space="preserve">PET=Positron Emission Tomography; </w:t>
      </w:r>
      <w:r w:rsidR="00114E7F" w:rsidRPr="00114E7F">
        <w:rPr>
          <w:rFonts w:ascii="Times New Roman" w:eastAsia="SimSun" w:hAnsi="Times New Roman" w:cs="Times New Roman"/>
          <w:color w:val="FF0000"/>
          <w:kern w:val="2"/>
          <w:sz w:val="20"/>
          <w:szCs w:val="20"/>
          <w:lang w:val="en-US" w:eastAsia="zh-CN" w:bidi="hi-IN"/>
        </w:rPr>
        <w:t>HMPD</w:t>
      </w:r>
      <w:r w:rsidR="00114E7F" w:rsidRPr="00114E7F">
        <w:rPr>
          <w:rFonts w:ascii="Times New Roman" w:eastAsia="SimSun" w:hAnsi="Times New Roman" w:cs="Times New Roman"/>
          <w:color w:val="FF0000"/>
          <w:kern w:val="2"/>
          <w:sz w:val="20"/>
          <w:szCs w:val="20"/>
          <w:lang w:val="en-US" w:eastAsia="zh-CN" w:bidi="hi-IN"/>
        </w:rPr>
        <w:t xml:space="preserve">= </w:t>
      </w:r>
      <w:proofErr w:type="spellStart"/>
      <w:r w:rsidR="00114E7F" w:rsidRPr="00114E7F">
        <w:rPr>
          <w:rFonts w:ascii="Times New Roman" w:eastAsia="SimSun" w:hAnsi="Times New Roman" w:cs="Times New Roman"/>
          <w:color w:val="FF0000"/>
          <w:kern w:val="2"/>
          <w:sz w:val="20"/>
          <w:szCs w:val="20"/>
          <w:lang w:val="en-US" w:eastAsia="zh-CN" w:bidi="hi-IN"/>
        </w:rPr>
        <w:t>Hydroxymethylene</w:t>
      </w:r>
      <w:proofErr w:type="spellEnd"/>
      <w:r w:rsidR="00114E7F" w:rsidRPr="00114E7F">
        <w:rPr>
          <w:rFonts w:ascii="Times New Roman" w:eastAsia="SimSun" w:hAnsi="Times New Roman" w:cs="Times New Roman"/>
          <w:color w:val="FF0000"/>
          <w:kern w:val="2"/>
          <w:sz w:val="20"/>
          <w:szCs w:val="20"/>
          <w:lang w:val="en-US" w:eastAsia="zh-CN" w:bidi="hi-IN"/>
        </w:rPr>
        <w:t xml:space="preserve"> diphosphonate</w:t>
      </w:r>
      <w:r w:rsidR="00114E7F">
        <w:rPr>
          <w:rFonts w:ascii="Times New Roman" w:eastAsia="SimSun" w:hAnsi="Times New Roman" w:cs="Times New Roman"/>
          <w:color w:val="000000"/>
          <w:kern w:val="2"/>
          <w:sz w:val="20"/>
          <w:szCs w:val="20"/>
          <w:lang w:val="en-US" w:eastAsia="zh-CN" w:bidi="hi-IN"/>
        </w:rPr>
        <w:t xml:space="preserve">; </w:t>
      </w:r>
      <w:r w:rsidRPr="0023072C">
        <w:rPr>
          <w:rFonts w:ascii="Times New Roman" w:eastAsia="SimSun" w:hAnsi="Times New Roman" w:cs="Times New Roman"/>
          <w:color w:val="000000"/>
          <w:kern w:val="2"/>
          <w:sz w:val="20"/>
          <w:szCs w:val="20"/>
          <w:lang w:val="en-US" w:eastAsia="zh-CN" w:bidi="hi-IN"/>
        </w:rPr>
        <w:t xml:space="preserve">SUL=standardized uptake lean body mass; TLG= Total Lesion Glycolysis; SUV=standardized uptake value; ALP = Alkaline Phosphatase. </w:t>
      </w:r>
    </w:p>
    <w:p w14:paraId="5A754B24" w14:textId="77777777" w:rsidR="0023072C" w:rsidRPr="0023072C" w:rsidRDefault="0023072C" w:rsidP="0023072C">
      <w:pPr>
        <w:widowControl w:val="0"/>
        <w:suppressAutoHyphens/>
        <w:spacing w:after="0" w:line="240" w:lineRule="auto"/>
        <w:ind w:left="624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0"/>
          <w:szCs w:val="20"/>
          <w:lang w:val="en-US" w:eastAsia="zh-CN" w:bidi="hi-IN"/>
        </w:rPr>
      </w:pPr>
    </w:p>
    <w:p w14:paraId="60D08BB4" w14:textId="77777777" w:rsidR="006B0C8C" w:rsidRPr="0023072C" w:rsidRDefault="006B0C8C">
      <w:pPr>
        <w:rPr>
          <w:lang w:val="en-US"/>
        </w:rPr>
      </w:pPr>
    </w:p>
    <w:sectPr w:rsidR="006B0C8C" w:rsidRPr="002307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72C"/>
    <w:rsid w:val="00114E7F"/>
    <w:rsid w:val="001247F9"/>
    <w:rsid w:val="0023072C"/>
    <w:rsid w:val="002749AD"/>
    <w:rsid w:val="003A570E"/>
    <w:rsid w:val="0043398D"/>
    <w:rsid w:val="006B0C8C"/>
    <w:rsid w:val="00A2257D"/>
    <w:rsid w:val="00C5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0545"/>
  <w15:chartTrackingRefBased/>
  <w15:docId w15:val="{B0F83F10-49E2-4564-9B68-CCF86C4A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39"/>
    <w:rsid w:val="0023072C"/>
    <w:pPr>
      <w:spacing w:after="0" w:line="240" w:lineRule="auto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6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Liberini</dc:creator>
  <cp:keywords/>
  <dc:description/>
  <cp:lastModifiedBy>Desiree' Deandreis</cp:lastModifiedBy>
  <cp:revision>3</cp:revision>
  <dcterms:created xsi:type="dcterms:W3CDTF">2020-12-15T10:36:00Z</dcterms:created>
  <dcterms:modified xsi:type="dcterms:W3CDTF">2021-01-20T12:19:00Z</dcterms:modified>
</cp:coreProperties>
</file>