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3CE008" w14:textId="77777777" w:rsidR="00E11C95" w:rsidRPr="00E11C95" w:rsidRDefault="00E11C95" w:rsidP="00516A93">
      <w:pPr>
        <w:spacing w:line="360" w:lineRule="auto"/>
        <w:jc w:val="both"/>
        <w:rPr>
          <w:b/>
          <w:bCs/>
          <w:sz w:val="20"/>
          <w:szCs w:val="20"/>
          <w:lang w:val="en-US"/>
        </w:rPr>
      </w:pPr>
    </w:p>
    <w:p w14:paraId="519F64AD" w14:textId="75BAD0C2" w:rsidR="002949E9" w:rsidRDefault="00E11C95" w:rsidP="00516A93">
      <w:pPr>
        <w:spacing w:line="360" w:lineRule="auto"/>
        <w:jc w:val="both"/>
        <w:rPr>
          <w:bCs/>
          <w:sz w:val="20"/>
          <w:szCs w:val="20"/>
          <w:lang w:val="en-GB"/>
        </w:rPr>
      </w:pPr>
      <w:r>
        <w:rPr>
          <w:b/>
          <w:bCs/>
          <w:sz w:val="20"/>
          <w:szCs w:val="20"/>
          <w:lang w:val="en-GB"/>
        </w:rPr>
        <w:t xml:space="preserve">Article title </w:t>
      </w:r>
      <w:r w:rsidR="00D25CD6" w:rsidRPr="00516A93">
        <w:rPr>
          <w:bCs/>
          <w:sz w:val="20"/>
          <w:szCs w:val="20"/>
          <w:lang w:val="en-GB"/>
        </w:rPr>
        <w:t xml:space="preserve">Diagnostic performance </w:t>
      </w:r>
      <w:r w:rsidR="002949E9" w:rsidRPr="00516A93">
        <w:rPr>
          <w:bCs/>
          <w:sz w:val="20"/>
          <w:szCs w:val="20"/>
          <w:lang w:val="en-GB"/>
        </w:rPr>
        <w:t xml:space="preserve">of preoperative </w:t>
      </w:r>
      <w:r w:rsidR="006E7B5F" w:rsidRPr="00F20879">
        <w:rPr>
          <w:bCs/>
          <w:color w:val="FF0000"/>
          <w:sz w:val="20"/>
          <w:szCs w:val="20"/>
          <w:lang w:val="en-GB"/>
        </w:rPr>
        <w:t>[</w:t>
      </w:r>
      <w:r w:rsidR="006E7B5F" w:rsidRPr="00F20879">
        <w:rPr>
          <w:bCs/>
          <w:color w:val="FF0000"/>
          <w:sz w:val="20"/>
          <w:szCs w:val="20"/>
          <w:vertAlign w:val="superscript"/>
          <w:lang w:val="en-GB"/>
        </w:rPr>
        <w:t>18</w:t>
      </w:r>
      <w:proofErr w:type="gramStart"/>
      <w:r w:rsidR="006E7B5F" w:rsidRPr="00F20879">
        <w:rPr>
          <w:bCs/>
          <w:color w:val="FF0000"/>
          <w:sz w:val="20"/>
          <w:szCs w:val="20"/>
          <w:lang w:val="en-GB"/>
        </w:rPr>
        <w:t>F]FDG</w:t>
      </w:r>
      <w:proofErr w:type="gramEnd"/>
      <w:r w:rsidR="002949E9" w:rsidRPr="00516A93">
        <w:rPr>
          <w:bCs/>
          <w:sz w:val="20"/>
          <w:szCs w:val="20"/>
          <w:lang w:val="en-GB"/>
        </w:rPr>
        <w:t xml:space="preserve">-PET/CT for lymph node staging in vulvar cancer: a large </w:t>
      </w:r>
      <w:r w:rsidR="00D679C3" w:rsidRPr="00516A93">
        <w:rPr>
          <w:bCs/>
          <w:sz w:val="20"/>
          <w:szCs w:val="20"/>
          <w:lang w:val="en-GB"/>
        </w:rPr>
        <w:t>single-</w:t>
      </w:r>
      <w:r w:rsidR="00EA5375" w:rsidRPr="00516A93">
        <w:rPr>
          <w:bCs/>
          <w:sz w:val="20"/>
          <w:szCs w:val="20"/>
          <w:lang w:val="en-GB"/>
        </w:rPr>
        <w:t>centre</w:t>
      </w:r>
      <w:r w:rsidR="002949E9" w:rsidRPr="00516A93">
        <w:rPr>
          <w:bCs/>
          <w:sz w:val="20"/>
          <w:szCs w:val="20"/>
          <w:lang w:val="en-GB"/>
        </w:rPr>
        <w:t xml:space="preserve"> study</w:t>
      </w:r>
    </w:p>
    <w:p w14:paraId="41AAB7C6" w14:textId="40BE5FA3" w:rsidR="00E11C95" w:rsidRDefault="00E11C95" w:rsidP="00516A93">
      <w:pPr>
        <w:spacing w:line="360" w:lineRule="auto"/>
        <w:jc w:val="both"/>
        <w:rPr>
          <w:bCs/>
          <w:sz w:val="20"/>
          <w:szCs w:val="20"/>
          <w:lang w:val="en-GB"/>
        </w:rPr>
      </w:pPr>
      <w:proofErr w:type="gramStart"/>
      <w:r w:rsidRPr="00E11C95">
        <w:rPr>
          <w:b/>
          <w:bCs/>
          <w:sz w:val="20"/>
          <w:szCs w:val="20"/>
          <w:lang w:val="en-GB"/>
        </w:rPr>
        <w:t>Journal</w:t>
      </w:r>
      <w:proofErr w:type="gramEnd"/>
      <w:r w:rsidRPr="00E11C95">
        <w:rPr>
          <w:b/>
          <w:bCs/>
          <w:sz w:val="20"/>
          <w:szCs w:val="20"/>
          <w:lang w:val="en-GB"/>
        </w:rPr>
        <w:t xml:space="preserve"> name</w:t>
      </w:r>
      <w:r>
        <w:rPr>
          <w:bCs/>
          <w:sz w:val="20"/>
          <w:szCs w:val="20"/>
          <w:lang w:val="en-GB"/>
        </w:rPr>
        <w:t xml:space="preserve"> European Journal of Nuclear Medicine and Molecular Imaging</w:t>
      </w:r>
    </w:p>
    <w:p w14:paraId="180DC9F3" w14:textId="12126602" w:rsidR="002949E9" w:rsidRPr="00E11C95" w:rsidRDefault="00E11C95" w:rsidP="00516A93">
      <w:pPr>
        <w:spacing w:line="360" w:lineRule="auto"/>
        <w:jc w:val="both"/>
        <w:rPr>
          <w:b/>
          <w:bCs/>
          <w:sz w:val="20"/>
          <w:szCs w:val="20"/>
        </w:rPr>
      </w:pPr>
      <w:r w:rsidRPr="00E11C95">
        <w:rPr>
          <w:b/>
          <w:bCs/>
          <w:sz w:val="20"/>
          <w:szCs w:val="20"/>
        </w:rPr>
        <w:t xml:space="preserve">Author </w:t>
      </w:r>
      <w:proofErr w:type="spellStart"/>
      <w:r w:rsidRPr="00E11C95">
        <w:rPr>
          <w:b/>
          <w:bCs/>
          <w:sz w:val="20"/>
          <w:szCs w:val="20"/>
        </w:rPr>
        <w:t>names</w:t>
      </w:r>
      <w:proofErr w:type="spellEnd"/>
      <w:r w:rsidRPr="00E11C95">
        <w:rPr>
          <w:b/>
          <w:bCs/>
          <w:sz w:val="20"/>
          <w:szCs w:val="20"/>
        </w:rPr>
        <w:t xml:space="preserve"> </w:t>
      </w:r>
      <w:r w:rsidR="002949E9" w:rsidRPr="00516A93">
        <w:rPr>
          <w:color w:val="000000"/>
          <w:sz w:val="20"/>
          <w:szCs w:val="20"/>
        </w:rPr>
        <w:t xml:space="preserve">Vittoria </w:t>
      </w:r>
      <w:proofErr w:type="spellStart"/>
      <w:r w:rsidR="002949E9" w:rsidRPr="00516A93">
        <w:rPr>
          <w:color w:val="000000"/>
          <w:sz w:val="20"/>
          <w:szCs w:val="20"/>
        </w:rPr>
        <w:t>Rufini</w:t>
      </w:r>
      <w:proofErr w:type="spellEnd"/>
      <w:r w:rsidR="002949E9" w:rsidRPr="00516A93">
        <w:rPr>
          <w:sz w:val="20"/>
          <w:szCs w:val="20"/>
          <w:vertAlign w:val="superscript"/>
        </w:rPr>
        <w:t>*1,2</w:t>
      </w:r>
      <w:r w:rsidR="002949E9" w:rsidRPr="00516A93">
        <w:rPr>
          <w:color w:val="000000"/>
          <w:sz w:val="20"/>
          <w:szCs w:val="20"/>
        </w:rPr>
        <w:t xml:space="preserve"> MD and </w:t>
      </w:r>
      <w:r w:rsidR="002949E9" w:rsidRPr="00516A93">
        <w:rPr>
          <w:sz w:val="20"/>
          <w:szCs w:val="20"/>
        </w:rPr>
        <w:t xml:space="preserve">Giorgia </w:t>
      </w:r>
      <w:proofErr w:type="spellStart"/>
      <w:r w:rsidR="002949E9" w:rsidRPr="00516A93">
        <w:rPr>
          <w:sz w:val="20"/>
          <w:szCs w:val="20"/>
        </w:rPr>
        <w:t>Garganese</w:t>
      </w:r>
      <w:proofErr w:type="spellEnd"/>
      <w:r w:rsidR="002949E9" w:rsidRPr="00516A93">
        <w:rPr>
          <w:sz w:val="20"/>
          <w:szCs w:val="20"/>
          <w:vertAlign w:val="superscript"/>
        </w:rPr>
        <w:t>*3,4</w:t>
      </w:r>
      <w:r w:rsidR="002949E9" w:rsidRPr="00516A93">
        <w:rPr>
          <w:sz w:val="20"/>
          <w:szCs w:val="20"/>
        </w:rPr>
        <w:t xml:space="preserve"> MD</w:t>
      </w:r>
      <w:r w:rsidR="002949E9" w:rsidRPr="00516A93">
        <w:rPr>
          <w:color w:val="000000"/>
          <w:sz w:val="20"/>
          <w:szCs w:val="20"/>
        </w:rPr>
        <w:t>, Francesco P. Ieria</w:t>
      </w:r>
      <w:r w:rsidR="00D25CD6" w:rsidRPr="00516A93">
        <w:rPr>
          <w:color w:val="000000"/>
          <w:sz w:val="20"/>
          <w:szCs w:val="20"/>
          <w:vertAlign w:val="superscript"/>
        </w:rPr>
        <w:t>1</w:t>
      </w:r>
      <w:r w:rsidR="002949E9" w:rsidRPr="00516A93">
        <w:rPr>
          <w:color w:val="000000"/>
          <w:sz w:val="20"/>
          <w:szCs w:val="20"/>
        </w:rPr>
        <w:t xml:space="preserve"> </w:t>
      </w:r>
      <w:r w:rsidR="002949E9" w:rsidRPr="00516A93">
        <w:rPr>
          <w:sz w:val="20"/>
          <w:szCs w:val="20"/>
        </w:rPr>
        <w:t>MD, Tina Pasciuto</w:t>
      </w:r>
      <w:r w:rsidR="00C57298" w:rsidRPr="00516A93">
        <w:rPr>
          <w:sz w:val="20"/>
          <w:szCs w:val="20"/>
          <w:vertAlign w:val="superscript"/>
        </w:rPr>
        <w:t>3</w:t>
      </w:r>
      <w:r w:rsidR="002949E9" w:rsidRPr="00516A93">
        <w:rPr>
          <w:sz w:val="20"/>
          <w:szCs w:val="20"/>
          <w:vertAlign w:val="superscript"/>
        </w:rPr>
        <w:t xml:space="preserve"> </w:t>
      </w:r>
      <w:proofErr w:type="spellStart"/>
      <w:r w:rsidR="00C570CE" w:rsidRPr="00516A93">
        <w:rPr>
          <w:sz w:val="20"/>
          <w:szCs w:val="20"/>
        </w:rPr>
        <w:t>E</w:t>
      </w:r>
      <w:r w:rsidR="002949E9" w:rsidRPr="00516A93">
        <w:rPr>
          <w:sz w:val="20"/>
          <w:szCs w:val="20"/>
        </w:rPr>
        <w:t>ng</w:t>
      </w:r>
      <w:r w:rsidR="00C570CE" w:rsidRPr="00516A93">
        <w:rPr>
          <w:sz w:val="20"/>
          <w:szCs w:val="20"/>
        </w:rPr>
        <w:t>D</w:t>
      </w:r>
      <w:proofErr w:type="spellEnd"/>
      <w:r w:rsidR="00C570CE" w:rsidRPr="00516A93">
        <w:rPr>
          <w:sz w:val="20"/>
          <w:szCs w:val="20"/>
        </w:rPr>
        <w:t xml:space="preserve">, </w:t>
      </w:r>
      <w:proofErr w:type="spellStart"/>
      <w:r w:rsidR="00C570CE" w:rsidRPr="00516A93">
        <w:rPr>
          <w:sz w:val="20"/>
          <w:szCs w:val="20"/>
        </w:rPr>
        <w:t>PhD</w:t>
      </w:r>
      <w:proofErr w:type="spellEnd"/>
      <w:r w:rsidR="002949E9" w:rsidRPr="00516A93">
        <w:rPr>
          <w:sz w:val="20"/>
          <w:szCs w:val="20"/>
        </w:rPr>
        <w:t>, Simona M. Fragomeni</w:t>
      </w:r>
      <w:r w:rsidR="002949E9" w:rsidRPr="00516A93">
        <w:rPr>
          <w:sz w:val="20"/>
          <w:szCs w:val="20"/>
          <w:vertAlign w:val="superscript"/>
        </w:rPr>
        <w:t>3</w:t>
      </w:r>
      <w:r w:rsidR="002949E9" w:rsidRPr="00516A93">
        <w:rPr>
          <w:sz w:val="20"/>
          <w:szCs w:val="20"/>
        </w:rPr>
        <w:t xml:space="preserve"> MD, Benedetta Gui</w:t>
      </w:r>
      <w:r w:rsidR="00C57298" w:rsidRPr="00516A93">
        <w:rPr>
          <w:sz w:val="20"/>
          <w:szCs w:val="20"/>
          <w:vertAlign w:val="superscript"/>
        </w:rPr>
        <w:t>5</w:t>
      </w:r>
      <w:r w:rsidR="002949E9" w:rsidRPr="00516A93">
        <w:rPr>
          <w:sz w:val="20"/>
          <w:szCs w:val="20"/>
        </w:rPr>
        <w:t xml:space="preserve"> MD, </w:t>
      </w:r>
      <w:r w:rsidR="00BF39C4" w:rsidRPr="00516A93">
        <w:rPr>
          <w:sz w:val="20"/>
          <w:szCs w:val="20"/>
        </w:rPr>
        <w:t>Anita Florit</w:t>
      </w:r>
      <w:r w:rsidR="00BF39C4" w:rsidRPr="00516A93">
        <w:rPr>
          <w:sz w:val="20"/>
          <w:szCs w:val="20"/>
          <w:vertAlign w:val="superscript"/>
        </w:rPr>
        <w:t>1</w:t>
      </w:r>
      <w:r w:rsidR="00761731" w:rsidRPr="00516A93">
        <w:rPr>
          <w:sz w:val="20"/>
          <w:szCs w:val="20"/>
        </w:rPr>
        <w:t xml:space="preserve"> MD,</w:t>
      </w:r>
      <w:r w:rsidR="00BF39C4" w:rsidRPr="00516A93">
        <w:rPr>
          <w:sz w:val="20"/>
          <w:szCs w:val="20"/>
        </w:rPr>
        <w:t xml:space="preserve"> </w:t>
      </w:r>
      <w:r w:rsidR="002949E9" w:rsidRPr="00516A93">
        <w:rPr>
          <w:sz w:val="20"/>
          <w:szCs w:val="20"/>
        </w:rPr>
        <w:t>Frediano Inzani</w:t>
      </w:r>
      <w:r w:rsidR="00C57298" w:rsidRPr="00516A93">
        <w:rPr>
          <w:sz w:val="20"/>
          <w:szCs w:val="20"/>
          <w:vertAlign w:val="superscript"/>
        </w:rPr>
        <w:t>6</w:t>
      </w:r>
      <w:r w:rsidR="002949E9" w:rsidRPr="00516A93">
        <w:rPr>
          <w:sz w:val="20"/>
          <w:szCs w:val="20"/>
        </w:rPr>
        <w:t xml:space="preserve"> MD, </w:t>
      </w:r>
      <w:r w:rsidR="002949E9" w:rsidRPr="00516A93">
        <w:rPr>
          <w:rFonts w:eastAsiaTheme="minorHAnsi"/>
          <w:bCs/>
          <w:sz w:val="20"/>
          <w:szCs w:val="20"/>
          <w:lang w:eastAsia="en-US"/>
        </w:rPr>
        <w:t>Gian</w:t>
      </w:r>
      <w:r w:rsidR="001F20F9" w:rsidRPr="00516A93">
        <w:rPr>
          <w:rFonts w:eastAsiaTheme="minorHAnsi"/>
          <w:bCs/>
          <w:sz w:val="20"/>
          <w:szCs w:val="20"/>
          <w:lang w:eastAsia="en-US"/>
        </w:rPr>
        <w:t xml:space="preserve"> F</w:t>
      </w:r>
      <w:r w:rsidR="002949E9" w:rsidRPr="00516A93">
        <w:rPr>
          <w:rFonts w:eastAsiaTheme="minorHAnsi"/>
          <w:bCs/>
          <w:sz w:val="20"/>
          <w:szCs w:val="20"/>
          <w:lang w:eastAsia="en-US"/>
        </w:rPr>
        <w:t>ranco</w:t>
      </w:r>
      <w:r w:rsidR="002949E9" w:rsidRPr="00516A93">
        <w:rPr>
          <w:sz w:val="20"/>
          <w:szCs w:val="20"/>
        </w:rPr>
        <w:t xml:space="preserve"> Zannoni</w:t>
      </w:r>
      <w:r w:rsidR="00C57298" w:rsidRPr="00516A93">
        <w:rPr>
          <w:sz w:val="20"/>
          <w:szCs w:val="20"/>
          <w:vertAlign w:val="superscript"/>
        </w:rPr>
        <w:t>6</w:t>
      </w:r>
      <w:r w:rsidR="002949E9" w:rsidRPr="00516A93">
        <w:rPr>
          <w:sz w:val="20"/>
          <w:szCs w:val="20"/>
          <w:vertAlign w:val="superscript"/>
        </w:rPr>
        <w:t>,</w:t>
      </w:r>
      <w:r w:rsidR="00C57298" w:rsidRPr="00516A93">
        <w:rPr>
          <w:sz w:val="20"/>
          <w:szCs w:val="20"/>
          <w:vertAlign w:val="superscript"/>
        </w:rPr>
        <w:t>7</w:t>
      </w:r>
      <w:r w:rsidR="002949E9" w:rsidRPr="00516A93">
        <w:rPr>
          <w:sz w:val="20"/>
          <w:szCs w:val="20"/>
        </w:rPr>
        <w:t xml:space="preserve"> MD, Giovanni Scambia</w:t>
      </w:r>
      <w:r w:rsidR="002949E9" w:rsidRPr="00516A93">
        <w:rPr>
          <w:sz w:val="20"/>
          <w:szCs w:val="20"/>
          <w:vertAlign w:val="superscript"/>
        </w:rPr>
        <w:t>3,</w:t>
      </w:r>
      <w:r w:rsidR="00C57298" w:rsidRPr="00516A93">
        <w:rPr>
          <w:sz w:val="20"/>
          <w:szCs w:val="20"/>
          <w:vertAlign w:val="superscript"/>
        </w:rPr>
        <w:t>8</w:t>
      </w:r>
      <w:r w:rsidR="002949E9" w:rsidRPr="00516A93">
        <w:rPr>
          <w:sz w:val="20"/>
          <w:szCs w:val="20"/>
          <w:vertAlign w:val="superscript"/>
        </w:rPr>
        <w:t xml:space="preserve"> </w:t>
      </w:r>
      <w:r w:rsidR="002949E9" w:rsidRPr="00516A93">
        <w:rPr>
          <w:sz w:val="20"/>
          <w:szCs w:val="20"/>
        </w:rPr>
        <w:t>MD, Alessandro Giordano</w:t>
      </w:r>
      <w:r w:rsidR="002949E9" w:rsidRPr="00516A93">
        <w:rPr>
          <w:sz w:val="20"/>
          <w:szCs w:val="20"/>
          <w:vertAlign w:val="superscript"/>
        </w:rPr>
        <w:t>1,2</w:t>
      </w:r>
      <w:r w:rsidR="002949E9" w:rsidRPr="00516A93">
        <w:rPr>
          <w:color w:val="000000"/>
          <w:sz w:val="20"/>
          <w:szCs w:val="20"/>
        </w:rPr>
        <w:t xml:space="preserve"> </w:t>
      </w:r>
      <w:r w:rsidR="002949E9" w:rsidRPr="00516A93">
        <w:rPr>
          <w:sz w:val="20"/>
          <w:szCs w:val="20"/>
        </w:rPr>
        <w:t>MD, Angela Collarino</w:t>
      </w:r>
      <w:r w:rsidR="002949E9" w:rsidRPr="00516A93">
        <w:rPr>
          <w:sz w:val="20"/>
          <w:szCs w:val="20"/>
          <w:vertAlign w:val="superscript"/>
        </w:rPr>
        <w:t>2</w:t>
      </w:r>
      <w:r w:rsidR="002949E9" w:rsidRPr="00516A93">
        <w:rPr>
          <w:sz w:val="20"/>
          <w:szCs w:val="20"/>
        </w:rPr>
        <w:t xml:space="preserve"> </w:t>
      </w:r>
      <w:r w:rsidR="00C570CE" w:rsidRPr="00516A93">
        <w:rPr>
          <w:sz w:val="20"/>
          <w:szCs w:val="20"/>
        </w:rPr>
        <w:t xml:space="preserve">MD, </w:t>
      </w:r>
      <w:proofErr w:type="spellStart"/>
      <w:r w:rsidR="002949E9" w:rsidRPr="00516A93">
        <w:rPr>
          <w:sz w:val="20"/>
          <w:szCs w:val="20"/>
        </w:rPr>
        <w:t>PhD</w:t>
      </w:r>
      <w:proofErr w:type="spellEnd"/>
      <w:r w:rsidR="002949E9" w:rsidRPr="00516A93">
        <w:rPr>
          <w:sz w:val="20"/>
          <w:szCs w:val="20"/>
        </w:rPr>
        <w:t xml:space="preserve">. </w:t>
      </w:r>
    </w:p>
    <w:p w14:paraId="64092C7E" w14:textId="77777777" w:rsidR="002949E9" w:rsidRPr="00516A93" w:rsidRDefault="002949E9" w:rsidP="00516A93">
      <w:pPr>
        <w:autoSpaceDE w:val="0"/>
        <w:autoSpaceDN w:val="0"/>
        <w:adjustRightInd w:val="0"/>
        <w:spacing w:line="360" w:lineRule="auto"/>
        <w:jc w:val="both"/>
        <w:rPr>
          <w:sz w:val="20"/>
          <w:szCs w:val="20"/>
        </w:rPr>
      </w:pPr>
    </w:p>
    <w:p w14:paraId="0CA1C6C5" w14:textId="77777777" w:rsidR="00E90BDD" w:rsidRPr="00516A93" w:rsidRDefault="00E90BDD" w:rsidP="00516A93">
      <w:pPr>
        <w:pStyle w:val="Testodelblocco"/>
        <w:spacing w:line="360" w:lineRule="auto"/>
        <w:ind w:left="0" w:right="144" w:firstLine="0"/>
        <w:contextualSpacing/>
        <w:rPr>
          <w:b w:val="0"/>
          <w:bCs w:val="0"/>
          <w:lang w:val="en-GB"/>
        </w:rPr>
      </w:pPr>
      <w:r w:rsidRPr="00516A93">
        <w:rPr>
          <w:rFonts w:eastAsiaTheme="minorHAnsi"/>
          <w:b w:val="0"/>
          <w:vertAlign w:val="superscript"/>
          <w:lang w:val="en-GB"/>
        </w:rPr>
        <w:t xml:space="preserve">1 </w:t>
      </w:r>
      <w:r w:rsidRPr="00516A93">
        <w:rPr>
          <w:b w:val="0"/>
          <w:bCs w:val="0"/>
          <w:lang w:val="en-GB"/>
        </w:rPr>
        <w:t xml:space="preserve">Section of Nuclear Medicine, University Department of Radiological Sciences and Haematology, </w:t>
      </w:r>
      <w:proofErr w:type="spellStart"/>
      <w:r w:rsidRPr="00516A93">
        <w:rPr>
          <w:b w:val="0"/>
          <w:bCs w:val="0"/>
          <w:lang w:val="en-GB"/>
        </w:rPr>
        <w:t>Università</w:t>
      </w:r>
      <w:proofErr w:type="spellEnd"/>
      <w:r w:rsidRPr="00516A93">
        <w:rPr>
          <w:b w:val="0"/>
          <w:bCs w:val="0"/>
          <w:lang w:val="en-GB"/>
        </w:rPr>
        <w:t xml:space="preserve"> Cattolica del Sacro </w:t>
      </w:r>
      <w:proofErr w:type="spellStart"/>
      <w:r w:rsidRPr="00516A93">
        <w:rPr>
          <w:b w:val="0"/>
          <w:bCs w:val="0"/>
          <w:lang w:val="en-GB"/>
        </w:rPr>
        <w:t>Cuore</w:t>
      </w:r>
      <w:proofErr w:type="spellEnd"/>
      <w:r w:rsidRPr="00516A93">
        <w:rPr>
          <w:b w:val="0"/>
          <w:bCs w:val="0"/>
          <w:lang w:val="en-GB"/>
        </w:rPr>
        <w:t>, Rome, Italy</w:t>
      </w:r>
    </w:p>
    <w:p w14:paraId="35531CA1" w14:textId="77777777" w:rsidR="00E90BDD" w:rsidRPr="00516A93" w:rsidRDefault="00E90BDD" w:rsidP="00516A93">
      <w:pPr>
        <w:pStyle w:val="Testodelblocco"/>
        <w:spacing w:line="360" w:lineRule="auto"/>
        <w:ind w:left="0" w:right="144" w:firstLine="0"/>
        <w:contextualSpacing/>
        <w:rPr>
          <w:b w:val="0"/>
          <w:bCs w:val="0"/>
          <w:lang w:val="it-IT"/>
        </w:rPr>
      </w:pPr>
      <w:r w:rsidRPr="00516A93">
        <w:rPr>
          <w:b w:val="0"/>
          <w:bCs w:val="0"/>
          <w:vertAlign w:val="superscript"/>
          <w:lang w:val="it-IT"/>
        </w:rPr>
        <w:t>2</w:t>
      </w:r>
      <w:r w:rsidRPr="00516A93">
        <w:rPr>
          <w:b w:val="0"/>
          <w:bCs w:val="0"/>
          <w:lang w:val="it-IT"/>
        </w:rPr>
        <w:t xml:space="preserve"> Unit of </w:t>
      </w:r>
      <w:proofErr w:type="spellStart"/>
      <w:r w:rsidRPr="00516A93">
        <w:rPr>
          <w:b w:val="0"/>
          <w:bCs w:val="0"/>
          <w:lang w:val="it-IT"/>
        </w:rPr>
        <w:t>Nuclear</w:t>
      </w:r>
      <w:proofErr w:type="spellEnd"/>
      <w:r w:rsidRPr="00516A93">
        <w:rPr>
          <w:b w:val="0"/>
          <w:bCs w:val="0"/>
          <w:lang w:val="it-IT"/>
        </w:rPr>
        <w:t xml:space="preserve"> Medicine, Fondazione Policlinico Universitario </w:t>
      </w:r>
      <w:r w:rsidRPr="00516A93">
        <w:rPr>
          <w:rFonts w:eastAsia="Times New Roman"/>
          <w:b w:val="0"/>
          <w:bCs w:val="0"/>
          <w:lang w:val="it-IT" w:eastAsia="it-IT"/>
        </w:rPr>
        <w:t xml:space="preserve">A. Gemelli </w:t>
      </w:r>
      <w:r w:rsidRPr="00516A93">
        <w:rPr>
          <w:b w:val="0"/>
          <w:bCs w:val="0"/>
          <w:lang w:val="it-IT"/>
        </w:rPr>
        <w:t>IRCCS,</w:t>
      </w:r>
      <w:r w:rsidRPr="00516A93">
        <w:rPr>
          <w:rFonts w:eastAsia="Times New Roman"/>
          <w:b w:val="0"/>
          <w:bCs w:val="0"/>
          <w:lang w:val="it-IT" w:eastAsia="it-IT"/>
        </w:rPr>
        <w:t xml:space="preserve"> Rome, </w:t>
      </w:r>
      <w:proofErr w:type="spellStart"/>
      <w:r w:rsidRPr="00516A93">
        <w:rPr>
          <w:rFonts w:eastAsia="Times New Roman"/>
          <w:b w:val="0"/>
          <w:bCs w:val="0"/>
          <w:lang w:val="it-IT" w:eastAsia="it-IT"/>
        </w:rPr>
        <w:t>Italy</w:t>
      </w:r>
      <w:proofErr w:type="spellEnd"/>
    </w:p>
    <w:p w14:paraId="507E14A5" w14:textId="77777777" w:rsidR="00E90BDD" w:rsidRPr="00516A93" w:rsidRDefault="00E90BDD" w:rsidP="00516A93">
      <w:pPr>
        <w:pStyle w:val="Corpotesto"/>
        <w:spacing w:line="360" w:lineRule="auto"/>
        <w:jc w:val="both"/>
        <w:rPr>
          <w:b w:val="0"/>
          <w:sz w:val="20"/>
          <w:szCs w:val="20"/>
          <w:lang w:val="en-GB"/>
        </w:rPr>
      </w:pPr>
      <w:r w:rsidRPr="00516A93">
        <w:rPr>
          <w:b w:val="0"/>
          <w:sz w:val="20"/>
          <w:szCs w:val="20"/>
          <w:vertAlign w:val="superscript"/>
          <w:lang w:val="en-GB"/>
        </w:rPr>
        <w:t xml:space="preserve">3 </w:t>
      </w:r>
      <w:r w:rsidRPr="00516A93">
        <w:rPr>
          <w:b w:val="0"/>
          <w:sz w:val="20"/>
          <w:szCs w:val="20"/>
          <w:lang w:val="en-GB"/>
        </w:rPr>
        <w:t xml:space="preserve">Department of Woman and Child Health and Public Health, </w:t>
      </w:r>
      <w:proofErr w:type="spellStart"/>
      <w:r w:rsidRPr="00516A93">
        <w:rPr>
          <w:b w:val="0"/>
          <w:sz w:val="20"/>
          <w:szCs w:val="20"/>
          <w:lang w:val="en-GB"/>
        </w:rPr>
        <w:t>Vul.Can</w:t>
      </w:r>
      <w:proofErr w:type="spellEnd"/>
      <w:r w:rsidRPr="00516A93">
        <w:rPr>
          <w:b w:val="0"/>
          <w:sz w:val="20"/>
          <w:szCs w:val="20"/>
          <w:lang w:val="en-GB"/>
        </w:rPr>
        <w:t xml:space="preserve"> MDT, Fondazione </w:t>
      </w:r>
      <w:proofErr w:type="spellStart"/>
      <w:r w:rsidRPr="00516A93">
        <w:rPr>
          <w:b w:val="0"/>
          <w:sz w:val="20"/>
          <w:szCs w:val="20"/>
          <w:lang w:val="en-GB"/>
        </w:rPr>
        <w:t>Policlinico</w:t>
      </w:r>
      <w:proofErr w:type="spellEnd"/>
      <w:r w:rsidRPr="00516A93">
        <w:rPr>
          <w:b w:val="0"/>
          <w:sz w:val="20"/>
          <w:szCs w:val="20"/>
          <w:lang w:val="en-GB"/>
        </w:rPr>
        <w:t xml:space="preserve"> Universitario A. Gemelli IRCCS, Rome, Italy</w:t>
      </w:r>
    </w:p>
    <w:p w14:paraId="0FEAD4B6" w14:textId="77777777" w:rsidR="00E90BDD" w:rsidRPr="00516A93" w:rsidRDefault="00E90BDD" w:rsidP="00516A93">
      <w:pPr>
        <w:spacing w:line="360" w:lineRule="auto"/>
        <w:jc w:val="both"/>
        <w:rPr>
          <w:sz w:val="20"/>
          <w:szCs w:val="20"/>
          <w:lang w:val="en-GB"/>
        </w:rPr>
      </w:pPr>
      <w:r w:rsidRPr="00516A93">
        <w:rPr>
          <w:sz w:val="20"/>
          <w:szCs w:val="20"/>
          <w:vertAlign w:val="superscript"/>
          <w:lang w:val="en-GB"/>
        </w:rPr>
        <w:t xml:space="preserve">4 </w:t>
      </w:r>
      <w:proofErr w:type="spellStart"/>
      <w:r w:rsidRPr="00516A93">
        <w:rPr>
          <w:sz w:val="20"/>
          <w:szCs w:val="20"/>
          <w:lang w:val="en-GB"/>
        </w:rPr>
        <w:t>Gynecology</w:t>
      </w:r>
      <w:proofErr w:type="spellEnd"/>
      <w:r w:rsidRPr="00516A93">
        <w:rPr>
          <w:sz w:val="20"/>
          <w:szCs w:val="20"/>
          <w:lang w:val="en-GB"/>
        </w:rPr>
        <w:t xml:space="preserve"> and Breast Care </w:t>
      </w:r>
      <w:proofErr w:type="spellStart"/>
      <w:r w:rsidRPr="00516A93">
        <w:rPr>
          <w:sz w:val="20"/>
          <w:szCs w:val="20"/>
          <w:lang w:val="en-GB"/>
        </w:rPr>
        <w:t>Center</w:t>
      </w:r>
      <w:proofErr w:type="spellEnd"/>
      <w:r w:rsidRPr="00516A93">
        <w:rPr>
          <w:sz w:val="20"/>
          <w:szCs w:val="20"/>
          <w:lang w:val="en-GB"/>
        </w:rPr>
        <w:t>, Mater Olbia Hospital, Olbia, Italy</w:t>
      </w:r>
    </w:p>
    <w:p w14:paraId="7377AB63" w14:textId="44DDC3A9" w:rsidR="00E90BDD" w:rsidRPr="00516A93" w:rsidRDefault="00C57298" w:rsidP="00516A93">
      <w:pPr>
        <w:spacing w:line="360" w:lineRule="auto"/>
        <w:jc w:val="both"/>
        <w:rPr>
          <w:sz w:val="20"/>
          <w:szCs w:val="20"/>
          <w:vertAlign w:val="superscript"/>
        </w:rPr>
      </w:pPr>
      <w:r w:rsidRPr="00516A93">
        <w:rPr>
          <w:sz w:val="20"/>
          <w:szCs w:val="20"/>
          <w:vertAlign w:val="superscript"/>
        </w:rPr>
        <w:t>5</w:t>
      </w:r>
      <w:r w:rsidR="00E90BDD" w:rsidRPr="00516A93">
        <w:rPr>
          <w:sz w:val="20"/>
          <w:szCs w:val="20"/>
          <w:vertAlign w:val="superscript"/>
        </w:rPr>
        <w:t xml:space="preserve"> </w:t>
      </w:r>
      <w:r w:rsidR="00E90BDD" w:rsidRPr="00516A93">
        <w:rPr>
          <w:sz w:val="20"/>
          <w:szCs w:val="20"/>
        </w:rPr>
        <w:t xml:space="preserve">Unit of </w:t>
      </w:r>
      <w:proofErr w:type="spellStart"/>
      <w:r w:rsidR="00E90BDD" w:rsidRPr="00516A93">
        <w:rPr>
          <w:sz w:val="20"/>
          <w:szCs w:val="20"/>
        </w:rPr>
        <w:t>Radiology</w:t>
      </w:r>
      <w:proofErr w:type="spellEnd"/>
      <w:r w:rsidR="00E90BDD" w:rsidRPr="00516A93">
        <w:rPr>
          <w:sz w:val="20"/>
          <w:szCs w:val="20"/>
        </w:rPr>
        <w:t>,</w:t>
      </w:r>
      <w:r w:rsidR="00E90BDD" w:rsidRPr="00516A93">
        <w:rPr>
          <w:bCs/>
          <w:sz w:val="20"/>
          <w:szCs w:val="20"/>
        </w:rPr>
        <w:t xml:space="preserve"> Fondazione Policlinico Universitario A. Gemelli </w:t>
      </w:r>
      <w:r w:rsidR="00E90BDD" w:rsidRPr="00516A93">
        <w:rPr>
          <w:sz w:val="20"/>
          <w:szCs w:val="20"/>
        </w:rPr>
        <w:t xml:space="preserve">IRCCS, Rome, </w:t>
      </w:r>
      <w:proofErr w:type="spellStart"/>
      <w:r w:rsidR="00E90BDD" w:rsidRPr="00516A93">
        <w:rPr>
          <w:sz w:val="20"/>
          <w:szCs w:val="20"/>
        </w:rPr>
        <w:t>Italy</w:t>
      </w:r>
      <w:proofErr w:type="spellEnd"/>
      <w:r w:rsidR="00E90BDD" w:rsidRPr="00516A93">
        <w:rPr>
          <w:sz w:val="20"/>
          <w:szCs w:val="20"/>
          <w:vertAlign w:val="superscript"/>
        </w:rPr>
        <w:t xml:space="preserve"> </w:t>
      </w:r>
    </w:p>
    <w:p w14:paraId="50F6DA31" w14:textId="7D20F0B8" w:rsidR="00E90BDD" w:rsidRPr="00516A93" w:rsidRDefault="00C57298" w:rsidP="00516A93">
      <w:pPr>
        <w:spacing w:line="360" w:lineRule="auto"/>
        <w:jc w:val="both"/>
        <w:rPr>
          <w:bCs/>
          <w:sz w:val="20"/>
          <w:szCs w:val="20"/>
          <w:lang w:val="en-GB"/>
        </w:rPr>
      </w:pPr>
      <w:r w:rsidRPr="00516A93">
        <w:rPr>
          <w:sz w:val="20"/>
          <w:szCs w:val="20"/>
          <w:vertAlign w:val="superscript"/>
          <w:lang w:val="en-GB"/>
        </w:rPr>
        <w:t>6</w:t>
      </w:r>
      <w:r w:rsidR="0077096B" w:rsidRPr="00516A93">
        <w:rPr>
          <w:sz w:val="20"/>
          <w:szCs w:val="20"/>
          <w:vertAlign w:val="superscript"/>
          <w:lang w:val="en-GB"/>
        </w:rPr>
        <w:t xml:space="preserve"> </w:t>
      </w:r>
      <w:r w:rsidR="00E90BDD" w:rsidRPr="00516A93">
        <w:rPr>
          <w:sz w:val="20"/>
          <w:szCs w:val="20"/>
          <w:lang w:val="en-GB"/>
        </w:rPr>
        <w:t xml:space="preserve">Unit of </w:t>
      </w:r>
      <w:proofErr w:type="spellStart"/>
      <w:r w:rsidR="00E90BDD" w:rsidRPr="00516A93">
        <w:rPr>
          <w:sz w:val="20"/>
          <w:szCs w:val="20"/>
          <w:lang w:val="en-GB" w:eastAsia="en-GB"/>
        </w:rPr>
        <w:t>Gynecopathology</w:t>
      </w:r>
      <w:proofErr w:type="spellEnd"/>
      <w:r w:rsidR="00E90BDD" w:rsidRPr="00516A93">
        <w:rPr>
          <w:rFonts w:eastAsiaTheme="minorHAnsi"/>
          <w:bCs/>
          <w:sz w:val="20"/>
          <w:szCs w:val="20"/>
          <w:lang w:val="en-GB" w:eastAsia="en-US"/>
        </w:rPr>
        <w:t xml:space="preserve">, </w:t>
      </w:r>
      <w:r w:rsidR="00E90BDD" w:rsidRPr="00516A93">
        <w:rPr>
          <w:sz w:val="20"/>
          <w:szCs w:val="20"/>
          <w:lang w:val="en-GB"/>
        </w:rPr>
        <w:t xml:space="preserve">Department of Woman and Child Health and Public Health, </w:t>
      </w:r>
      <w:r w:rsidR="00E90BDD" w:rsidRPr="00516A93">
        <w:rPr>
          <w:bCs/>
          <w:sz w:val="20"/>
          <w:szCs w:val="20"/>
          <w:lang w:val="en-GB"/>
        </w:rPr>
        <w:t xml:space="preserve">Fondazione </w:t>
      </w:r>
      <w:proofErr w:type="spellStart"/>
      <w:r w:rsidR="00E90BDD" w:rsidRPr="00516A93">
        <w:rPr>
          <w:bCs/>
          <w:sz w:val="20"/>
          <w:szCs w:val="20"/>
          <w:lang w:val="en-GB"/>
        </w:rPr>
        <w:t>Policlinico</w:t>
      </w:r>
      <w:proofErr w:type="spellEnd"/>
      <w:r w:rsidR="00E90BDD" w:rsidRPr="00516A93">
        <w:rPr>
          <w:bCs/>
          <w:sz w:val="20"/>
          <w:szCs w:val="20"/>
          <w:lang w:val="en-GB"/>
        </w:rPr>
        <w:t xml:space="preserve"> Universitario A. Gemelli </w:t>
      </w:r>
      <w:r w:rsidR="00E90BDD" w:rsidRPr="00516A93">
        <w:rPr>
          <w:sz w:val="20"/>
          <w:szCs w:val="20"/>
          <w:lang w:val="en-GB"/>
        </w:rPr>
        <w:t>IRCCS, Rome, Italy</w:t>
      </w:r>
    </w:p>
    <w:p w14:paraId="64A353EA" w14:textId="73BFC464" w:rsidR="00C57298" w:rsidRPr="00516A93" w:rsidRDefault="00C57298" w:rsidP="00516A93">
      <w:pPr>
        <w:spacing w:line="360" w:lineRule="auto"/>
        <w:jc w:val="both"/>
        <w:rPr>
          <w:sz w:val="20"/>
          <w:szCs w:val="20"/>
          <w:lang w:val="en-GB"/>
        </w:rPr>
      </w:pPr>
      <w:r w:rsidRPr="00516A93">
        <w:rPr>
          <w:sz w:val="20"/>
          <w:szCs w:val="20"/>
          <w:vertAlign w:val="superscript"/>
          <w:lang w:val="en-GB"/>
        </w:rPr>
        <w:t>7</w:t>
      </w:r>
      <w:r w:rsidR="0077096B" w:rsidRPr="00516A93">
        <w:rPr>
          <w:sz w:val="20"/>
          <w:szCs w:val="20"/>
          <w:vertAlign w:val="superscript"/>
          <w:lang w:val="en-GB"/>
        </w:rPr>
        <w:t xml:space="preserve"> </w:t>
      </w:r>
      <w:r w:rsidR="00E90BDD" w:rsidRPr="00516A93">
        <w:rPr>
          <w:rFonts w:eastAsiaTheme="minorHAnsi"/>
          <w:bCs/>
          <w:sz w:val="20"/>
          <w:szCs w:val="20"/>
          <w:lang w:val="en-GB" w:eastAsia="en-US"/>
        </w:rPr>
        <w:t xml:space="preserve">Section of Pathology, </w:t>
      </w:r>
      <w:r w:rsidR="00E90BDD" w:rsidRPr="00516A93">
        <w:rPr>
          <w:sz w:val="20"/>
          <w:szCs w:val="20"/>
          <w:lang w:val="en-GB"/>
        </w:rPr>
        <w:t xml:space="preserve">Department of Woman and Child Health and Public Health, </w:t>
      </w:r>
      <w:proofErr w:type="spellStart"/>
      <w:r w:rsidR="00E90BDD" w:rsidRPr="00516A93">
        <w:rPr>
          <w:sz w:val="20"/>
          <w:szCs w:val="20"/>
          <w:lang w:val="en-GB"/>
        </w:rPr>
        <w:t>Università</w:t>
      </w:r>
      <w:proofErr w:type="spellEnd"/>
      <w:r w:rsidR="00E90BDD" w:rsidRPr="00516A93">
        <w:rPr>
          <w:sz w:val="20"/>
          <w:szCs w:val="20"/>
          <w:lang w:val="en-GB"/>
        </w:rPr>
        <w:t xml:space="preserve"> Cattolica del Sacro </w:t>
      </w:r>
      <w:proofErr w:type="spellStart"/>
      <w:r w:rsidR="00E90BDD" w:rsidRPr="00516A93">
        <w:rPr>
          <w:sz w:val="20"/>
          <w:szCs w:val="20"/>
          <w:lang w:val="en-GB"/>
        </w:rPr>
        <w:t>Cuore</w:t>
      </w:r>
      <w:proofErr w:type="spellEnd"/>
      <w:r w:rsidR="00E90BDD" w:rsidRPr="00516A93">
        <w:rPr>
          <w:sz w:val="20"/>
          <w:szCs w:val="20"/>
          <w:lang w:val="en-GB"/>
        </w:rPr>
        <w:t xml:space="preserve">, </w:t>
      </w:r>
    </w:p>
    <w:p w14:paraId="291D72ED" w14:textId="68D72ED8" w:rsidR="00E90BDD" w:rsidRPr="00516A93" w:rsidRDefault="00E90BDD" w:rsidP="00516A93">
      <w:pPr>
        <w:spacing w:line="360" w:lineRule="auto"/>
        <w:jc w:val="both"/>
        <w:rPr>
          <w:bCs/>
          <w:sz w:val="20"/>
          <w:szCs w:val="20"/>
          <w:lang w:val="en-GB"/>
        </w:rPr>
      </w:pPr>
      <w:r w:rsidRPr="00516A93">
        <w:rPr>
          <w:sz w:val="20"/>
          <w:szCs w:val="20"/>
          <w:lang w:val="en-GB"/>
        </w:rPr>
        <w:t>Rome, Italy</w:t>
      </w:r>
      <w:r w:rsidRPr="00516A93">
        <w:rPr>
          <w:bCs/>
          <w:sz w:val="20"/>
          <w:szCs w:val="20"/>
          <w:lang w:val="en-GB"/>
        </w:rPr>
        <w:t xml:space="preserve"> </w:t>
      </w:r>
    </w:p>
    <w:p w14:paraId="3137D8F1" w14:textId="1EDE32C8" w:rsidR="00C57298" w:rsidRPr="00516A93" w:rsidRDefault="00C57298" w:rsidP="00516A93">
      <w:pPr>
        <w:spacing w:line="360" w:lineRule="auto"/>
        <w:jc w:val="both"/>
        <w:rPr>
          <w:sz w:val="20"/>
          <w:szCs w:val="20"/>
          <w:lang w:val="en-GB"/>
        </w:rPr>
      </w:pPr>
      <w:r w:rsidRPr="00516A93">
        <w:rPr>
          <w:sz w:val="20"/>
          <w:szCs w:val="20"/>
          <w:vertAlign w:val="superscript"/>
          <w:lang w:val="en-GB"/>
        </w:rPr>
        <w:t>8</w:t>
      </w:r>
      <w:r w:rsidR="0077096B" w:rsidRPr="00516A93">
        <w:rPr>
          <w:sz w:val="20"/>
          <w:szCs w:val="20"/>
          <w:vertAlign w:val="superscript"/>
          <w:lang w:val="en-GB"/>
        </w:rPr>
        <w:t xml:space="preserve"> </w:t>
      </w:r>
      <w:r w:rsidRPr="00516A93">
        <w:rPr>
          <w:sz w:val="20"/>
          <w:szCs w:val="20"/>
          <w:lang w:val="en-GB"/>
        </w:rPr>
        <w:t xml:space="preserve">Section of Obstetrics and </w:t>
      </w:r>
      <w:proofErr w:type="spellStart"/>
      <w:r w:rsidRPr="00516A93">
        <w:rPr>
          <w:sz w:val="20"/>
          <w:szCs w:val="20"/>
          <w:lang w:val="en-GB"/>
        </w:rPr>
        <w:t>Gynecology</w:t>
      </w:r>
      <w:proofErr w:type="spellEnd"/>
      <w:r w:rsidRPr="00516A93">
        <w:rPr>
          <w:sz w:val="20"/>
          <w:szCs w:val="20"/>
          <w:lang w:val="en-GB"/>
        </w:rPr>
        <w:t xml:space="preserve">, University Department of Life Sciences and Public Health, </w:t>
      </w:r>
      <w:proofErr w:type="spellStart"/>
      <w:r w:rsidRPr="00516A93">
        <w:rPr>
          <w:sz w:val="20"/>
          <w:szCs w:val="20"/>
          <w:lang w:val="en-GB"/>
        </w:rPr>
        <w:t>Università</w:t>
      </w:r>
      <w:proofErr w:type="spellEnd"/>
      <w:r w:rsidRPr="00516A93">
        <w:rPr>
          <w:sz w:val="20"/>
          <w:szCs w:val="20"/>
          <w:lang w:val="en-GB"/>
        </w:rPr>
        <w:t xml:space="preserve"> Cattolica del Sacro </w:t>
      </w:r>
      <w:proofErr w:type="spellStart"/>
      <w:r w:rsidRPr="00516A93">
        <w:rPr>
          <w:sz w:val="20"/>
          <w:szCs w:val="20"/>
          <w:lang w:val="en-GB"/>
        </w:rPr>
        <w:t>Cuore</w:t>
      </w:r>
      <w:proofErr w:type="spellEnd"/>
      <w:r w:rsidRPr="00516A93">
        <w:rPr>
          <w:sz w:val="20"/>
          <w:szCs w:val="20"/>
          <w:lang w:val="en-GB"/>
        </w:rPr>
        <w:t>, Rome, Italy</w:t>
      </w:r>
    </w:p>
    <w:p w14:paraId="222CF175" w14:textId="77777777" w:rsidR="00C57298" w:rsidRPr="00516A93" w:rsidRDefault="00C57298" w:rsidP="00516A93">
      <w:pPr>
        <w:spacing w:line="360" w:lineRule="auto"/>
        <w:jc w:val="both"/>
        <w:rPr>
          <w:bCs/>
          <w:sz w:val="20"/>
          <w:szCs w:val="20"/>
          <w:lang w:val="en-GB"/>
        </w:rPr>
      </w:pPr>
    </w:p>
    <w:p w14:paraId="3BF03E56" w14:textId="03D2CF66" w:rsidR="00E90BDD" w:rsidRPr="00516A93" w:rsidRDefault="00E90BDD" w:rsidP="00516A93">
      <w:pPr>
        <w:autoSpaceDE w:val="0"/>
        <w:autoSpaceDN w:val="0"/>
        <w:adjustRightInd w:val="0"/>
        <w:spacing w:line="360" w:lineRule="auto"/>
        <w:jc w:val="both"/>
        <w:rPr>
          <w:sz w:val="20"/>
          <w:szCs w:val="20"/>
          <w:lang w:val="en-GB"/>
        </w:rPr>
      </w:pPr>
      <w:r w:rsidRPr="00516A93">
        <w:rPr>
          <w:sz w:val="20"/>
          <w:szCs w:val="20"/>
          <w:lang w:val="en-GB"/>
        </w:rPr>
        <w:t>*Contributed equally to this work.</w:t>
      </w:r>
    </w:p>
    <w:p w14:paraId="0A94372C" w14:textId="77777777" w:rsidR="00E90BDD" w:rsidRPr="00516A93" w:rsidRDefault="00E90BDD" w:rsidP="00516A93">
      <w:pPr>
        <w:spacing w:line="360" w:lineRule="auto"/>
        <w:jc w:val="both"/>
        <w:rPr>
          <w:rFonts w:eastAsia="Calibri"/>
          <w:sz w:val="20"/>
          <w:szCs w:val="20"/>
        </w:rPr>
      </w:pPr>
      <w:proofErr w:type="spellStart"/>
      <w:r w:rsidRPr="00516A93">
        <w:rPr>
          <w:rFonts w:eastAsia="Calibri"/>
          <w:sz w:val="20"/>
          <w:szCs w:val="20"/>
        </w:rPr>
        <w:t>Corresponding</w:t>
      </w:r>
      <w:proofErr w:type="spellEnd"/>
      <w:r w:rsidRPr="00516A93">
        <w:rPr>
          <w:rFonts w:eastAsia="Calibri"/>
          <w:sz w:val="20"/>
          <w:szCs w:val="20"/>
        </w:rPr>
        <w:t xml:space="preserve"> Author:</w:t>
      </w:r>
      <w:bookmarkStart w:id="0" w:name="_Hlk32682787"/>
    </w:p>
    <w:p w14:paraId="731542DC" w14:textId="77777777" w:rsidR="00E90BDD" w:rsidRPr="00516A93" w:rsidRDefault="00E90BDD" w:rsidP="00516A93">
      <w:pPr>
        <w:spacing w:line="360" w:lineRule="auto"/>
        <w:jc w:val="both"/>
        <w:rPr>
          <w:rFonts w:eastAsia="Calibri"/>
          <w:b/>
          <w:sz w:val="20"/>
          <w:szCs w:val="20"/>
        </w:rPr>
      </w:pPr>
      <w:r w:rsidRPr="00516A93">
        <w:rPr>
          <w:rFonts w:eastAsia="Calibri"/>
          <w:sz w:val="20"/>
          <w:szCs w:val="20"/>
        </w:rPr>
        <w:t xml:space="preserve">Prof. Vittoria </w:t>
      </w:r>
      <w:proofErr w:type="spellStart"/>
      <w:r w:rsidRPr="00516A93">
        <w:rPr>
          <w:rFonts w:eastAsia="Calibri"/>
          <w:sz w:val="20"/>
          <w:szCs w:val="20"/>
        </w:rPr>
        <w:t>Rufini</w:t>
      </w:r>
      <w:proofErr w:type="spellEnd"/>
      <w:r w:rsidRPr="00516A93">
        <w:rPr>
          <w:rFonts w:eastAsia="Calibri"/>
          <w:sz w:val="20"/>
          <w:szCs w:val="20"/>
        </w:rPr>
        <w:t xml:space="preserve">, </w:t>
      </w:r>
      <w:r w:rsidRPr="00516A93">
        <w:rPr>
          <w:sz w:val="20"/>
          <w:szCs w:val="20"/>
        </w:rPr>
        <w:t xml:space="preserve">UOC Medicina Nucleare, Fondazione Policlinico Universitario A. Gemelli IRCCS, </w:t>
      </w:r>
      <w:r w:rsidRPr="00516A93">
        <w:rPr>
          <w:rFonts w:eastAsia="Calibri"/>
          <w:sz w:val="20"/>
          <w:szCs w:val="20"/>
        </w:rPr>
        <w:t xml:space="preserve">Largo A. Gemelli, 8 - 00168 </w:t>
      </w:r>
      <w:r w:rsidRPr="00516A93">
        <w:rPr>
          <w:sz w:val="20"/>
          <w:szCs w:val="20"/>
        </w:rPr>
        <w:t>Roma, Italia</w:t>
      </w:r>
    </w:p>
    <w:p w14:paraId="11B2F4C0" w14:textId="77777777" w:rsidR="00E90BDD" w:rsidRPr="00516A93" w:rsidRDefault="00E90BDD" w:rsidP="00516A93">
      <w:pPr>
        <w:spacing w:line="360" w:lineRule="auto"/>
        <w:jc w:val="both"/>
        <w:rPr>
          <w:rStyle w:val="Collegamentoipertestuale"/>
          <w:rFonts w:eastAsia="Calibri"/>
          <w:sz w:val="20"/>
          <w:szCs w:val="20"/>
          <w:lang w:val="en-GB"/>
        </w:rPr>
      </w:pPr>
      <w:r w:rsidRPr="00516A93">
        <w:rPr>
          <w:sz w:val="20"/>
          <w:szCs w:val="20"/>
          <w:lang w:val="en-GB"/>
        </w:rPr>
        <w:t xml:space="preserve">Phone: +39.06.30154978; </w:t>
      </w:r>
      <w:r w:rsidRPr="00516A93">
        <w:rPr>
          <w:rFonts w:eastAsia="Calibri"/>
          <w:sz w:val="20"/>
          <w:szCs w:val="20"/>
          <w:lang w:val="en-GB"/>
        </w:rPr>
        <w:t xml:space="preserve">fax: +39.06.3058185; E-mail: </w:t>
      </w:r>
      <w:hyperlink r:id="rId8" w:history="1">
        <w:r w:rsidRPr="00516A93">
          <w:rPr>
            <w:rStyle w:val="Collegamentoipertestuale"/>
            <w:rFonts w:eastAsia="Calibri"/>
            <w:sz w:val="20"/>
            <w:szCs w:val="20"/>
            <w:lang w:val="en-GB"/>
          </w:rPr>
          <w:t>Vittoria.Rufini@unicatt.it</w:t>
        </w:r>
      </w:hyperlink>
      <w:bookmarkEnd w:id="0"/>
    </w:p>
    <w:p w14:paraId="319C81EA" w14:textId="6FA40EA5" w:rsidR="00E90BDD" w:rsidRPr="00516A93" w:rsidRDefault="00E90BDD" w:rsidP="00516A93">
      <w:pPr>
        <w:spacing w:line="360" w:lineRule="auto"/>
        <w:jc w:val="both"/>
        <w:rPr>
          <w:rFonts w:eastAsia="Calibri"/>
          <w:sz w:val="20"/>
          <w:szCs w:val="20"/>
          <w:lang w:val="en-GB"/>
        </w:rPr>
      </w:pPr>
      <w:r w:rsidRPr="00516A93">
        <w:rPr>
          <w:rStyle w:val="Collegamentoipertestuale"/>
          <w:rFonts w:eastAsia="Calibri"/>
          <w:sz w:val="20"/>
          <w:szCs w:val="20"/>
          <w:lang w:val="en-GB"/>
        </w:rPr>
        <w:t>ORCID: 0000-0002-1045-0633</w:t>
      </w:r>
    </w:p>
    <w:p w14:paraId="3B6345F4" w14:textId="77777777" w:rsidR="00516A93" w:rsidRDefault="00516A93" w:rsidP="00516A93">
      <w:pPr>
        <w:spacing w:line="360" w:lineRule="auto"/>
        <w:jc w:val="both"/>
        <w:rPr>
          <w:bCs/>
          <w:sz w:val="20"/>
          <w:szCs w:val="20"/>
          <w:lang w:val="en-GB"/>
        </w:rPr>
      </w:pPr>
    </w:p>
    <w:p w14:paraId="4854FF18" w14:textId="10449914" w:rsidR="00516A93" w:rsidRDefault="00516A93">
      <w:pPr>
        <w:rPr>
          <w:b/>
          <w:bCs/>
          <w:sz w:val="20"/>
          <w:lang w:val="en-GB"/>
        </w:rPr>
      </w:pPr>
      <w:r>
        <w:rPr>
          <w:b/>
          <w:bCs/>
          <w:sz w:val="20"/>
          <w:lang w:val="en-GB"/>
        </w:rPr>
        <w:br w:type="page"/>
      </w:r>
    </w:p>
    <w:p w14:paraId="32B14B7D" w14:textId="77777777" w:rsidR="00516A93" w:rsidRDefault="00516A93" w:rsidP="00D37A73">
      <w:pPr>
        <w:spacing w:line="480" w:lineRule="auto"/>
        <w:jc w:val="both"/>
        <w:rPr>
          <w:b/>
          <w:bCs/>
          <w:sz w:val="20"/>
          <w:lang w:val="en-GB"/>
        </w:rPr>
      </w:pPr>
    </w:p>
    <w:tbl>
      <w:tblPr>
        <w:tblW w:w="10240" w:type="dxa"/>
        <w:tblInd w:w="70" w:type="dxa"/>
        <w:tblCellMar>
          <w:left w:w="70" w:type="dxa"/>
          <w:right w:w="70" w:type="dxa"/>
        </w:tblCellMar>
        <w:tblLook w:val="04A0" w:firstRow="1" w:lastRow="0" w:firstColumn="1" w:lastColumn="0" w:noHBand="0" w:noVBand="1"/>
      </w:tblPr>
      <w:tblGrid>
        <w:gridCol w:w="3655"/>
        <w:gridCol w:w="1825"/>
        <w:gridCol w:w="1825"/>
        <w:gridCol w:w="1824"/>
        <w:gridCol w:w="1111"/>
      </w:tblGrid>
      <w:tr w:rsidR="00761731" w:rsidRPr="006E7B5F" w14:paraId="55FD4FE8" w14:textId="77777777" w:rsidTr="00761731">
        <w:trPr>
          <w:trHeight w:val="564"/>
          <w:tblHeader/>
        </w:trPr>
        <w:tc>
          <w:tcPr>
            <w:tcW w:w="10240" w:type="dxa"/>
            <w:gridSpan w:val="5"/>
            <w:tcBorders>
              <w:top w:val="nil"/>
              <w:left w:val="nil"/>
              <w:bottom w:val="single" w:sz="8" w:space="0" w:color="auto"/>
              <w:right w:val="nil"/>
            </w:tcBorders>
            <w:shd w:val="clear" w:color="auto" w:fill="auto"/>
            <w:vAlign w:val="bottom"/>
            <w:hideMark/>
          </w:tcPr>
          <w:p w14:paraId="6A3D8AA8" w14:textId="24F98E1F" w:rsidR="00761731" w:rsidRPr="00E11C95" w:rsidRDefault="00761731" w:rsidP="00761731">
            <w:pPr>
              <w:rPr>
                <w:sz w:val="20"/>
                <w:szCs w:val="20"/>
                <w:lang w:val="en-US"/>
              </w:rPr>
            </w:pPr>
            <w:r w:rsidRPr="00E11C95">
              <w:rPr>
                <w:b/>
                <w:bCs/>
                <w:sz w:val="20"/>
                <w:szCs w:val="20"/>
                <w:lang w:val="en-US"/>
              </w:rPr>
              <w:t>Online Resource 1</w:t>
            </w:r>
            <w:r w:rsidRPr="00E11C95">
              <w:rPr>
                <w:sz w:val="20"/>
                <w:szCs w:val="20"/>
                <w:lang w:val="en-US"/>
              </w:rPr>
              <w:t>: Diagnostic characteristics of 296 groin evaluated by PET/CT according to histopathology</w:t>
            </w:r>
          </w:p>
        </w:tc>
      </w:tr>
      <w:tr w:rsidR="00761731" w:rsidRPr="00E11C95" w14:paraId="366FE6E7" w14:textId="77777777" w:rsidTr="00761731">
        <w:trPr>
          <w:trHeight w:val="492"/>
          <w:tblHeader/>
        </w:trPr>
        <w:tc>
          <w:tcPr>
            <w:tcW w:w="3655" w:type="dxa"/>
            <w:tcBorders>
              <w:top w:val="single" w:sz="8" w:space="0" w:color="auto"/>
              <w:left w:val="nil"/>
              <w:bottom w:val="single" w:sz="8" w:space="0" w:color="auto"/>
              <w:right w:val="nil"/>
            </w:tcBorders>
            <w:shd w:val="clear" w:color="auto" w:fill="auto"/>
            <w:vAlign w:val="center"/>
            <w:hideMark/>
          </w:tcPr>
          <w:p w14:paraId="71EF614D" w14:textId="77777777" w:rsidR="00761731" w:rsidRPr="00E11C95" w:rsidRDefault="00761731" w:rsidP="00761731">
            <w:pPr>
              <w:rPr>
                <w:color w:val="000000"/>
                <w:sz w:val="20"/>
                <w:szCs w:val="20"/>
              </w:rPr>
            </w:pPr>
            <w:proofErr w:type="spellStart"/>
            <w:r w:rsidRPr="00E11C95">
              <w:rPr>
                <w:color w:val="000000"/>
                <w:sz w:val="20"/>
                <w:szCs w:val="20"/>
              </w:rPr>
              <w:t>Characteristic</w:t>
            </w:r>
            <w:proofErr w:type="spellEnd"/>
          </w:p>
        </w:tc>
        <w:tc>
          <w:tcPr>
            <w:tcW w:w="1825" w:type="dxa"/>
            <w:tcBorders>
              <w:top w:val="single" w:sz="8" w:space="0" w:color="auto"/>
              <w:left w:val="nil"/>
              <w:bottom w:val="single" w:sz="8" w:space="0" w:color="auto"/>
              <w:right w:val="nil"/>
            </w:tcBorders>
            <w:shd w:val="clear" w:color="auto" w:fill="auto"/>
            <w:vAlign w:val="center"/>
            <w:hideMark/>
          </w:tcPr>
          <w:p w14:paraId="0774C801" w14:textId="77777777" w:rsidR="00761731" w:rsidRPr="00E11C95" w:rsidRDefault="00761731" w:rsidP="00761731">
            <w:pPr>
              <w:jc w:val="center"/>
              <w:rPr>
                <w:color w:val="000000"/>
                <w:sz w:val="20"/>
                <w:szCs w:val="20"/>
              </w:rPr>
            </w:pPr>
            <w:r w:rsidRPr="00E11C95">
              <w:rPr>
                <w:color w:val="000000"/>
                <w:sz w:val="20"/>
                <w:szCs w:val="20"/>
              </w:rPr>
              <w:t xml:space="preserve">Whole </w:t>
            </w:r>
            <w:proofErr w:type="spellStart"/>
            <w:r w:rsidRPr="00E11C95">
              <w:rPr>
                <w:color w:val="000000"/>
                <w:sz w:val="20"/>
                <w:szCs w:val="20"/>
              </w:rPr>
              <w:t>study</w:t>
            </w:r>
            <w:proofErr w:type="spellEnd"/>
            <w:r w:rsidRPr="00E11C95">
              <w:rPr>
                <w:color w:val="000000"/>
                <w:sz w:val="20"/>
                <w:szCs w:val="20"/>
              </w:rPr>
              <w:t xml:space="preserve"> </w:t>
            </w:r>
            <w:proofErr w:type="spellStart"/>
            <w:r w:rsidRPr="00E11C95">
              <w:rPr>
                <w:color w:val="000000"/>
                <w:sz w:val="20"/>
                <w:szCs w:val="20"/>
              </w:rPr>
              <w:t>population</w:t>
            </w:r>
            <w:proofErr w:type="spellEnd"/>
          </w:p>
        </w:tc>
        <w:tc>
          <w:tcPr>
            <w:tcW w:w="1825" w:type="dxa"/>
            <w:tcBorders>
              <w:top w:val="single" w:sz="8" w:space="0" w:color="auto"/>
              <w:left w:val="nil"/>
              <w:bottom w:val="single" w:sz="8" w:space="0" w:color="auto"/>
              <w:right w:val="nil"/>
            </w:tcBorders>
            <w:shd w:val="clear" w:color="auto" w:fill="auto"/>
            <w:vAlign w:val="center"/>
            <w:hideMark/>
          </w:tcPr>
          <w:p w14:paraId="262979C0" w14:textId="77777777" w:rsidR="00761731" w:rsidRPr="00E11C95" w:rsidRDefault="00761731" w:rsidP="00761731">
            <w:pPr>
              <w:jc w:val="center"/>
              <w:rPr>
                <w:color w:val="000000"/>
                <w:sz w:val="20"/>
                <w:szCs w:val="20"/>
                <w:lang w:val="en-US"/>
              </w:rPr>
            </w:pPr>
            <w:r w:rsidRPr="00E11C95">
              <w:rPr>
                <w:color w:val="000000"/>
                <w:sz w:val="20"/>
                <w:szCs w:val="20"/>
                <w:lang w:val="en-US"/>
              </w:rPr>
              <w:t>Positive groin lymph nodes at histology</w:t>
            </w:r>
          </w:p>
        </w:tc>
        <w:tc>
          <w:tcPr>
            <w:tcW w:w="1824" w:type="dxa"/>
            <w:tcBorders>
              <w:top w:val="single" w:sz="8" w:space="0" w:color="auto"/>
              <w:left w:val="nil"/>
              <w:bottom w:val="single" w:sz="8" w:space="0" w:color="auto"/>
              <w:right w:val="nil"/>
            </w:tcBorders>
            <w:shd w:val="clear" w:color="auto" w:fill="auto"/>
            <w:vAlign w:val="center"/>
            <w:hideMark/>
          </w:tcPr>
          <w:p w14:paraId="203074BF" w14:textId="77777777" w:rsidR="00761731" w:rsidRPr="00E11C95" w:rsidRDefault="00761731" w:rsidP="00761731">
            <w:pPr>
              <w:jc w:val="center"/>
              <w:rPr>
                <w:color w:val="000000"/>
                <w:sz w:val="20"/>
                <w:szCs w:val="20"/>
                <w:lang w:val="en-US"/>
              </w:rPr>
            </w:pPr>
            <w:r w:rsidRPr="00E11C95">
              <w:rPr>
                <w:color w:val="000000"/>
                <w:sz w:val="20"/>
                <w:szCs w:val="20"/>
                <w:lang w:val="en-US"/>
              </w:rPr>
              <w:t>Negative groin lymph nodes at histology</w:t>
            </w:r>
          </w:p>
        </w:tc>
        <w:tc>
          <w:tcPr>
            <w:tcW w:w="1111" w:type="dxa"/>
            <w:tcBorders>
              <w:top w:val="single" w:sz="8" w:space="0" w:color="auto"/>
              <w:left w:val="nil"/>
              <w:bottom w:val="single" w:sz="8" w:space="0" w:color="auto"/>
              <w:right w:val="nil"/>
            </w:tcBorders>
            <w:shd w:val="clear" w:color="auto" w:fill="auto"/>
            <w:vAlign w:val="center"/>
            <w:hideMark/>
          </w:tcPr>
          <w:p w14:paraId="7DFB8D7D" w14:textId="77777777" w:rsidR="00761731" w:rsidRPr="00E11C95" w:rsidRDefault="00761731" w:rsidP="00761731">
            <w:pPr>
              <w:jc w:val="center"/>
              <w:rPr>
                <w:color w:val="000000"/>
                <w:sz w:val="20"/>
                <w:szCs w:val="20"/>
              </w:rPr>
            </w:pPr>
            <w:r w:rsidRPr="00E11C95">
              <w:rPr>
                <w:color w:val="000000"/>
                <w:sz w:val="20"/>
                <w:szCs w:val="20"/>
              </w:rPr>
              <w:t xml:space="preserve">p </w:t>
            </w:r>
            <w:proofErr w:type="spellStart"/>
            <w:r w:rsidRPr="00E11C95">
              <w:rPr>
                <w:color w:val="000000"/>
                <w:sz w:val="20"/>
                <w:szCs w:val="20"/>
              </w:rPr>
              <w:t>value</w:t>
            </w:r>
            <w:proofErr w:type="spellEnd"/>
          </w:p>
        </w:tc>
      </w:tr>
      <w:tr w:rsidR="00761731" w:rsidRPr="00E11C95" w14:paraId="1E1F098E" w14:textId="77777777" w:rsidTr="00761731">
        <w:trPr>
          <w:trHeight w:val="240"/>
        </w:trPr>
        <w:tc>
          <w:tcPr>
            <w:tcW w:w="3655" w:type="dxa"/>
            <w:tcBorders>
              <w:top w:val="nil"/>
              <w:left w:val="nil"/>
              <w:bottom w:val="nil"/>
              <w:right w:val="nil"/>
            </w:tcBorders>
            <w:shd w:val="clear" w:color="auto" w:fill="auto"/>
            <w:vAlign w:val="center"/>
            <w:hideMark/>
          </w:tcPr>
          <w:p w14:paraId="7DF9F45F" w14:textId="77777777" w:rsidR="00761731" w:rsidRPr="00E11C95" w:rsidRDefault="00761731" w:rsidP="00761731">
            <w:pPr>
              <w:rPr>
                <w:b/>
                <w:bCs/>
                <w:color w:val="000000"/>
                <w:sz w:val="20"/>
                <w:szCs w:val="20"/>
              </w:rPr>
            </w:pPr>
            <w:proofErr w:type="spellStart"/>
            <w:r w:rsidRPr="00E11C95">
              <w:rPr>
                <w:b/>
                <w:bCs/>
                <w:color w:val="000000"/>
                <w:sz w:val="20"/>
                <w:szCs w:val="20"/>
              </w:rPr>
              <w:t>All</w:t>
            </w:r>
            <w:proofErr w:type="spellEnd"/>
            <w:r w:rsidRPr="00E11C95">
              <w:rPr>
                <w:b/>
                <w:bCs/>
                <w:color w:val="000000"/>
                <w:sz w:val="20"/>
                <w:szCs w:val="20"/>
              </w:rPr>
              <w:t xml:space="preserve"> </w:t>
            </w:r>
            <w:proofErr w:type="spellStart"/>
            <w:r w:rsidRPr="00E11C95">
              <w:rPr>
                <w:b/>
                <w:bCs/>
                <w:color w:val="000000"/>
                <w:sz w:val="20"/>
                <w:szCs w:val="20"/>
              </w:rPr>
              <w:t>cases</w:t>
            </w:r>
            <w:proofErr w:type="spellEnd"/>
          </w:p>
        </w:tc>
        <w:tc>
          <w:tcPr>
            <w:tcW w:w="1825" w:type="dxa"/>
            <w:tcBorders>
              <w:top w:val="nil"/>
              <w:left w:val="nil"/>
              <w:bottom w:val="nil"/>
              <w:right w:val="nil"/>
            </w:tcBorders>
            <w:shd w:val="clear" w:color="auto" w:fill="auto"/>
            <w:vAlign w:val="center"/>
            <w:hideMark/>
          </w:tcPr>
          <w:p w14:paraId="7920D326" w14:textId="77777777" w:rsidR="00761731" w:rsidRPr="00E11C95" w:rsidRDefault="00761731" w:rsidP="00761731">
            <w:pPr>
              <w:jc w:val="center"/>
              <w:rPr>
                <w:color w:val="000000"/>
                <w:sz w:val="20"/>
                <w:szCs w:val="20"/>
              </w:rPr>
            </w:pPr>
            <w:r w:rsidRPr="00E11C95">
              <w:rPr>
                <w:color w:val="000000"/>
                <w:sz w:val="20"/>
                <w:szCs w:val="20"/>
              </w:rPr>
              <w:t>n=296</w:t>
            </w:r>
          </w:p>
        </w:tc>
        <w:tc>
          <w:tcPr>
            <w:tcW w:w="1825" w:type="dxa"/>
            <w:tcBorders>
              <w:top w:val="nil"/>
              <w:left w:val="nil"/>
              <w:bottom w:val="nil"/>
              <w:right w:val="nil"/>
            </w:tcBorders>
            <w:shd w:val="clear" w:color="auto" w:fill="auto"/>
            <w:vAlign w:val="center"/>
            <w:hideMark/>
          </w:tcPr>
          <w:p w14:paraId="7B5155B5" w14:textId="77777777" w:rsidR="00761731" w:rsidRPr="00E11C95" w:rsidRDefault="00761731" w:rsidP="00761731">
            <w:pPr>
              <w:jc w:val="center"/>
              <w:rPr>
                <w:color w:val="000000"/>
                <w:sz w:val="20"/>
                <w:szCs w:val="20"/>
              </w:rPr>
            </w:pPr>
            <w:r w:rsidRPr="00E11C95">
              <w:rPr>
                <w:color w:val="000000"/>
                <w:sz w:val="20"/>
                <w:szCs w:val="20"/>
              </w:rPr>
              <w:t>n=90</w:t>
            </w:r>
          </w:p>
        </w:tc>
        <w:tc>
          <w:tcPr>
            <w:tcW w:w="1824" w:type="dxa"/>
            <w:tcBorders>
              <w:top w:val="nil"/>
              <w:left w:val="nil"/>
              <w:bottom w:val="nil"/>
              <w:right w:val="nil"/>
            </w:tcBorders>
            <w:shd w:val="clear" w:color="auto" w:fill="auto"/>
            <w:vAlign w:val="center"/>
            <w:hideMark/>
          </w:tcPr>
          <w:p w14:paraId="7A51F929" w14:textId="77777777" w:rsidR="00761731" w:rsidRPr="00E11C95" w:rsidRDefault="00761731" w:rsidP="00761731">
            <w:pPr>
              <w:jc w:val="center"/>
              <w:rPr>
                <w:color w:val="000000"/>
                <w:sz w:val="20"/>
                <w:szCs w:val="20"/>
              </w:rPr>
            </w:pPr>
            <w:r w:rsidRPr="00E11C95">
              <w:rPr>
                <w:color w:val="000000"/>
                <w:sz w:val="20"/>
                <w:szCs w:val="20"/>
              </w:rPr>
              <w:t>n=206</w:t>
            </w:r>
          </w:p>
        </w:tc>
        <w:tc>
          <w:tcPr>
            <w:tcW w:w="1111" w:type="dxa"/>
            <w:tcBorders>
              <w:top w:val="nil"/>
              <w:left w:val="nil"/>
              <w:bottom w:val="nil"/>
              <w:right w:val="nil"/>
            </w:tcBorders>
            <w:shd w:val="clear" w:color="auto" w:fill="auto"/>
            <w:vAlign w:val="center"/>
            <w:hideMark/>
          </w:tcPr>
          <w:p w14:paraId="35D09634" w14:textId="77777777" w:rsidR="00761731" w:rsidRPr="00E11C95" w:rsidRDefault="00761731" w:rsidP="00761731">
            <w:pPr>
              <w:jc w:val="center"/>
              <w:rPr>
                <w:color w:val="000000"/>
                <w:sz w:val="20"/>
                <w:szCs w:val="20"/>
              </w:rPr>
            </w:pPr>
          </w:p>
        </w:tc>
      </w:tr>
      <w:tr w:rsidR="00761731" w:rsidRPr="00E11C95" w14:paraId="6D00289B" w14:textId="77777777" w:rsidTr="00761731">
        <w:trPr>
          <w:trHeight w:val="480"/>
        </w:trPr>
        <w:tc>
          <w:tcPr>
            <w:tcW w:w="3655" w:type="dxa"/>
            <w:tcBorders>
              <w:top w:val="nil"/>
              <w:left w:val="nil"/>
              <w:bottom w:val="nil"/>
              <w:right w:val="nil"/>
            </w:tcBorders>
            <w:shd w:val="clear" w:color="auto" w:fill="auto"/>
            <w:vAlign w:val="center"/>
            <w:hideMark/>
          </w:tcPr>
          <w:p w14:paraId="27BE5D10" w14:textId="77777777" w:rsidR="00761731" w:rsidRPr="00E11C95" w:rsidRDefault="00761731" w:rsidP="00761731">
            <w:pPr>
              <w:rPr>
                <w:i/>
                <w:iCs/>
                <w:sz w:val="20"/>
                <w:szCs w:val="20"/>
                <w:lang w:val="en-US"/>
              </w:rPr>
            </w:pPr>
            <w:r w:rsidRPr="00E11C95">
              <w:rPr>
                <w:i/>
                <w:iCs/>
                <w:sz w:val="20"/>
                <w:szCs w:val="20"/>
                <w:lang w:val="en-US"/>
              </w:rPr>
              <w:t>Visual assessment</w:t>
            </w:r>
          </w:p>
        </w:tc>
        <w:tc>
          <w:tcPr>
            <w:tcW w:w="1825" w:type="dxa"/>
            <w:tcBorders>
              <w:top w:val="nil"/>
              <w:left w:val="nil"/>
              <w:bottom w:val="nil"/>
              <w:right w:val="nil"/>
            </w:tcBorders>
            <w:shd w:val="clear" w:color="auto" w:fill="auto"/>
            <w:noWrap/>
            <w:vAlign w:val="center"/>
            <w:hideMark/>
          </w:tcPr>
          <w:p w14:paraId="4D04E56F" w14:textId="77777777" w:rsidR="00761731" w:rsidRPr="00E11C95" w:rsidRDefault="00761731" w:rsidP="00761731">
            <w:pPr>
              <w:jc w:val="center"/>
              <w:rPr>
                <w:sz w:val="20"/>
                <w:szCs w:val="20"/>
                <w:lang w:val="en-US"/>
              </w:rPr>
            </w:pPr>
          </w:p>
        </w:tc>
        <w:tc>
          <w:tcPr>
            <w:tcW w:w="1825" w:type="dxa"/>
            <w:tcBorders>
              <w:top w:val="nil"/>
              <w:left w:val="nil"/>
              <w:bottom w:val="nil"/>
              <w:right w:val="nil"/>
            </w:tcBorders>
            <w:shd w:val="clear" w:color="auto" w:fill="auto"/>
            <w:noWrap/>
            <w:vAlign w:val="bottom"/>
            <w:hideMark/>
          </w:tcPr>
          <w:p w14:paraId="4FE2BD1F" w14:textId="77777777" w:rsidR="00761731" w:rsidRPr="00E11C95" w:rsidRDefault="00761731" w:rsidP="00761731">
            <w:pPr>
              <w:rPr>
                <w:sz w:val="20"/>
                <w:szCs w:val="20"/>
                <w:lang w:val="en-US"/>
              </w:rPr>
            </w:pPr>
          </w:p>
        </w:tc>
        <w:tc>
          <w:tcPr>
            <w:tcW w:w="1824" w:type="dxa"/>
            <w:tcBorders>
              <w:top w:val="nil"/>
              <w:left w:val="nil"/>
              <w:bottom w:val="nil"/>
              <w:right w:val="nil"/>
            </w:tcBorders>
            <w:shd w:val="clear" w:color="auto" w:fill="auto"/>
            <w:noWrap/>
            <w:vAlign w:val="bottom"/>
            <w:hideMark/>
          </w:tcPr>
          <w:p w14:paraId="487E3A62" w14:textId="77777777" w:rsidR="00761731" w:rsidRPr="00E11C95" w:rsidRDefault="00761731" w:rsidP="00761731">
            <w:pPr>
              <w:rPr>
                <w:sz w:val="20"/>
                <w:szCs w:val="20"/>
                <w:lang w:val="en-US"/>
              </w:rPr>
            </w:pPr>
          </w:p>
        </w:tc>
        <w:tc>
          <w:tcPr>
            <w:tcW w:w="1111" w:type="dxa"/>
            <w:tcBorders>
              <w:top w:val="nil"/>
              <w:left w:val="nil"/>
              <w:bottom w:val="nil"/>
              <w:right w:val="nil"/>
            </w:tcBorders>
            <w:shd w:val="clear" w:color="auto" w:fill="auto"/>
            <w:noWrap/>
            <w:vAlign w:val="center"/>
            <w:hideMark/>
          </w:tcPr>
          <w:p w14:paraId="2D929F90" w14:textId="77777777" w:rsidR="00761731" w:rsidRPr="00E11C95" w:rsidRDefault="00761731" w:rsidP="00761731">
            <w:pPr>
              <w:jc w:val="center"/>
              <w:rPr>
                <w:b/>
                <w:bCs/>
                <w:sz w:val="20"/>
                <w:szCs w:val="20"/>
              </w:rPr>
            </w:pPr>
            <w:r w:rsidRPr="00E11C95">
              <w:rPr>
                <w:b/>
                <w:bCs/>
                <w:sz w:val="20"/>
                <w:szCs w:val="20"/>
              </w:rPr>
              <w:t>&lt;0.0001</w:t>
            </w:r>
          </w:p>
        </w:tc>
      </w:tr>
      <w:tr w:rsidR="00761731" w:rsidRPr="00E11C95" w14:paraId="46CFD351" w14:textId="77777777" w:rsidTr="00761731">
        <w:trPr>
          <w:trHeight w:val="240"/>
        </w:trPr>
        <w:tc>
          <w:tcPr>
            <w:tcW w:w="3655" w:type="dxa"/>
            <w:tcBorders>
              <w:top w:val="nil"/>
              <w:left w:val="nil"/>
              <w:bottom w:val="nil"/>
              <w:right w:val="nil"/>
            </w:tcBorders>
            <w:shd w:val="clear" w:color="auto" w:fill="auto"/>
            <w:noWrap/>
            <w:vAlign w:val="center"/>
            <w:hideMark/>
          </w:tcPr>
          <w:p w14:paraId="3A22C595" w14:textId="77777777" w:rsidR="00761731" w:rsidRPr="00E11C95" w:rsidRDefault="00761731" w:rsidP="00761731">
            <w:pPr>
              <w:ind w:firstLineChars="100" w:firstLine="200"/>
              <w:rPr>
                <w:sz w:val="20"/>
                <w:szCs w:val="20"/>
                <w:lang w:val="en-US"/>
              </w:rPr>
            </w:pPr>
            <w:r w:rsidRPr="00E11C95">
              <w:rPr>
                <w:sz w:val="20"/>
                <w:szCs w:val="20"/>
                <w:lang w:val="en-US"/>
              </w:rPr>
              <w:t xml:space="preserve">0 </w:t>
            </w:r>
          </w:p>
        </w:tc>
        <w:tc>
          <w:tcPr>
            <w:tcW w:w="1825" w:type="dxa"/>
            <w:tcBorders>
              <w:top w:val="nil"/>
              <w:left w:val="nil"/>
              <w:bottom w:val="nil"/>
              <w:right w:val="nil"/>
            </w:tcBorders>
            <w:shd w:val="clear" w:color="auto" w:fill="auto"/>
            <w:noWrap/>
            <w:vAlign w:val="center"/>
            <w:hideMark/>
          </w:tcPr>
          <w:p w14:paraId="6302C7F5" w14:textId="77777777" w:rsidR="00761731" w:rsidRPr="00E11C95" w:rsidRDefault="00761731" w:rsidP="00761731">
            <w:pPr>
              <w:jc w:val="center"/>
              <w:rPr>
                <w:sz w:val="20"/>
                <w:szCs w:val="20"/>
              </w:rPr>
            </w:pPr>
            <w:r w:rsidRPr="00E11C95">
              <w:rPr>
                <w:sz w:val="20"/>
                <w:szCs w:val="20"/>
              </w:rPr>
              <w:t>148 (50.0)</w:t>
            </w:r>
          </w:p>
        </w:tc>
        <w:tc>
          <w:tcPr>
            <w:tcW w:w="1825" w:type="dxa"/>
            <w:tcBorders>
              <w:top w:val="nil"/>
              <w:left w:val="nil"/>
              <w:bottom w:val="nil"/>
              <w:right w:val="nil"/>
            </w:tcBorders>
            <w:shd w:val="clear" w:color="auto" w:fill="auto"/>
            <w:noWrap/>
            <w:vAlign w:val="center"/>
            <w:hideMark/>
          </w:tcPr>
          <w:p w14:paraId="7CBDF23E" w14:textId="77777777" w:rsidR="00761731" w:rsidRPr="00E11C95" w:rsidRDefault="00761731" w:rsidP="00761731">
            <w:pPr>
              <w:jc w:val="center"/>
              <w:rPr>
                <w:sz w:val="20"/>
                <w:szCs w:val="20"/>
              </w:rPr>
            </w:pPr>
            <w:r w:rsidRPr="00E11C95">
              <w:rPr>
                <w:sz w:val="20"/>
                <w:szCs w:val="20"/>
              </w:rPr>
              <w:t>13 (14.4)</w:t>
            </w:r>
          </w:p>
        </w:tc>
        <w:tc>
          <w:tcPr>
            <w:tcW w:w="1824" w:type="dxa"/>
            <w:tcBorders>
              <w:top w:val="nil"/>
              <w:left w:val="nil"/>
              <w:bottom w:val="nil"/>
              <w:right w:val="nil"/>
            </w:tcBorders>
            <w:shd w:val="clear" w:color="auto" w:fill="auto"/>
            <w:noWrap/>
            <w:vAlign w:val="center"/>
            <w:hideMark/>
          </w:tcPr>
          <w:p w14:paraId="1E033879" w14:textId="77777777" w:rsidR="00761731" w:rsidRPr="00E11C95" w:rsidRDefault="00761731" w:rsidP="00761731">
            <w:pPr>
              <w:jc w:val="center"/>
              <w:rPr>
                <w:sz w:val="20"/>
                <w:szCs w:val="20"/>
              </w:rPr>
            </w:pPr>
            <w:r w:rsidRPr="00E11C95">
              <w:rPr>
                <w:sz w:val="20"/>
                <w:szCs w:val="20"/>
              </w:rPr>
              <w:t>135 (65.5)</w:t>
            </w:r>
          </w:p>
        </w:tc>
        <w:tc>
          <w:tcPr>
            <w:tcW w:w="1111" w:type="dxa"/>
            <w:tcBorders>
              <w:top w:val="nil"/>
              <w:left w:val="nil"/>
              <w:bottom w:val="nil"/>
              <w:right w:val="nil"/>
            </w:tcBorders>
            <w:shd w:val="clear" w:color="auto" w:fill="auto"/>
            <w:noWrap/>
            <w:vAlign w:val="center"/>
            <w:hideMark/>
          </w:tcPr>
          <w:p w14:paraId="7C9A4ED9" w14:textId="77777777" w:rsidR="00761731" w:rsidRPr="00E11C95" w:rsidRDefault="00761731" w:rsidP="00761731">
            <w:pPr>
              <w:jc w:val="center"/>
              <w:rPr>
                <w:sz w:val="20"/>
                <w:szCs w:val="20"/>
              </w:rPr>
            </w:pPr>
          </w:p>
        </w:tc>
      </w:tr>
      <w:tr w:rsidR="00761731" w:rsidRPr="00E11C95" w14:paraId="6A6A6C37" w14:textId="77777777" w:rsidTr="00761731">
        <w:trPr>
          <w:trHeight w:val="240"/>
        </w:trPr>
        <w:tc>
          <w:tcPr>
            <w:tcW w:w="3655" w:type="dxa"/>
            <w:tcBorders>
              <w:top w:val="nil"/>
              <w:left w:val="nil"/>
              <w:bottom w:val="nil"/>
              <w:right w:val="nil"/>
            </w:tcBorders>
            <w:shd w:val="clear" w:color="auto" w:fill="auto"/>
            <w:noWrap/>
            <w:vAlign w:val="center"/>
            <w:hideMark/>
          </w:tcPr>
          <w:p w14:paraId="2DEAA743" w14:textId="77777777" w:rsidR="00761731" w:rsidRPr="00E11C95" w:rsidRDefault="00761731" w:rsidP="00761731">
            <w:pPr>
              <w:ind w:firstLineChars="100" w:firstLine="200"/>
              <w:rPr>
                <w:sz w:val="20"/>
                <w:szCs w:val="20"/>
                <w:lang w:val="en-US"/>
              </w:rPr>
            </w:pPr>
            <w:r w:rsidRPr="00E11C95">
              <w:rPr>
                <w:sz w:val="20"/>
                <w:szCs w:val="20"/>
                <w:lang w:val="en-US"/>
              </w:rPr>
              <w:t xml:space="preserve">1 </w:t>
            </w:r>
          </w:p>
        </w:tc>
        <w:tc>
          <w:tcPr>
            <w:tcW w:w="1825" w:type="dxa"/>
            <w:tcBorders>
              <w:top w:val="nil"/>
              <w:left w:val="nil"/>
              <w:bottom w:val="nil"/>
              <w:right w:val="nil"/>
            </w:tcBorders>
            <w:shd w:val="clear" w:color="auto" w:fill="auto"/>
            <w:noWrap/>
            <w:vAlign w:val="center"/>
            <w:hideMark/>
          </w:tcPr>
          <w:p w14:paraId="1E1F9134" w14:textId="77777777" w:rsidR="00761731" w:rsidRPr="00E11C95" w:rsidRDefault="00761731" w:rsidP="00761731">
            <w:pPr>
              <w:jc w:val="center"/>
              <w:rPr>
                <w:sz w:val="20"/>
                <w:szCs w:val="20"/>
              </w:rPr>
            </w:pPr>
            <w:r w:rsidRPr="00E11C95">
              <w:rPr>
                <w:sz w:val="20"/>
                <w:szCs w:val="20"/>
              </w:rPr>
              <w:t>63 (21.3)</w:t>
            </w:r>
          </w:p>
        </w:tc>
        <w:tc>
          <w:tcPr>
            <w:tcW w:w="1825" w:type="dxa"/>
            <w:tcBorders>
              <w:top w:val="nil"/>
              <w:left w:val="nil"/>
              <w:bottom w:val="nil"/>
              <w:right w:val="nil"/>
            </w:tcBorders>
            <w:shd w:val="clear" w:color="auto" w:fill="auto"/>
            <w:noWrap/>
            <w:vAlign w:val="center"/>
            <w:hideMark/>
          </w:tcPr>
          <w:p w14:paraId="3C1245E4" w14:textId="77777777" w:rsidR="00761731" w:rsidRPr="00E11C95" w:rsidRDefault="00761731" w:rsidP="00761731">
            <w:pPr>
              <w:jc w:val="center"/>
              <w:rPr>
                <w:sz w:val="20"/>
                <w:szCs w:val="20"/>
              </w:rPr>
            </w:pPr>
            <w:r w:rsidRPr="00E11C95">
              <w:rPr>
                <w:sz w:val="20"/>
                <w:szCs w:val="20"/>
              </w:rPr>
              <w:t>17 (18.9)</w:t>
            </w:r>
          </w:p>
        </w:tc>
        <w:tc>
          <w:tcPr>
            <w:tcW w:w="1824" w:type="dxa"/>
            <w:tcBorders>
              <w:top w:val="nil"/>
              <w:left w:val="nil"/>
              <w:bottom w:val="nil"/>
              <w:right w:val="nil"/>
            </w:tcBorders>
            <w:shd w:val="clear" w:color="auto" w:fill="auto"/>
            <w:noWrap/>
            <w:vAlign w:val="center"/>
            <w:hideMark/>
          </w:tcPr>
          <w:p w14:paraId="2410190A" w14:textId="77777777" w:rsidR="00761731" w:rsidRPr="00E11C95" w:rsidRDefault="00761731" w:rsidP="00761731">
            <w:pPr>
              <w:jc w:val="center"/>
              <w:rPr>
                <w:sz w:val="20"/>
                <w:szCs w:val="20"/>
              </w:rPr>
            </w:pPr>
            <w:r w:rsidRPr="00E11C95">
              <w:rPr>
                <w:sz w:val="20"/>
                <w:szCs w:val="20"/>
              </w:rPr>
              <w:t>46 (22.3)</w:t>
            </w:r>
          </w:p>
        </w:tc>
        <w:tc>
          <w:tcPr>
            <w:tcW w:w="1111" w:type="dxa"/>
            <w:tcBorders>
              <w:top w:val="nil"/>
              <w:left w:val="nil"/>
              <w:bottom w:val="nil"/>
              <w:right w:val="nil"/>
            </w:tcBorders>
            <w:shd w:val="clear" w:color="auto" w:fill="auto"/>
            <w:noWrap/>
            <w:vAlign w:val="center"/>
            <w:hideMark/>
          </w:tcPr>
          <w:p w14:paraId="189D6CFA" w14:textId="77777777" w:rsidR="00761731" w:rsidRPr="00E11C95" w:rsidRDefault="00761731" w:rsidP="00761731">
            <w:pPr>
              <w:jc w:val="center"/>
              <w:rPr>
                <w:sz w:val="20"/>
                <w:szCs w:val="20"/>
              </w:rPr>
            </w:pPr>
          </w:p>
        </w:tc>
      </w:tr>
      <w:tr w:rsidR="00761731" w:rsidRPr="00E11C95" w14:paraId="343DD1B0" w14:textId="77777777" w:rsidTr="00761731">
        <w:trPr>
          <w:trHeight w:val="240"/>
        </w:trPr>
        <w:tc>
          <w:tcPr>
            <w:tcW w:w="3655" w:type="dxa"/>
            <w:tcBorders>
              <w:top w:val="nil"/>
              <w:left w:val="nil"/>
              <w:bottom w:val="nil"/>
              <w:right w:val="nil"/>
            </w:tcBorders>
            <w:shd w:val="clear" w:color="auto" w:fill="auto"/>
            <w:noWrap/>
            <w:vAlign w:val="center"/>
            <w:hideMark/>
          </w:tcPr>
          <w:p w14:paraId="0FC65911" w14:textId="77777777" w:rsidR="00761731" w:rsidRPr="00E11C95" w:rsidRDefault="00761731" w:rsidP="00761731">
            <w:pPr>
              <w:ind w:firstLineChars="100" w:firstLine="200"/>
              <w:rPr>
                <w:sz w:val="20"/>
                <w:szCs w:val="20"/>
              </w:rPr>
            </w:pPr>
            <w:r w:rsidRPr="00E11C95">
              <w:rPr>
                <w:sz w:val="20"/>
                <w:szCs w:val="20"/>
              </w:rPr>
              <w:t>2</w:t>
            </w:r>
          </w:p>
        </w:tc>
        <w:tc>
          <w:tcPr>
            <w:tcW w:w="1825" w:type="dxa"/>
            <w:tcBorders>
              <w:top w:val="nil"/>
              <w:left w:val="nil"/>
              <w:bottom w:val="nil"/>
              <w:right w:val="nil"/>
            </w:tcBorders>
            <w:shd w:val="clear" w:color="auto" w:fill="auto"/>
            <w:noWrap/>
            <w:vAlign w:val="center"/>
            <w:hideMark/>
          </w:tcPr>
          <w:p w14:paraId="4753A7E8" w14:textId="77777777" w:rsidR="00761731" w:rsidRPr="00E11C95" w:rsidRDefault="00761731" w:rsidP="00761731">
            <w:pPr>
              <w:jc w:val="center"/>
              <w:rPr>
                <w:sz w:val="20"/>
                <w:szCs w:val="20"/>
              </w:rPr>
            </w:pPr>
            <w:r w:rsidRPr="00E11C95">
              <w:rPr>
                <w:sz w:val="20"/>
                <w:szCs w:val="20"/>
              </w:rPr>
              <w:t>85 (28.7)</w:t>
            </w:r>
          </w:p>
        </w:tc>
        <w:tc>
          <w:tcPr>
            <w:tcW w:w="1825" w:type="dxa"/>
            <w:tcBorders>
              <w:top w:val="nil"/>
              <w:left w:val="nil"/>
              <w:bottom w:val="nil"/>
              <w:right w:val="nil"/>
            </w:tcBorders>
            <w:shd w:val="clear" w:color="auto" w:fill="auto"/>
            <w:noWrap/>
            <w:vAlign w:val="center"/>
            <w:hideMark/>
          </w:tcPr>
          <w:p w14:paraId="6F5D5B1A" w14:textId="77777777" w:rsidR="00761731" w:rsidRPr="00E11C95" w:rsidRDefault="00761731" w:rsidP="00761731">
            <w:pPr>
              <w:jc w:val="center"/>
              <w:rPr>
                <w:sz w:val="20"/>
                <w:szCs w:val="20"/>
              </w:rPr>
            </w:pPr>
            <w:r w:rsidRPr="00E11C95">
              <w:rPr>
                <w:sz w:val="20"/>
                <w:szCs w:val="20"/>
              </w:rPr>
              <w:t>60 (66.7)</w:t>
            </w:r>
          </w:p>
        </w:tc>
        <w:tc>
          <w:tcPr>
            <w:tcW w:w="1824" w:type="dxa"/>
            <w:tcBorders>
              <w:top w:val="nil"/>
              <w:left w:val="nil"/>
              <w:bottom w:val="nil"/>
              <w:right w:val="nil"/>
            </w:tcBorders>
            <w:shd w:val="clear" w:color="auto" w:fill="auto"/>
            <w:noWrap/>
            <w:vAlign w:val="center"/>
            <w:hideMark/>
          </w:tcPr>
          <w:p w14:paraId="6B7CDCE5" w14:textId="77777777" w:rsidR="00761731" w:rsidRPr="00E11C95" w:rsidRDefault="00761731" w:rsidP="00761731">
            <w:pPr>
              <w:jc w:val="center"/>
              <w:rPr>
                <w:sz w:val="20"/>
                <w:szCs w:val="20"/>
              </w:rPr>
            </w:pPr>
            <w:r w:rsidRPr="00E11C95">
              <w:rPr>
                <w:sz w:val="20"/>
                <w:szCs w:val="20"/>
              </w:rPr>
              <w:t>25 (12.1)</w:t>
            </w:r>
          </w:p>
        </w:tc>
        <w:tc>
          <w:tcPr>
            <w:tcW w:w="1111" w:type="dxa"/>
            <w:tcBorders>
              <w:top w:val="nil"/>
              <w:left w:val="nil"/>
              <w:bottom w:val="nil"/>
              <w:right w:val="nil"/>
            </w:tcBorders>
            <w:shd w:val="clear" w:color="auto" w:fill="auto"/>
            <w:noWrap/>
            <w:vAlign w:val="center"/>
            <w:hideMark/>
          </w:tcPr>
          <w:p w14:paraId="30331F20" w14:textId="77777777" w:rsidR="00761731" w:rsidRPr="00E11C95" w:rsidRDefault="00761731" w:rsidP="00761731">
            <w:pPr>
              <w:jc w:val="center"/>
              <w:rPr>
                <w:sz w:val="20"/>
                <w:szCs w:val="20"/>
              </w:rPr>
            </w:pPr>
          </w:p>
        </w:tc>
      </w:tr>
      <w:tr w:rsidR="00761731" w:rsidRPr="00E11C95" w14:paraId="03F11CC9" w14:textId="77777777" w:rsidTr="00761731">
        <w:trPr>
          <w:trHeight w:val="240"/>
        </w:trPr>
        <w:tc>
          <w:tcPr>
            <w:tcW w:w="3655" w:type="dxa"/>
            <w:tcBorders>
              <w:top w:val="nil"/>
              <w:left w:val="nil"/>
              <w:bottom w:val="nil"/>
              <w:right w:val="nil"/>
            </w:tcBorders>
            <w:shd w:val="clear" w:color="auto" w:fill="auto"/>
            <w:noWrap/>
            <w:vAlign w:val="center"/>
            <w:hideMark/>
          </w:tcPr>
          <w:p w14:paraId="42A21638" w14:textId="77777777" w:rsidR="00761731" w:rsidRPr="00E11C95" w:rsidRDefault="00761731" w:rsidP="00761731">
            <w:pPr>
              <w:rPr>
                <w:i/>
                <w:iCs/>
                <w:sz w:val="20"/>
                <w:szCs w:val="20"/>
              </w:rPr>
            </w:pPr>
            <w:proofErr w:type="spellStart"/>
            <w:r w:rsidRPr="00E11C95">
              <w:rPr>
                <w:i/>
                <w:iCs/>
                <w:sz w:val="20"/>
                <w:szCs w:val="20"/>
              </w:rPr>
              <w:t>Overall</w:t>
            </w:r>
            <w:proofErr w:type="spellEnd"/>
            <w:r w:rsidRPr="00E11C95">
              <w:rPr>
                <w:i/>
                <w:iCs/>
                <w:sz w:val="20"/>
                <w:szCs w:val="20"/>
              </w:rPr>
              <w:t xml:space="preserve"> </w:t>
            </w:r>
            <w:proofErr w:type="spellStart"/>
            <w:r w:rsidRPr="00E11C95">
              <w:rPr>
                <w:i/>
                <w:iCs/>
                <w:sz w:val="20"/>
                <w:szCs w:val="20"/>
              </w:rPr>
              <w:t>assessment</w:t>
            </w:r>
            <w:proofErr w:type="spellEnd"/>
          </w:p>
        </w:tc>
        <w:tc>
          <w:tcPr>
            <w:tcW w:w="1825" w:type="dxa"/>
            <w:tcBorders>
              <w:top w:val="nil"/>
              <w:left w:val="nil"/>
              <w:bottom w:val="nil"/>
              <w:right w:val="nil"/>
            </w:tcBorders>
            <w:shd w:val="clear" w:color="auto" w:fill="auto"/>
            <w:noWrap/>
            <w:vAlign w:val="center"/>
            <w:hideMark/>
          </w:tcPr>
          <w:p w14:paraId="5F3B2E8B" w14:textId="77777777" w:rsidR="00761731" w:rsidRPr="00E11C95" w:rsidRDefault="00761731" w:rsidP="00761731">
            <w:pPr>
              <w:jc w:val="center"/>
              <w:rPr>
                <w:sz w:val="20"/>
                <w:szCs w:val="20"/>
              </w:rPr>
            </w:pPr>
          </w:p>
        </w:tc>
        <w:tc>
          <w:tcPr>
            <w:tcW w:w="1825" w:type="dxa"/>
            <w:tcBorders>
              <w:top w:val="nil"/>
              <w:left w:val="nil"/>
              <w:bottom w:val="nil"/>
              <w:right w:val="nil"/>
            </w:tcBorders>
            <w:shd w:val="clear" w:color="auto" w:fill="auto"/>
            <w:noWrap/>
            <w:vAlign w:val="bottom"/>
            <w:hideMark/>
          </w:tcPr>
          <w:p w14:paraId="7C758048" w14:textId="77777777" w:rsidR="00761731" w:rsidRPr="00E11C95" w:rsidRDefault="00761731" w:rsidP="00761731">
            <w:pPr>
              <w:rPr>
                <w:sz w:val="20"/>
                <w:szCs w:val="20"/>
              </w:rPr>
            </w:pPr>
          </w:p>
        </w:tc>
        <w:tc>
          <w:tcPr>
            <w:tcW w:w="1824" w:type="dxa"/>
            <w:tcBorders>
              <w:top w:val="nil"/>
              <w:left w:val="nil"/>
              <w:bottom w:val="nil"/>
              <w:right w:val="nil"/>
            </w:tcBorders>
            <w:shd w:val="clear" w:color="auto" w:fill="auto"/>
            <w:noWrap/>
            <w:vAlign w:val="bottom"/>
            <w:hideMark/>
          </w:tcPr>
          <w:p w14:paraId="42C738AD" w14:textId="77777777" w:rsidR="00761731" w:rsidRPr="00E11C95" w:rsidRDefault="00761731" w:rsidP="00761731">
            <w:pPr>
              <w:rPr>
                <w:sz w:val="20"/>
                <w:szCs w:val="20"/>
              </w:rPr>
            </w:pPr>
          </w:p>
        </w:tc>
        <w:tc>
          <w:tcPr>
            <w:tcW w:w="1111" w:type="dxa"/>
            <w:tcBorders>
              <w:top w:val="nil"/>
              <w:left w:val="nil"/>
              <w:bottom w:val="nil"/>
              <w:right w:val="nil"/>
            </w:tcBorders>
            <w:shd w:val="clear" w:color="auto" w:fill="auto"/>
            <w:noWrap/>
            <w:vAlign w:val="center"/>
            <w:hideMark/>
          </w:tcPr>
          <w:p w14:paraId="6FD61BB0" w14:textId="77777777" w:rsidR="00761731" w:rsidRPr="00E11C95" w:rsidRDefault="00761731" w:rsidP="00761731">
            <w:pPr>
              <w:jc w:val="center"/>
              <w:rPr>
                <w:b/>
                <w:bCs/>
                <w:sz w:val="20"/>
                <w:szCs w:val="20"/>
              </w:rPr>
            </w:pPr>
            <w:r w:rsidRPr="00E11C95">
              <w:rPr>
                <w:b/>
                <w:bCs/>
                <w:sz w:val="20"/>
                <w:szCs w:val="20"/>
              </w:rPr>
              <w:t>&lt;0.0001</w:t>
            </w:r>
          </w:p>
        </w:tc>
      </w:tr>
      <w:tr w:rsidR="00761731" w:rsidRPr="00E11C95" w14:paraId="785282BB" w14:textId="77777777" w:rsidTr="00761731">
        <w:trPr>
          <w:trHeight w:val="240"/>
        </w:trPr>
        <w:tc>
          <w:tcPr>
            <w:tcW w:w="3655" w:type="dxa"/>
            <w:tcBorders>
              <w:top w:val="nil"/>
              <w:left w:val="nil"/>
              <w:bottom w:val="nil"/>
              <w:right w:val="nil"/>
            </w:tcBorders>
            <w:shd w:val="clear" w:color="auto" w:fill="auto"/>
            <w:noWrap/>
            <w:vAlign w:val="center"/>
            <w:hideMark/>
          </w:tcPr>
          <w:p w14:paraId="53EA0995" w14:textId="77777777" w:rsidR="00761731" w:rsidRPr="00E11C95" w:rsidRDefault="00761731" w:rsidP="00761731">
            <w:pPr>
              <w:ind w:firstLineChars="100" w:firstLine="200"/>
              <w:rPr>
                <w:sz w:val="20"/>
                <w:szCs w:val="20"/>
              </w:rPr>
            </w:pPr>
            <w:proofErr w:type="spellStart"/>
            <w:r w:rsidRPr="00E11C95">
              <w:rPr>
                <w:sz w:val="20"/>
                <w:szCs w:val="20"/>
              </w:rPr>
              <w:t>Clearly</w:t>
            </w:r>
            <w:proofErr w:type="spellEnd"/>
            <w:r w:rsidRPr="00E11C95">
              <w:rPr>
                <w:sz w:val="20"/>
                <w:szCs w:val="20"/>
              </w:rPr>
              <w:t xml:space="preserve"> </w:t>
            </w:r>
            <w:proofErr w:type="spellStart"/>
            <w:r w:rsidRPr="00E11C95">
              <w:rPr>
                <w:sz w:val="20"/>
                <w:szCs w:val="20"/>
              </w:rPr>
              <w:t>normal</w:t>
            </w:r>
            <w:proofErr w:type="spellEnd"/>
          </w:p>
        </w:tc>
        <w:tc>
          <w:tcPr>
            <w:tcW w:w="1825" w:type="dxa"/>
            <w:tcBorders>
              <w:top w:val="nil"/>
              <w:left w:val="nil"/>
              <w:bottom w:val="nil"/>
              <w:right w:val="nil"/>
            </w:tcBorders>
            <w:shd w:val="clear" w:color="auto" w:fill="auto"/>
            <w:noWrap/>
            <w:vAlign w:val="center"/>
            <w:hideMark/>
          </w:tcPr>
          <w:p w14:paraId="547E8CAB" w14:textId="77777777" w:rsidR="00761731" w:rsidRPr="00E11C95" w:rsidRDefault="00761731" w:rsidP="00761731">
            <w:pPr>
              <w:jc w:val="center"/>
              <w:rPr>
                <w:sz w:val="20"/>
                <w:szCs w:val="20"/>
              </w:rPr>
            </w:pPr>
            <w:r w:rsidRPr="00E11C95">
              <w:rPr>
                <w:sz w:val="20"/>
                <w:szCs w:val="20"/>
              </w:rPr>
              <w:t>148 (50.0)</w:t>
            </w:r>
          </w:p>
        </w:tc>
        <w:tc>
          <w:tcPr>
            <w:tcW w:w="1825" w:type="dxa"/>
            <w:tcBorders>
              <w:top w:val="nil"/>
              <w:left w:val="nil"/>
              <w:bottom w:val="nil"/>
              <w:right w:val="nil"/>
            </w:tcBorders>
            <w:shd w:val="clear" w:color="auto" w:fill="auto"/>
            <w:noWrap/>
            <w:vAlign w:val="center"/>
            <w:hideMark/>
          </w:tcPr>
          <w:p w14:paraId="15E75969" w14:textId="77777777" w:rsidR="00761731" w:rsidRPr="00E11C95" w:rsidRDefault="00761731" w:rsidP="00761731">
            <w:pPr>
              <w:jc w:val="center"/>
              <w:rPr>
                <w:sz w:val="20"/>
                <w:szCs w:val="20"/>
              </w:rPr>
            </w:pPr>
            <w:r w:rsidRPr="00E11C95">
              <w:rPr>
                <w:sz w:val="20"/>
                <w:szCs w:val="20"/>
              </w:rPr>
              <w:t>13 (14.4)</w:t>
            </w:r>
          </w:p>
        </w:tc>
        <w:tc>
          <w:tcPr>
            <w:tcW w:w="1824" w:type="dxa"/>
            <w:tcBorders>
              <w:top w:val="nil"/>
              <w:left w:val="nil"/>
              <w:bottom w:val="nil"/>
              <w:right w:val="nil"/>
            </w:tcBorders>
            <w:shd w:val="clear" w:color="auto" w:fill="auto"/>
            <w:noWrap/>
            <w:vAlign w:val="center"/>
            <w:hideMark/>
          </w:tcPr>
          <w:p w14:paraId="675DCA17" w14:textId="77777777" w:rsidR="00761731" w:rsidRPr="00E11C95" w:rsidRDefault="00761731" w:rsidP="00761731">
            <w:pPr>
              <w:jc w:val="center"/>
              <w:rPr>
                <w:sz w:val="20"/>
                <w:szCs w:val="20"/>
              </w:rPr>
            </w:pPr>
            <w:r w:rsidRPr="00E11C95">
              <w:rPr>
                <w:sz w:val="20"/>
                <w:szCs w:val="20"/>
              </w:rPr>
              <w:t>135 (65.5)</w:t>
            </w:r>
          </w:p>
        </w:tc>
        <w:tc>
          <w:tcPr>
            <w:tcW w:w="1111" w:type="dxa"/>
            <w:tcBorders>
              <w:top w:val="nil"/>
              <w:left w:val="nil"/>
              <w:bottom w:val="nil"/>
              <w:right w:val="nil"/>
            </w:tcBorders>
            <w:shd w:val="clear" w:color="auto" w:fill="auto"/>
            <w:noWrap/>
            <w:vAlign w:val="center"/>
            <w:hideMark/>
          </w:tcPr>
          <w:p w14:paraId="141EAFFF" w14:textId="77777777" w:rsidR="00761731" w:rsidRPr="00E11C95" w:rsidRDefault="00761731" w:rsidP="00761731">
            <w:pPr>
              <w:jc w:val="center"/>
              <w:rPr>
                <w:sz w:val="20"/>
                <w:szCs w:val="20"/>
              </w:rPr>
            </w:pPr>
          </w:p>
        </w:tc>
      </w:tr>
      <w:tr w:rsidR="00761731" w:rsidRPr="00E11C95" w14:paraId="234EF308" w14:textId="77777777" w:rsidTr="00761731">
        <w:trPr>
          <w:trHeight w:val="240"/>
        </w:trPr>
        <w:tc>
          <w:tcPr>
            <w:tcW w:w="3655" w:type="dxa"/>
            <w:tcBorders>
              <w:top w:val="nil"/>
              <w:left w:val="nil"/>
              <w:bottom w:val="nil"/>
              <w:right w:val="nil"/>
            </w:tcBorders>
            <w:shd w:val="clear" w:color="auto" w:fill="auto"/>
            <w:noWrap/>
            <w:vAlign w:val="center"/>
            <w:hideMark/>
          </w:tcPr>
          <w:p w14:paraId="106E2983" w14:textId="77777777" w:rsidR="00761731" w:rsidRPr="00E11C95" w:rsidRDefault="00761731" w:rsidP="00761731">
            <w:pPr>
              <w:ind w:firstLineChars="100" w:firstLine="200"/>
              <w:rPr>
                <w:sz w:val="20"/>
                <w:szCs w:val="20"/>
              </w:rPr>
            </w:pPr>
            <w:proofErr w:type="spellStart"/>
            <w:r w:rsidRPr="00E11C95">
              <w:rPr>
                <w:sz w:val="20"/>
                <w:szCs w:val="20"/>
              </w:rPr>
              <w:t>Inflammatory</w:t>
            </w:r>
            <w:proofErr w:type="spellEnd"/>
          </w:p>
        </w:tc>
        <w:tc>
          <w:tcPr>
            <w:tcW w:w="1825" w:type="dxa"/>
            <w:tcBorders>
              <w:top w:val="nil"/>
              <w:left w:val="nil"/>
              <w:bottom w:val="nil"/>
              <w:right w:val="nil"/>
            </w:tcBorders>
            <w:shd w:val="clear" w:color="auto" w:fill="auto"/>
            <w:noWrap/>
            <w:vAlign w:val="center"/>
            <w:hideMark/>
          </w:tcPr>
          <w:p w14:paraId="6D3B3784" w14:textId="77777777" w:rsidR="00761731" w:rsidRPr="00E11C95" w:rsidRDefault="00761731" w:rsidP="00761731">
            <w:pPr>
              <w:jc w:val="center"/>
              <w:rPr>
                <w:sz w:val="20"/>
                <w:szCs w:val="20"/>
              </w:rPr>
            </w:pPr>
            <w:r w:rsidRPr="00E11C95">
              <w:rPr>
                <w:sz w:val="20"/>
                <w:szCs w:val="20"/>
              </w:rPr>
              <w:t>32 (10.8)</w:t>
            </w:r>
          </w:p>
        </w:tc>
        <w:tc>
          <w:tcPr>
            <w:tcW w:w="1825" w:type="dxa"/>
            <w:tcBorders>
              <w:top w:val="nil"/>
              <w:left w:val="nil"/>
              <w:bottom w:val="nil"/>
              <w:right w:val="nil"/>
            </w:tcBorders>
            <w:shd w:val="clear" w:color="auto" w:fill="auto"/>
            <w:noWrap/>
            <w:vAlign w:val="center"/>
            <w:hideMark/>
          </w:tcPr>
          <w:p w14:paraId="13CDB43F" w14:textId="77777777" w:rsidR="00761731" w:rsidRPr="00E11C95" w:rsidRDefault="00761731" w:rsidP="00761731">
            <w:pPr>
              <w:jc w:val="center"/>
              <w:rPr>
                <w:sz w:val="20"/>
                <w:szCs w:val="20"/>
              </w:rPr>
            </w:pPr>
            <w:r w:rsidRPr="00E11C95">
              <w:rPr>
                <w:sz w:val="20"/>
                <w:szCs w:val="20"/>
              </w:rPr>
              <w:t>6 (6.7)</w:t>
            </w:r>
          </w:p>
        </w:tc>
        <w:tc>
          <w:tcPr>
            <w:tcW w:w="1824" w:type="dxa"/>
            <w:tcBorders>
              <w:top w:val="nil"/>
              <w:left w:val="nil"/>
              <w:bottom w:val="nil"/>
              <w:right w:val="nil"/>
            </w:tcBorders>
            <w:shd w:val="clear" w:color="auto" w:fill="auto"/>
            <w:noWrap/>
            <w:vAlign w:val="center"/>
            <w:hideMark/>
          </w:tcPr>
          <w:p w14:paraId="5588A0F0" w14:textId="77777777" w:rsidR="00761731" w:rsidRPr="00E11C95" w:rsidRDefault="00761731" w:rsidP="00761731">
            <w:pPr>
              <w:jc w:val="center"/>
              <w:rPr>
                <w:sz w:val="20"/>
                <w:szCs w:val="20"/>
              </w:rPr>
            </w:pPr>
            <w:r w:rsidRPr="00E11C95">
              <w:rPr>
                <w:sz w:val="20"/>
                <w:szCs w:val="20"/>
              </w:rPr>
              <w:t>26 (12.6)</w:t>
            </w:r>
          </w:p>
        </w:tc>
        <w:tc>
          <w:tcPr>
            <w:tcW w:w="1111" w:type="dxa"/>
            <w:tcBorders>
              <w:top w:val="nil"/>
              <w:left w:val="nil"/>
              <w:bottom w:val="nil"/>
              <w:right w:val="nil"/>
            </w:tcBorders>
            <w:shd w:val="clear" w:color="auto" w:fill="auto"/>
            <w:noWrap/>
            <w:vAlign w:val="center"/>
            <w:hideMark/>
          </w:tcPr>
          <w:p w14:paraId="7592FF09" w14:textId="77777777" w:rsidR="00761731" w:rsidRPr="00E11C95" w:rsidRDefault="00761731" w:rsidP="00761731">
            <w:pPr>
              <w:jc w:val="center"/>
              <w:rPr>
                <w:sz w:val="20"/>
                <w:szCs w:val="20"/>
              </w:rPr>
            </w:pPr>
          </w:p>
        </w:tc>
      </w:tr>
      <w:tr w:rsidR="00761731" w:rsidRPr="00E11C95" w14:paraId="16B8AF82" w14:textId="77777777" w:rsidTr="00761731">
        <w:trPr>
          <w:trHeight w:val="240"/>
        </w:trPr>
        <w:tc>
          <w:tcPr>
            <w:tcW w:w="3655" w:type="dxa"/>
            <w:tcBorders>
              <w:top w:val="nil"/>
              <w:left w:val="nil"/>
              <w:bottom w:val="nil"/>
              <w:right w:val="nil"/>
            </w:tcBorders>
            <w:shd w:val="clear" w:color="auto" w:fill="auto"/>
            <w:noWrap/>
            <w:vAlign w:val="center"/>
            <w:hideMark/>
          </w:tcPr>
          <w:p w14:paraId="26CE5000" w14:textId="77777777" w:rsidR="00761731" w:rsidRPr="00E11C95" w:rsidRDefault="00761731" w:rsidP="00761731">
            <w:pPr>
              <w:ind w:firstLineChars="100" w:firstLine="200"/>
              <w:rPr>
                <w:sz w:val="20"/>
                <w:szCs w:val="20"/>
              </w:rPr>
            </w:pPr>
            <w:proofErr w:type="spellStart"/>
            <w:r w:rsidRPr="00E11C95">
              <w:rPr>
                <w:sz w:val="20"/>
                <w:szCs w:val="20"/>
              </w:rPr>
              <w:t>Suspicious</w:t>
            </w:r>
            <w:proofErr w:type="spellEnd"/>
          </w:p>
        </w:tc>
        <w:tc>
          <w:tcPr>
            <w:tcW w:w="1825" w:type="dxa"/>
            <w:tcBorders>
              <w:top w:val="nil"/>
              <w:left w:val="nil"/>
              <w:bottom w:val="nil"/>
              <w:right w:val="nil"/>
            </w:tcBorders>
            <w:shd w:val="clear" w:color="auto" w:fill="auto"/>
            <w:noWrap/>
            <w:vAlign w:val="center"/>
            <w:hideMark/>
          </w:tcPr>
          <w:p w14:paraId="53DFDE86" w14:textId="77777777" w:rsidR="00761731" w:rsidRPr="00E11C95" w:rsidRDefault="00761731" w:rsidP="00761731">
            <w:pPr>
              <w:jc w:val="center"/>
              <w:rPr>
                <w:sz w:val="20"/>
                <w:szCs w:val="20"/>
              </w:rPr>
            </w:pPr>
            <w:r w:rsidRPr="00E11C95">
              <w:rPr>
                <w:sz w:val="20"/>
                <w:szCs w:val="20"/>
              </w:rPr>
              <w:t>47 (15.9)</w:t>
            </w:r>
          </w:p>
        </w:tc>
        <w:tc>
          <w:tcPr>
            <w:tcW w:w="1825" w:type="dxa"/>
            <w:tcBorders>
              <w:top w:val="nil"/>
              <w:left w:val="nil"/>
              <w:bottom w:val="nil"/>
              <w:right w:val="nil"/>
            </w:tcBorders>
            <w:shd w:val="clear" w:color="auto" w:fill="auto"/>
            <w:noWrap/>
            <w:vAlign w:val="center"/>
            <w:hideMark/>
          </w:tcPr>
          <w:p w14:paraId="4E68A24E" w14:textId="77777777" w:rsidR="00761731" w:rsidRPr="00E11C95" w:rsidRDefault="00761731" w:rsidP="00761731">
            <w:pPr>
              <w:jc w:val="center"/>
              <w:rPr>
                <w:sz w:val="20"/>
                <w:szCs w:val="20"/>
              </w:rPr>
            </w:pPr>
            <w:r w:rsidRPr="00E11C95">
              <w:rPr>
                <w:sz w:val="20"/>
                <w:szCs w:val="20"/>
              </w:rPr>
              <w:t>15 (16.7)</w:t>
            </w:r>
          </w:p>
        </w:tc>
        <w:tc>
          <w:tcPr>
            <w:tcW w:w="1824" w:type="dxa"/>
            <w:tcBorders>
              <w:top w:val="nil"/>
              <w:left w:val="nil"/>
              <w:bottom w:val="nil"/>
              <w:right w:val="nil"/>
            </w:tcBorders>
            <w:shd w:val="clear" w:color="auto" w:fill="auto"/>
            <w:noWrap/>
            <w:vAlign w:val="center"/>
            <w:hideMark/>
          </w:tcPr>
          <w:p w14:paraId="1F276C32" w14:textId="77777777" w:rsidR="00761731" w:rsidRPr="00E11C95" w:rsidRDefault="00761731" w:rsidP="00761731">
            <w:pPr>
              <w:jc w:val="center"/>
              <w:rPr>
                <w:sz w:val="20"/>
                <w:szCs w:val="20"/>
              </w:rPr>
            </w:pPr>
            <w:r w:rsidRPr="00E11C95">
              <w:rPr>
                <w:sz w:val="20"/>
                <w:szCs w:val="20"/>
              </w:rPr>
              <w:t>32 (15.5)</w:t>
            </w:r>
          </w:p>
        </w:tc>
        <w:tc>
          <w:tcPr>
            <w:tcW w:w="1111" w:type="dxa"/>
            <w:tcBorders>
              <w:top w:val="nil"/>
              <w:left w:val="nil"/>
              <w:bottom w:val="nil"/>
              <w:right w:val="nil"/>
            </w:tcBorders>
            <w:shd w:val="clear" w:color="auto" w:fill="auto"/>
            <w:noWrap/>
            <w:vAlign w:val="center"/>
            <w:hideMark/>
          </w:tcPr>
          <w:p w14:paraId="466E762E" w14:textId="77777777" w:rsidR="00761731" w:rsidRPr="00E11C95" w:rsidRDefault="00761731" w:rsidP="00761731">
            <w:pPr>
              <w:jc w:val="center"/>
              <w:rPr>
                <w:sz w:val="20"/>
                <w:szCs w:val="20"/>
              </w:rPr>
            </w:pPr>
          </w:p>
        </w:tc>
      </w:tr>
      <w:tr w:rsidR="00761731" w:rsidRPr="00E11C95" w14:paraId="3B424164" w14:textId="77777777" w:rsidTr="00761731">
        <w:trPr>
          <w:trHeight w:val="240"/>
        </w:trPr>
        <w:tc>
          <w:tcPr>
            <w:tcW w:w="3655" w:type="dxa"/>
            <w:tcBorders>
              <w:top w:val="nil"/>
              <w:left w:val="nil"/>
              <w:bottom w:val="nil"/>
              <w:right w:val="nil"/>
            </w:tcBorders>
            <w:shd w:val="clear" w:color="auto" w:fill="auto"/>
            <w:noWrap/>
            <w:vAlign w:val="center"/>
            <w:hideMark/>
          </w:tcPr>
          <w:p w14:paraId="4631DE2D" w14:textId="77777777" w:rsidR="00761731" w:rsidRPr="00E11C95" w:rsidRDefault="00761731" w:rsidP="00761731">
            <w:pPr>
              <w:ind w:firstLineChars="100" w:firstLine="200"/>
              <w:rPr>
                <w:sz w:val="20"/>
                <w:szCs w:val="20"/>
              </w:rPr>
            </w:pPr>
            <w:proofErr w:type="spellStart"/>
            <w:r w:rsidRPr="00E11C95">
              <w:rPr>
                <w:sz w:val="20"/>
                <w:szCs w:val="20"/>
              </w:rPr>
              <w:t>Clearly</w:t>
            </w:r>
            <w:proofErr w:type="spellEnd"/>
            <w:r w:rsidRPr="00E11C95">
              <w:rPr>
                <w:sz w:val="20"/>
                <w:szCs w:val="20"/>
              </w:rPr>
              <w:t xml:space="preserve"> </w:t>
            </w:r>
            <w:proofErr w:type="spellStart"/>
            <w:r w:rsidRPr="00E11C95">
              <w:rPr>
                <w:sz w:val="20"/>
                <w:szCs w:val="20"/>
              </w:rPr>
              <w:t>abnormal</w:t>
            </w:r>
            <w:proofErr w:type="spellEnd"/>
          </w:p>
        </w:tc>
        <w:tc>
          <w:tcPr>
            <w:tcW w:w="1825" w:type="dxa"/>
            <w:tcBorders>
              <w:top w:val="nil"/>
              <w:left w:val="nil"/>
              <w:bottom w:val="nil"/>
              <w:right w:val="nil"/>
            </w:tcBorders>
            <w:shd w:val="clear" w:color="auto" w:fill="auto"/>
            <w:noWrap/>
            <w:vAlign w:val="center"/>
            <w:hideMark/>
          </w:tcPr>
          <w:p w14:paraId="022536EC" w14:textId="77777777" w:rsidR="00761731" w:rsidRPr="00E11C95" w:rsidRDefault="00761731" w:rsidP="00761731">
            <w:pPr>
              <w:jc w:val="center"/>
              <w:rPr>
                <w:sz w:val="20"/>
                <w:szCs w:val="20"/>
              </w:rPr>
            </w:pPr>
            <w:r w:rsidRPr="00E11C95">
              <w:rPr>
                <w:sz w:val="20"/>
                <w:szCs w:val="20"/>
              </w:rPr>
              <w:t>69 (23.3)</w:t>
            </w:r>
          </w:p>
        </w:tc>
        <w:tc>
          <w:tcPr>
            <w:tcW w:w="1825" w:type="dxa"/>
            <w:tcBorders>
              <w:top w:val="nil"/>
              <w:left w:val="nil"/>
              <w:bottom w:val="nil"/>
              <w:right w:val="nil"/>
            </w:tcBorders>
            <w:shd w:val="clear" w:color="auto" w:fill="auto"/>
            <w:noWrap/>
            <w:vAlign w:val="center"/>
            <w:hideMark/>
          </w:tcPr>
          <w:p w14:paraId="68B8B5A7" w14:textId="77777777" w:rsidR="00761731" w:rsidRPr="00E11C95" w:rsidRDefault="00761731" w:rsidP="00761731">
            <w:pPr>
              <w:jc w:val="center"/>
              <w:rPr>
                <w:sz w:val="20"/>
                <w:szCs w:val="20"/>
              </w:rPr>
            </w:pPr>
            <w:r w:rsidRPr="00E11C95">
              <w:rPr>
                <w:sz w:val="20"/>
                <w:szCs w:val="20"/>
              </w:rPr>
              <w:t>56 (62.2)</w:t>
            </w:r>
          </w:p>
        </w:tc>
        <w:tc>
          <w:tcPr>
            <w:tcW w:w="1824" w:type="dxa"/>
            <w:tcBorders>
              <w:top w:val="nil"/>
              <w:left w:val="nil"/>
              <w:bottom w:val="nil"/>
              <w:right w:val="nil"/>
            </w:tcBorders>
            <w:shd w:val="clear" w:color="auto" w:fill="auto"/>
            <w:noWrap/>
            <w:vAlign w:val="center"/>
            <w:hideMark/>
          </w:tcPr>
          <w:p w14:paraId="111DB12C" w14:textId="77777777" w:rsidR="00761731" w:rsidRPr="00E11C95" w:rsidRDefault="00761731" w:rsidP="00761731">
            <w:pPr>
              <w:jc w:val="center"/>
              <w:rPr>
                <w:sz w:val="20"/>
                <w:szCs w:val="20"/>
              </w:rPr>
            </w:pPr>
            <w:r w:rsidRPr="00E11C95">
              <w:rPr>
                <w:sz w:val="20"/>
                <w:szCs w:val="20"/>
              </w:rPr>
              <w:t>13 (6.3)</w:t>
            </w:r>
          </w:p>
        </w:tc>
        <w:tc>
          <w:tcPr>
            <w:tcW w:w="1111" w:type="dxa"/>
            <w:tcBorders>
              <w:top w:val="nil"/>
              <w:left w:val="nil"/>
              <w:bottom w:val="nil"/>
              <w:right w:val="nil"/>
            </w:tcBorders>
            <w:shd w:val="clear" w:color="auto" w:fill="auto"/>
            <w:noWrap/>
            <w:vAlign w:val="center"/>
            <w:hideMark/>
          </w:tcPr>
          <w:p w14:paraId="3B22A5DF" w14:textId="77777777" w:rsidR="00761731" w:rsidRPr="00E11C95" w:rsidRDefault="00761731" w:rsidP="00761731">
            <w:pPr>
              <w:jc w:val="center"/>
              <w:rPr>
                <w:sz w:val="20"/>
                <w:szCs w:val="20"/>
              </w:rPr>
            </w:pPr>
          </w:p>
        </w:tc>
      </w:tr>
      <w:tr w:rsidR="00761731" w:rsidRPr="00E11C95" w14:paraId="01155287" w14:textId="77777777" w:rsidTr="00761731">
        <w:trPr>
          <w:trHeight w:val="240"/>
        </w:trPr>
        <w:tc>
          <w:tcPr>
            <w:tcW w:w="3655" w:type="dxa"/>
            <w:tcBorders>
              <w:top w:val="nil"/>
              <w:left w:val="nil"/>
              <w:bottom w:val="nil"/>
              <w:right w:val="nil"/>
            </w:tcBorders>
            <w:shd w:val="clear" w:color="auto" w:fill="auto"/>
            <w:noWrap/>
            <w:vAlign w:val="center"/>
            <w:hideMark/>
          </w:tcPr>
          <w:p w14:paraId="77D369F3" w14:textId="77777777" w:rsidR="00761731" w:rsidRPr="00E11C95" w:rsidRDefault="00761731" w:rsidP="00761731">
            <w:pPr>
              <w:rPr>
                <w:i/>
                <w:iCs/>
                <w:sz w:val="20"/>
                <w:szCs w:val="20"/>
              </w:rPr>
            </w:pPr>
            <w:proofErr w:type="spellStart"/>
            <w:r w:rsidRPr="00E11C95">
              <w:rPr>
                <w:i/>
                <w:iCs/>
                <w:sz w:val="20"/>
                <w:szCs w:val="20"/>
              </w:rPr>
              <w:t>SUV</w:t>
            </w:r>
            <w:r w:rsidRPr="00E11C95">
              <w:rPr>
                <w:i/>
                <w:iCs/>
                <w:sz w:val="20"/>
                <w:szCs w:val="20"/>
                <w:vertAlign w:val="subscript"/>
              </w:rPr>
              <w:t>max</w:t>
            </w:r>
            <w:proofErr w:type="spellEnd"/>
          </w:p>
        </w:tc>
        <w:tc>
          <w:tcPr>
            <w:tcW w:w="1825" w:type="dxa"/>
            <w:tcBorders>
              <w:top w:val="nil"/>
              <w:left w:val="nil"/>
              <w:bottom w:val="nil"/>
              <w:right w:val="nil"/>
            </w:tcBorders>
            <w:shd w:val="clear" w:color="auto" w:fill="auto"/>
            <w:noWrap/>
            <w:vAlign w:val="center"/>
            <w:hideMark/>
          </w:tcPr>
          <w:p w14:paraId="04947A34" w14:textId="77777777" w:rsidR="00761731" w:rsidRPr="00E11C95" w:rsidRDefault="00761731" w:rsidP="00761731">
            <w:pPr>
              <w:jc w:val="center"/>
              <w:rPr>
                <w:sz w:val="20"/>
                <w:szCs w:val="20"/>
              </w:rPr>
            </w:pPr>
          </w:p>
        </w:tc>
        <w:tc>
          <w:tcPr>
            <w:tcW w:w="1825" w:type="dxa"/>
            <w:tcBorders>
              <w:top w:val="nil"/>
              <w:left w:val="nil"/>
              <w:bottom w:val="nil"/>
              <w:right w:val="nil"/>
            </w:tcBorders>
            <w:shd w:val="clear" w:color="auto" w:fill="auto"/>
            <w:noWrap/>
            <w:vAlign w:val="center"/>
            <w:hideMark/>
          </w:tcPr>
          <w:p w14:paraId="4F20D829" w14:textId="77777777" w:rsidR="00761731" w:rsidRPr="00E11C95" w:rsidRDefault="00761731" w:rsidP="00761731">
            <w:pPr>
              <w:jc w:val="center"/>
              <w:rPr>
                <w:sz w:val="20"/>
                <w:szCs w:val="20"/>
              </w:rPr>
            </w:pPr>
          </w:p>
        </w:tc>
        <w:tc>
          <w:tcPr>
            <w:tcW w:w="1824" w:type="dxa"/>
            <w:tcBorders>
              <w:top w:val="nil"/>
              <w:left w:val="nil"/>
              <w:bottom w:val="nil"/>
              <w:right w:val="nil"/>
            </w:tcBorders>
            <w:shd w:val="clear" w:color="auto" w:fill="auto"/>
            <w:noWrap/>
            <w:vAlign w:val="center"/>
            <w:hideMark/>
          </w:tcPr>
          <w:p w14:paraId="3A116A5F" w14:textId="77777777" w:rsidR="00761731" w:rsidRPr="00E11C95" w:rsidRDefault="00761731" w:rsidP="00761731">
            <w:pPr>
              <w:jc w:val="center"/>
              <w:rPr>
                <w:sz w:val="20"/>
                <w:szCs w:val="20"/>
              </w:rPr>
            </w:pPr>
          </w:p>
        </w:tc>
        <w:tc>
          <w:tcPr>
            <w:tcW w:w="1111" w:type="dxa"/>
            <w:tcBorders>
              <w:top w:val="nil"/>
              <w:left w:val="nil"/>
              <w:bottom w:val="nil"/>
              <w:right w:val="nil"/>
            </w:tcBorders>
            <w:shd w:val="clear" w:color="auto" w:fill="auto"/>
            <w:noWrap/>
            <w:vAlign w:val="center"/>
            <w:hideMark/>
          </w:tcPr>
          <w:p w14:paraId="492A914F" w14:textId="77777777" w:rsidR="00761731" w:rsidRPr="00E11C95" w:rsidRDefault="00761731" w:rsidP="00761731">
            <w:pPr>
              <w:jc w:val="center"/>
              <w:rPr>
                <w:sz w:val="20"/>
                <w:szCs w:val="20"/>
              </w:rPr>
            </w:pPr>
          </w:p>
        </w:tc>
      </w:tr>
      <w:tr w:rsidR="00761731" w:rsidRPr="00E11C95" w14:paraId="40F19B35" w14:textId="77777777" w:rsidTr="00761731">
        <w:trPr>
          <w:trHeight w:val="240"/>
        </w:trPr>
        <w:tc>
          <w:tcPr>
            <w:tcW w:w="3655" w:type="dxa"/>
            <w:tcBorders>
              <w:top w:val="nil"/>
              <w:left w:val="nil"/>
              <w:bottom w:val="nil"/>
              <w:right w:val="nil"/>
            </w:tcBorders>
            <w:shd w:val="clear" w:color="auto" w:fill="auto"/>
            <w:noWrap/>
            <w:vAlign w:val="center"/>
            <w:hideMark/>
          </w:tcPr>
          <w:p w14:paraId="2A0BBBD1" w14:textId="77777777" w:rsidR="00761731" w:rsidRPr="00E11C95" w:rsidRDefault="00761731" w:rsidP="00761731">
            <w:pPr>
              <w:ind w:firstLineChars="100" w:firstLine="200"/>
              <w:rPr>
                <w:sz w:val="20"/>
                <w:szCs w:val="20"/>
              </w:rPr>
            </w:pPr>
            <w:r w:rsidRPr="00E11C95">
              <w:rPr>
                <w:sz w:val="20"/>
                <w:szCs w:val="20"/>
              </w:rPr>
              <w:t>Background</w:t>
            </w:r>
          </w:p>
        </w:tc>
        <w:tc>
          <w:tcPr>
            <w:tcW w:w="1825" w:type="dxa"/>
            <w:tcBorders>
              <w:top w:val="nil"/>
              <w:left w:val="nil"/>
              <w:bottom w:val="nil"/>
              <w:right w:val="nil"/>
            </w:tcBorders>
            <w:shd w:val="clear" w:color="auto" w:fill="auto"/>
            <w:noWrap/>
            <w:vAlign w:val="center"/>
            <w:hideMark/>
          </w:tcPr>
          <w:p w14:paraId="1F31124D" w14:textId="77777777" w:rsidR="00761731" w:rsidRPr="00E11C95" w:rsidRDefault="00761731" w:rsidP="00761731">
            <w:pPr>
              <w:jc w:val="center"/>
              <w:rPr>
                <w:sz w:val="20"/>
                <w:szCs w:val="20"/>
              </w:rPr>
            </w:pPr>
            <w:r w:rsidRPr="00E11C95">
              <w:rPr>
                <w:sz w:val="20"/>
                <w:szCs w:val="20"/>
              </w:rPr>
              <w:t>1 (0.2)</w:t>
            </w:r>
          </w:p>
        </w:tc>
        <w:tc>
          <w:tcPr>
            <w:tcW w:w="1825" w:type="dxa"/>
            <w:tcBorders>
              <w:top w:val="nil"/>
              <w:left w:val="nil"/>
              <w:bottom w:val="nil"/>
              <w:right w:val="nil"/>
            </w:tcBorders>
            <w:shd w:val="clear" w:color="auto" w:fill="auto"/>
            <w:noWrap/>
            <w:vAlign w:val="center"/>
            <w:hideMark/>
          </w:tcPr>
          <w:p w14:paraId="3897DCFE" w14:textId="77777777" w:rsidR="00761731" w:rsidRPr="00E11C95" w:rsidRDefault="00761731" w:rsidP="00761731">
            <w:pPr>
              <w:jc w:val="center"/>
              <w:rPr>
                <w:sz w:val="20"/>
                <w:szCs w:val="20"/>
              </w:rPr>
            </w:pPr>
            <w:r w:rsidRPr="00E11C95">
              <w:rPr>
                <w:sz w:val="20"/>
                <w:szCs w:val="20"/>
              </w:rPr>
              <w:t>1 (0.2)</w:t>
            </w:r>
          </w:p>
        </w:tc>
        <w:tc>
          <w:tcPr>
            <w:tcW w:w="1824" w:type="dxa"/>
            <w:tcBorders>
              <w:top w:val="nil"/>
              <w:left w:val="nil"/>
              <w:bottom w:val="nil"/>
              <w:right w:val="nil"/>
            </w:tcBorders>
            <w:shd w:val="clear" w:color="auto" w:fill="auto"/>
            <w:noWrap/>
            <w:vAlign w:val="center"/>
            <w:hideMark/>
          </w:tcPr>
          <w:p w14:paraId="3505C345" w14:textId="77777777" w:rsidR="00761731" w:rsidRPr="00E11C95" w:rsidRDefault="00761731" w:rsidP="00761731">
            <w:pPr>
              <w:jc w:val="center"/>
              <w:rPr>
                <w:sz w:val="20"/>
                <w:szCs w:val="20"/>
              </w:rPr>
            </w:pPr>
            <w:r w:rsidRPr="00E11C95">
              <w:rPr>
                <w:sz w:val="20"/>
                <w:szCs w:val="20"/>
              </w:rPr>
              <w:t>1 (0.2)</w:t>
            </w:r>
          </w:p>
        </w:tc>
        <w:tc>
          <w:tcPr>
            <w:tcW w:w="1111" w:type="dxa"/>
            <w:tcBorders>
              <w:top w:val="nil"/>
              <w:left w:val="nil"/>
              <w:bottom w:val="nil"/>
              <w:right w:val="nil"/>
            </w:tcBorders>
            <w:shd w:val="clear" w:color="auto" w:fill="auto"/>
            <w:noWrap/>
            <w:vAlign w:val="center"/>
            <w:hideMark/>
          </w:tcPr>
          <w:p w14:paraId="3920F8B2" w14:textId="77777777" w:rsidR="00761731" w:rsidRPr="00E11C95" w:rsidRDefault="00761731" w:rsidP="00761731">
            <w:pPr>
              <w:jc w:val="center"/>
              <w:rPr>
                <w:sz w:val="20"/>
                <w:szCs w:val="20"/>
              </w:rPr>
            </w:pPr>
            <w:r w:rsidRPr="00E11C95">
              <w:rPr>
                <w:sz w:val="20"/>
                <w:szCs w:val="20"/>
              </w:rPr>
              <w:t>0.935 §</w:t>
            </w:r>
          </w:p>
        </w:tc>
      </w:tr>
      <w:tr w:rsidR="00761731" w:rsidRPr="00E11C95" w14:paraId="51AB2BEB" w14:textId="77777777" w:rsidTr="00761731">
        <w:trPr>
          <w:trHeight w:val="240"/>
        </w:trPr>
        <w:tc>
          <w:tcPr>
            <w:tcW w:w="3655" w:type="dxa"/>
            <w:tcBorders>
              <w:top w:val="nil"/>
              <w:left w:val="nil"/>
              <w:bottom w:val="nil"/>
              <w:right w:val="nil"/>
            </w:tcBorders>
            <w:shd w:val="clear" w:color="auto" w:fill="auto"/>
            <w:noWrap/>
            <w:vAlign w:val="center"/>
            <w:hideMark/>
          </w:tcPr>
          <w:p w14:paraId="0FDC123B" w14:textId="77777777" w:rsidR="00761731" w:rsidRPr="00E11C95" w:rsidRDefault="00761731" w:rsidP="00761731">
            <w:pPr>
              <w:ind w:firstLineChars="100" w:firstLine="200"/>
              <w:rPr>
                <w:sz w:val="20"/>
                <w:szCs w:val="20"/>
              </w:rPr>
            </w:pPr>
            <w:proofErr w:type="spellStart"/>
            <w:r w:rsidRPr="00E11C95">
              <w:rPr>
                <w:sz w:val="20"/>
                <w:szCs w:val="20"/>
              </w:rPr>
              <w:t>Lymph</w:t>
            </w:r>
            <w:proofErr w:type="spellEnd"/>
            <w:r w:rsidRPr="00E11C95">
              <w:rPr>
                <w:sz w:val="20"/>
                <w:szCs w:val="20"/>
              </w:rPr>
              <w:t xml:space="preserve"> </w:t>
            </w:r>
            <w:proofErr w:type="spellStart"/>
            <w:r w:rsidRPr="00E11C95">
              <w:rPr>
                <w:sz w:val="20"/>
                <w:szCs w:val="20"/>
              </w:rPr>
              <w:t>node</w:t>
            </w:r>
            <w:proofErr w:type="spellEnd"/>
            <w:r w:rsidRPr="00E11C95">
              <w:rPr>
                <w:sz w:val="20"/>
                <w:szCs w:val="20"/>
              </w:rPr>
              <w:t xml:space="preserve"> *</w:t>
            </w:r>
          </w:p>
        </w:tc>
        <w:tc>
          <w:tcPr>
            <w:tcW w:w="1825" w:type="dxa"/>
            <w:tcBorders>
              <w:top w:val="nil"/>
              <w:left w:val="nil"/>
              <w:bottom w:val="nil"/>
              <w:right w:val="nil"/>
            </w:tcBorders>
            <w:shd w:val="clear" w:color="auto" w:fill="auto"/>
            <w:noWrap/>
            <w:vAlign w:val="center"/>
            <w:hideMark/>
          </w:tcPr>
          <w:p w14:paraId="08B409F9" w14:textId="77777777" w:rsidR="00761731" w:rsidRPr="00E11C95" w:rsidRDefault="00761731" w:rsidP="00761731">
            <w:pPr>
              <w:jc w:val="center"/>
              <w:rPr>
                <w:sz w:val="20"/>
                <w:szCs w:val="20"/>
              </w:rPr>
            </w:pPr>
            <w:r w:rsidRPr="00E11C95">
              <w:rPr>
                <w:sz w:val="20"/>
                <w:szCs w:val="20"/>
              </w:rPr>
              <w:t>2.6 (0.9-28.4)</w:t>
            </w:r>
          </w:p>
        </w:tc>
        <w:tc>
          <w:tcPr>
            <w:tcW w:w="1825" w:type="dxa"/>
            <w:tcBorders>
              <w:top w:val="nil"/>
              <w:left w:val="nil"/>
              <w:bottom w:val="nil"/>
              <w:right w:val="nil"/>
            </w:tcBorders>
            <w:shd w:val="clear" w:color="auto" w:fill="auto"/>
            <w:noWrap/>
            <w:vAlign w:val="center"/>
            <w:hideMark/>
          </w:tcPr>
          <w:p w14:paraId="7DEF5332" w14:textId="77777777" w:rsidR="00761731" w:rsidRPr="00E11C95" w:rsidRDefault="00761731" w:rsidP="00761731">
            <w:pPr>
              <w:jc w:val="center"/>
              <w:rPr>
                <w:sz w:val="20"/>
                <w:szCs w:val="20"/>
              </w:rPr>
            </w:pPr>
            <w:r w:rsidRPr="00E11C95">
              <w:rPr>
                <w:sz w:val="20"/>
                <w:szCs w:val="20"/>
              </w:rPr>
              <w:t>4.1 (0.9-28.4)</w:t>
            </w:r>
          </w:p>
        </w:tc>
        <w:tc>
          <w:tcPr>
            <w:tcW w:w="1824" w:type="dxa"/>
            <w:tcBorders>
              <w:top w:val="nil"/>
              <w:left w:val="nil"/>
              <w:bottom w:val="nil"/>
              <w:right w:val="nil"/>
            </w:tcBorders>
            <w:shd w:val="clear" w:color="auto" w:fill="auto"/>
            <w:noWrap/>
            <w:vAlign w:val="center"/>
            <w:hideMark/>
          </w:tcPr>
          <w:p w14:paraId="615798C7" w14:textId="77777777" w:rsidR="00761731" w:rsidRPr="00E11C95" w:rsidRDefault="00761731" w:rsidP="00761731">
            <w:pPr>
              <w:jc w:val="center"/>
              <w:rPr>
                <w:sz w:val="20"/>
                <w:szCs w:val="20"/>
              </w:rPr>
            </w:pPr>
            <w:r w:rsidRPr="00E11C95">
              <w:rPr>
                <w:sz w:val="20"/>
                <w:szCs w:val="20"/>
              </w:rPr>
              <w:t>1.8 (0.9-8.1)</w:t>
            </w:r>
          </w:p>
        </w:tc>
        <w:tc>
          <w:tcPr>
            <w:tcW w:w="1111" w:type="dxa"/>
            <w:tcBorders>
              <w:top w:val="nil"/>
              <w:left w:val="nil"/>
              <w:bottom w:val="nil"/>
              <w:right w:val="nil"/>
            </w:tcBorders>
            <w:shd w:val="clear" w:color="auto" w:fill="auto"/>
            <w:noWrap/>
            <w:vAlign w:val="center"/>
            <w:hideMark/>
          </w:tcPr>
          <w:p w14:paraId="788CEE9E" w14:textId="77777777" w:rsidR="00761731" w:rsidRPr="00E11C95" w:rsidRDefault="00761731" w:rsidP="00761731">
            <w:pPr>
              <w:jc w:val="center"/>
              <w:rPr>
                <w:b/>
                <w:bCs/>
                <w:sz w:val="20"/>
                <w:szCs w:val="20"/>
              </w:rPr>
            </w:pPr>
            <w:r w:rsidRPr="00E11C95">
              <w:rPr>
                <w:b/>
                <w:bCs/>
                <w:sz w:val="20"/>
                <w:szCs w:val="20"/>
              </w:rPr>
              <w:t>&lt;0.0001</w:t>
            </w:r>
          </w:p>
        </w:tc>
      </w:tr>
      <w:tr w:rsidR="00761731" w:rsidRPr="00E11C95" w14:paraId="5844793E" w14:textId="77777777" w:rsidTr="00761731">
        <w:trPr>
          <w:trHeight w:val="240"/>
        </w:trPr>
        <w:tc>
          <w:tcPr>
            <w:tcW w:w="3655" w:type="dxa"/>
            <w:tcBorders>
              <w:top w:val="nil"/>
              <w:left w:val="nil"/>
              <w:bottom w:val="nil"/>
              <w:right w:val="nil"/>
            </w:tcBorders>
            <w:shd w:val="clear" w:color="auto" w:fill="auto"/>
            <w:noWrap/>
            <w:vAlign w:val="center"/>
            <w:hideMark/>
          </w:tcPr>
          <w:p w14:paraId="2EC0AE6A" w14:textId="77777777" w:rsidR="00761731" w:rsidRPr="00E11C95" w:rsidRDefault="00761731" w:rsidP="00761731">
            <w:pPr>
              <w:ind w:firstLineChars="100" w:firstLine="200"/>
              <w:rPr>
                <w:sz w:val="20"/>
                <w:szCs w:val="20"/>
              </w:rPr>
            </w:pPr>
            <w:proofErr w:type="spellStart"/>
            <w:r w:rsidRPr="00E11C95">
              <w:rPr>
                <w:sz w:val="20"/>
                <w:szCs w:val="20"/>
              </w:rPr>
              <w:t>Lymph</w:t>
            </w:r>
            <w:proofErr w:type="spellEnd"/>
            <w:r w:rsidRPr="00E11C95">
              <w:rPr>
                <w:sz w:val="20"/>
                <w:szCs w:val="20"/>
              </w:rPr>
              <w:t xml:space="preserve"> </w:t>
            </w:r>
            <w:proofErr w:type="spellStart"/>
            <w:r w:rsidRPr="00E11C95">
              <w:rPr>
                <w:sz w:val="20"/>
                <w:szCs w:val="20"/>
              </w:rPr>
              <w:t>node</w:t>
            </w:r>
            <w:proofErr w:type="spellEnd"/>
            <w:r w:rsidRPr="00E11C95">
              <w:rPr>
                <w:sz w:val="20"/>
                <w:szCs w:val="20"/>
              </w:rPr>
              <w:t xml:space="preserve"> †</w:t>
            </w:r>
          </w:p>
        </w:tc>
        <w:tc>
          <w:tcPr>
            <w:tcW w:w="1825" w:type="dxa"/>
            <w:tcBorders>
              <w:top w:val="nil"/>
              <w:left w:val="nil"/>
              <w:bottom w:val="nil"/>
              <w:right w:val="nil"/>
            </w:tcBorders>
            <w:shd w:val="clear" w:color="auto" w:fill="auto"/>
            <w:noWrap/>
            <w:vAlign w:val="center"/>
            <w:hideMark/>
          </w:tcPr>
          <w:p w14:paraId="30EFDC65" w14:textId="77777777" w:rsidR="00761731" w:rsidRPr="00E11C95" w:rsidRDefault="00761731" w:rsidP="00761731">
            <w:pPr>
              <w:jc w:val="center"/>
              <w:rPr>
                <w:sz w:val="20"/>
                <w:szCs w:val="20"/>
              </w:rPr>
            </w:pPr>
            <w:r w:rsidRPr="00E11C95">
              <w:rPr>
                <w:sz w:val="20"/>
                <w:szCs w:val="20"/>
              </w:rPr>
              <w:t>1.3 (0.5-28.4)</w:t>
            </w:r>
          </w:p>
        </w:tc>
        <w:tc>
          <w:tcPr>
            <w:tcW w:w="1825" w:type="dxa"/>
            <w:tcBorders>
              <w:top w:val="nil"/>
              <w:left w:val="nil"/>
              <w:bottom w:val="nil"/>
              <w:right w:val="nil"/>
            </w:tcBorders>
            <w:shd w:val="clear" w:color="auto" w:fill="auto"/>
            <w:noWrap/>
            <w:vAlign w:val="center"/>
            <w:hideMark/>
          </w:tcPr>
          <w:p w14:paraId="7CE6D7E5" w14:textId="77777777" w:rsidR="00761731" w:rsidRPr="00E11C95" w:rsidRDefault="00761731" w:rsidP="00761731">
            <w:pPr>
              <w:jc w:val="center"/>
              <w:rPr>
                <w:sz w:val="20"/>
                <w:szCs w:val="20"/>
              </w:rPr>
            </w:pPr>
            <w:r w:rsidRPr="00E11C95">
              <w:rPr>
                <w:sz w:val="20"/>
                <w:szCs w:val="20"/>
              </w:rPr>
              <w:t>3.5 (0.6-28.4)</w:t>
            </w:r>
          </w:p>
        </w:tc>
        <w:tc>
          <w:tcPr>
            <w:tcW w:w="1824" w:type="dxa"/>
            <w:tcBorders>
              <w:top w:val="nil"/>
              <w:left w:val="nil"/>
              <w:bottom w:val="nil"/>
              <w:right w:val="nil"/>
            </w:tcBorders>
            <w:shd w:val="clear" w:color="auto" w:fill="auto"/>
            <w:noWrap/>
            <w:vAlign w:val="center"/>
            <w:hideMark/>
          </w:tcPr>
          <w:p w14:paraId="3EF557CA" w14:textId="77777777" w:rsidR="00761731" w:rsidRPr="00E11C95" w:rsidRDefault="00761731" w:rsidP="00761731">
            <w:pPr>
              <w:jc w:val="center"/>
              <w:rPr>
                <w:sz w:val="20"/>
                <w:szCs w:val="20"/>
              </w:rPr>
            </w:pPr>
            <w:r w:rsidRPr="00E11C95">
              <w:rPr>
                <w:sz w:val="20"/>
                <w:szCs w:val="20"/>
              </w:rPr>
              <w:t>1.1 (0.5-8.1)</w:t>
            </w:r>
          </w:p>
        </w:tc>
        <w:tc>
          <w:tcPr>
            <w:tcW w:w="1111" w:type="dxa"/>
            <w:tcBorders>
              <w:top w:val="nil"/>
              <w:left w:val="nil"/>
              <w:bottom w:val="nil"/>
              <w:right w:val="nil"/>
            </w:tcBorders>
            <w:shd w:val="clear" w:color="auto" w:fill="auto"/>
            <w:noWrap/>
            <w:vAlign w:val="center"/>
            <w:hideMark/>
          </w:tcPr>
          <w:p w14:paraId="6535B3ED" w14:textId="77777777" w:rsidR="00761731" w:rsidRPr="00E11C95" w:rsidRDefault="00761731" w:rsidP="00761731">
            <w:pPr>
              <w:jc w:val="center"/>
              <w:rPr>
                <w:b/>
                <w:bCs/>
                <w:sz w:val="20"/>
                <w:szCs w:val="20"/>
              </w:rPr>
            </w:pPr>
            <w:r w:rsidRPr="00E11C95">
              <w:rPr>
                <w:b/>
                <w:bCs/>
                <w:sz w:val="20"/>
                <w:szCs w:val="20"/>
              </w:rPr>
              <w:t>&lt;0.0001</w:t>
            </w:r>
          </w:p>
        </w:tc>
      </w:tr>
      <w:tr w:rsidR="00761731" w:rsidRPr="006E7B5F" w14:paraId="5DA715AE" w14:textId="77777777" w:rsidTr="00761731">
        <w:trPr>
          <w:trHeight w:val="1212"/>
        </w:trPr>
        <w:tc>
          <w:tcPr>
            <w:tcW w:w="10240" w:type="dxa"/>
            <w:gridSpan w:val="5"/>
            <w:tcBorders>
              <w:top w:val="single" w:sz="8" w:space="0" w:color="auto"/>
              <w:left w:val="nil"/>
              <w:bottom w:val="nil"/>
              <w:right w:val="nil"/>
            </w:tcBorders>
            <w:shd w:val="clear" w:color="auto" w:fill="auto"/>
            <w:hideMark/>
          </w:tcPr>
          <w:p w14:paraId="55EC19D0" w14:textId="77777777" w:rsidR="00761731" w:rsidRPr="00E11C95" w:rsidRDefault="00761731" w:rsidP="00761731">
            <w:pPr>
              <w:jc w:val="both"/>
              <w:rPr>
                <w:sz w:val="20"/>
                <w:szCs w:val="20"/>
                <w:lang w:val="en-US"/>
              </w:rPr>
            </w:pPr>
            <w:r w:rsidRPr="00E11C95">
              <w:rPr>
                <w:sz w:val="20"/>
                <w:szCs w:val="20"/>
                <w:lang w:val="en-US"/>
              </w:rPr>
              <w:t xml:space="preserve">Results are presented as n (%) or mean (SD) or median (min-max) as appropriate. P values were calculated using Chi Square or Mann-Whitney test as appropriate, except where indicated. Bold font highlights statistically significant differences. § Evaluated with t-Student test (normally distributed characteristic). * Evaluated only in groins with score 1 and 2 at visual analysis. † Evaluated in all groins considering the lymph node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in groins with score 1 and 2, and the background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in groins with score 0 at visual analysis.</w:t>
            </w:r>
          </w:p>
        </w:tc>
      </w:tr>
    </w:tbl>
    <w:p w14:paraId="2C822E2F" w14:textId="77777777" w:rsidR="006469AF" w:rsidRPr="009C7C53" w:rsidRDefault="006469AF" w:rsidP="006469AF">
      <w:pPr>
        <w:rPr>
          <w:lang w:val="en-GB"/>
        </w:rPr>
      </w:pPr>
    </w:p>
    <w:p w14:paraId="1932797F" w14:textId="77777777" w:rsidR="006469AF" w:rsidRDefault="006469AF" w:rsidP="006469AF">
      <w:pPr>
        <w:rPr>
          <w:lang w:val="en-US"/>
        </w:rPr>
      </w:pPr>
      <w:r>
        <w:rPr>
          <w:lang w:val="en-US"/>
        </w:rPr>
        <w:br w:type="page"/>
      </w:r>
    </w:p>
    <w:tbl>
      <w:tblPr>
        <w:tblW w:w="9860" w:type="dxa"/>
        <w:tblInd w:w="70" w:type="dxa"/>
        <w:tblCellMar>
          <w:left w:w="70" w:type="dxa"/>
          <w:right w:w="70" w:type="dxa"/>
        </w:tblCellMar>
        <w:tblLook w:val="04A0" w:firstRow="1" w:lastRow="0" w:firstColumn="1" w:lastColumn="0" w:noHBand="0" w:noVBand="1"/>
      </w:tblPr>
      <w:tblGrid>
        <w:gridCol w:w="3700"/>
        <w:gridCol w:w="1780"/>
        <w:gridCol w:w="1780"/>
        <w:gridCol w:w="1780"/>
        <w:gridCol w:w="820"/>
      </w:tblGrid>
      <w:tr w:rsidR="00761731" w:rsidRPr="006E7B5F" w14:paraId="26A3F8E0" w14:textId="77777777" w:rsidTr="00761731">
        <w:trPr>
          <w:trHeight w:val="528"/>
          <w:tblHeader/>
        </w:trPr>
        <w:tc>
          <w:tcPr>
            <w:tcW w:w="9860" w:type="dxa"/>
            <w:gridSpan w:val="5"/>
            <w:tcBorders>
              <w:top w:val="nil"/>
              <w:left w:val="nil"/>
              <w:bottom w:val="single" w:sz="8" w:space="0" w:color="auto"/>
              <w:right w:val="nil"/>
            </w:tcBorders>
            <w:shd w:val="clear" w:color="auto" w:fill="auto"/>
            <w:vAlign w:val="bottom"/>
            <w:hideMark/>
          </w:tcPr>
          <w:p w14:paraId="154C2E96" w14:textId="77777777" w:rsidR="00761731" w:rsidRPr="00E11C95" w:rsidRDefault="00761731" w:rsidP="00761731">
            <w:pPr>
              <w:rPr>
                <w:sz w:val="20"/>
                <w:szCs w:val="20"/>
                <w:lang w:val="en-US"/>
              </w:rPr>
            </w:pPr>
            <w:r w:rsidRPr="00E11C95">
              <w:rPr>
                <w:b/>
                <w:bCs/>
                <w:sz w:val="20"/>
                <w:szCs w:val="20"/>
                <w:lang w:val="en-US"/>
              </w:rPr>
              <w:lastRenderedPageBreak/>
              <w:t>Online Resource 2</w:t>
            </w:r>
            <w:r w:rsidRPr="00E11C95">
              <w:rPr>
                <w:sz w:val="20"/>
                <w:szCs w:val="20"/>
                <w:lang w:val="en-US"/>
              </w:rPr>
              <w:t>: Diagnostic characteristics of 42 pelvic sites evaluated by PET/CT according to histopathology</w:t>
            </w:r>
          </w:p>
        </w:tc>
      </w:tr>
      <w:tr w:rsidR="00761731" w:rsidRPr="00D81EED" w14:paraId="4E83368F" w14:textId="77777777" w:rsidTr="00761731">
        <w:trPr>
          <w:trHeight w:val="492"/>
          <w:tblHeader/>
        </w:trPr>
        <w:tc>
          <w:tcPr>
            <w:tcW w:w="3700" w:type="dxa"/>
            <w:tcBorders>
              <w:top w:val="single" w:sz="8" w:space="0" w:color="auto"/>
              <w:left w:val="nil"/>
              <w:bottom w:val="single" w:sz="8" w:space="0" w:color="auto"/>
              <w:right w:val="nil"/>
            </w:tcBorders>
            <w:shd w:val="clear" w:color="auto" w:fill="auto"/>
            <w:vAlign w:val="center"/>
            <w:hideMark/>
          </w:tcPr>
          <w:p w14:paraId="7B8F6EAE" w14:textId="77777777" w:rsidR="00761731" w:rsidRPr="00E11C95" w:rsidRDefault="00761731" w:rsidP="00761731">
            <w:pPr>
              <w:rPr>
                <w:color w:val="000000"/>
                <w:sz w:val="20"/>
                <w:szCs w:val="20"/>
              </w:rPr>
            </w:pPr>
            <w:proofErr w:type="spellStart"/>
            <w:r w:rsidRPr="00E11C95">
              <w:rPr>
                <w:color w:val="000000"/>
                <w:sz w:val="20"/>
                <w:szCs w:val="20"/>
              </w:rPr>
              <w:t>Characteristic</w:t>
            </w:r>
            <w:proofErr w:type="spellEnd"/>
          </w:p>
        </w:tc>
        <w:tc>
          <w:tcPr>
            <w:tcW w:w="1780" w:type="dxa"/>
            <w:tcBorders>
              <w:top w:val="single" w:sz="8" w:space="0" w:color="auto"/>
              <w:left w:val="nil"/>
              <w:bottom w:val="single" w:sz="8" w:space="0" w:color="auto"/>
              <w:right w:val="nil"/>
            </w:tcBorders>
            <w:shd w:val="clear" w:color="auto" w:fill="auto"/>
            <w:vAlign w:val="center"/>
            <w:hideMark/>
          </w:tcPr>
          <w:p w14:paraId="48960A16" w14:textId="77777777" w:rsidR="00761731" w:rsidRPr="00E11C95" w:rsidRDefault="00761731" w:rsidP="00761731">
            <w:pPr>
              <w:jc w:val="center"/>
              <w:rPr>
                <w:color w:val="000000"/>
                <w:sz w:val="20"/>
                <w:szCs w:val="20"/>
              </w:rPr>
            </w:pPr>
            <w:r w:rsidRPr="00E11C95">
              <w:rPr>
                <w:color w:val="000000"/>
                <w:sz w:val="20"/>
                <w:szCs w:val="20"/>
              </w:rPr>
              <w:t xml:space="preserve">Whole </w:t>
            </w:r>
            <w:proofErr w:type="spellStart"/>
            <w:r w:rsidRPr="00E11C95">
              <w:rPr>
                <w:color w:val="000000"/>
                <w:sz w:val="20"/>
                <w:szCs w:val="20"/>
              </w:rPr>
              <w:t>study</w:t>
            </w:r>
            <w:proofErr w:type="spellEnd"/>
            <w:r w:rsidRPr="00E11C95">
              <w:rPr>
                <w:color w:val="000000"/>
                <w:sz w:val="20"/>
                <w:szCs w:val="20"/>
              </w:rPr>
              <w:t xml:space="preserve"> </w:t>
            </w:r>
            <w:proofErr w:type="spellStart"/>
            <w:r w:rsidRPr="00E11C95">
              <w:rPr>
                <w:color w:val="000000"/>
                <w:sz w:val="20"/>
                <w:szCs w:val="20"/>
              </w:rPr>
              <w:t>population</w:t>
            </w:r>
            <w:proofErr w:type="spellEnd"/>
          </w:p>
        </w:tc>
        <w:tc>
          <w:tcPr>
            <w:tcW w:w="1780" w:type="dxa"/>
            <w:tcBorders>
              <w:top w:val="single" w:sz="8" w:space="0" w:color="auto"/>
              <w:left w:val="nil"/>
              <w:bottom w:val="single" w:sz="8" w:space="0" w:color="auto"/>
              <w:right w:val="nil"/>
            </w:tcBorders>
            <w:shd w:val="clear" w:color="auto" w:fill="auto"/>
            <w:vAlign w:val="center"/>
            <w:hideMark/>
          </w:tcPr>
          <w:p w14:paraId="3F0DD804" w14:textId="77777777" w:rsidR="00761731" w:rsidRPr="00E11C95" w:rsidRDefault="00761731" w:rsidP="00761731">
            <w:pPr>
              <w:jc w:val="center"/>
              <w:rPr>
                <w:color w:val="000000"/>
                <w:sz w:val="20"/>
                <w:szCs w:val="20"/>
                <w:lang w:val="en-US"/>
              </w:rPr>
            </w:pPr>
            <w:r w:rsidRPr="00E11C95">
              <w:rPr>
                <w:color w:val="000000"/>
                <w:sz w:val="20"/>
                <w:szCs w:val="20"/>
                <w:lang w:val="en-US"/>
              </w:rPr>
              <w:t>Positive pelvic lymph nodes at histology</w:t>
            </w:r>
          </w:p>
        </w:tc>
        <w:tc>
          <w:tcPr>
            <w:tcW w:w="1780" w:type="dxa"/>
            <w:tcBorders>
              <w:top w:val="single" w:sz="8" w:space="0" w:color="auto"/>
              <w:left w:val="nil"/>
              <w:bottom w:val="single" w:sz="8" w:space="0" w:color="auto"/>
              <w:right w:val="nil"/>
            </w:tcBorders>
            <w:shd w:val="clear" w:color="auto" w:fill="auto"/>
            <w:vAlign w:val="center"/>
            <w:hideMark/>
          </w:tcPr>
          <w:p w14:paraId="1124EC1F" w14:textId="77777777" w:rsidR="00761731" w:rsidRPr="00E11C95" w:rsidRDefault="00761731" w:rsidP="00761731">
            <w:pPr>
              <w:jc w:val="center"/>
              <w:rPr>
                <w:color w:val="000000"/>
                <w:sz w:val="20"/>
                <w:szCs w:val="20"/>
                <w:lang w:val="en-US"/>
              </w:rPr>
            </w:pPr>
            <w:r w:rsidRPr="00E11C95">
              <w:rPr>
                <w:color w:val="000000"/>
                <w:sz w:val="20"/>
                <w:szCs w:val="20"/>
                <w:lang w:val="en-US"/>
              </w:rPr>
              <w:t>Negative pelvic lymph nodes at histology</w:t>
            </w:r>
          </w:p>
        </w:tc>
        <w:tc>
          <w:tcPr>
            <w:tcW w:w="820" w:type="dxa"/>
            <w:tcBorders>
              <w:top w:val="single" w:sz="8" w:space="0" w:color="auto"/>
              <w:left w:val="nil"/>
              <w:bottom w:val="single" w:sz="8" w:space="0" w:color="auto"/>
              <w:right w:val="nil"/>
            </w:tcBorders>
            <w:shd w:val="clear" w:color="auto" w:fill="auto"/>
            <w:vAlign w:val="center"/>
            <w:hideMark/>
          </w:tcPr>
          <w:p w14:paraId="50830C7F" w14:textId="77777777" w:rsidR="00761731" w:rsidRPr="00E11C95" w:rsidRDefault="00761731" w:rsidP="00761731">
            <w:pPr>
              <w:jc w:val="center"/>
              <w:rPr>
                <w:color w:val="000000"/>
                <w:sz w:val="20"/>
                <w:szCs w:val="20"/>
              </w:rPr>
            </w:pPr>
            <w:r w:rsidRPr="00E11C95">
              <w:rPr>
                <w:color w:val="000000"/>
                <w:sz w:val="20"/>
                <w:szCs w:val="20"/>
              </w:rPr>
              <w:t xml:space="preserve">p </w:t>
            </w:r>
            <w:proofErr w:type="spellStart"/>
            <w:r w:rsidRPr="00E11C95">
              <w:rPr>
                <w:color w:val="000000"/>
                <w:sz w:val="20"/>
                <w:szCs w:val="20"/>
              </w:rPr>
              <w:t>value</w:t>
            </w:r>
            <w:proofErr w:type="spellEnd"/>
          </w:p>
        </w:tc>
      </w:tr>
      <w:tr w:rsidR="00761731" w:rsidRPr="00D81EED" w14:paraId="4ADAE65E" w14:textId="77777777" w:rsidTr="00761731">
        <w:trPr>
          <w:trHeight w:val="240"/>
        </w:trPr>
        <w:tc>
          <w:tcPr>
            <w:tcW w:w="3700" w:type="dxa"/>
            <w:tcBorders>
              <w:top w:val="nil"/>
              <w:left w:val="nil"/>
              <w:bottom w:val="nil"/>
              <w:right w:val="nil"/>
            </w:tcBorders>
            <w:shd w:val="clear" w:color="auto" w:fill="auto"/>
            <w:vAlign w:val="center"/>
            <w:hideMark/>
          </w:tcPr>
          <w:p w14:paraId="1AD0DE4C" w14:textId="77777777" w:rsidR="00761731" w:rsidRPr="00E11C95" w:rsidRDefault="00761731" w:rsidP="00761731">
            <w:pPr>
              <w:rPr>
                <w:b/>
                <w:bCs/>
                <w:color w:val="000000"/>
                <w:sz w:val="20"/>
                <w:szCs w:val="20"/>
              </w:rPr>
            </w:pPr>
            <w:proofErr w:type="spellStart"/>
            <w:r w:rsidRPr="00E11C95">
              <w:rPr>
                <w:b/>
                <w:bCs/>
                <w:color w:val="000000"/>
                <w:sz w:val="20"/>
                <w:szCs w:val="20"/>
              </w:rPr>
              <w:t>All</w:t>
            </w:r>
            <w:proofErr w:type="spellEnd"/>
            <w:r w:rsidRPr="00E11C95">
              <w:rPr>
                <w:b/>
                <w:bCs/>
                <w:color w:val="000000"/>
                <w:sz w:val="20"/>
                <w:szCs w:val="20"/>
              </w:rPr>
              <w:t xml:space="preserve"> </w:t>
            </w:r>
            <w:proofErr w:type="spellStart"/>
            <w:r w:rsidRPr="00E11C95">
              <w:rPr>
                <w:b/>
                <w:bCs/>
                <w:color w:val="000000"/>
                <w:sz w:val="20"/>
                <w:szCs w:val="20"/>
              </w:rPr>
              <w:t>cases</w:t>
            </w:r>
            <w:proofErr w:type="spellEnd"/>
          </w:p>
        </w:tc>
        <w:tc>
          <w:tcPr>
            <w:tcW w:w="1780" w:type="dxa"/>
            <w:tcBorders>
              <w:top w:val="nil"/>
              <w:left w:val="nil"/>
              <w:bottom w:val="nil"/>
              <w:right w:val="nil"/>
            </w:tcBorders>
            <w:shd w:val="clear" w:color="auto" w:fill="auto"/>
            <w:vAlign w:val="center"/>
            <w:hideMark/>
          </w:tcPr>
          <w:p w14:paraId="59ECD4FC" w14:textId="77777777" w:rsidR="00761731" w:rsidRPr="00E11C95" w:rsidRDefault="00761731" w:rsidP="00761731">
            <w:pPr>
              <w:jc w:val="center"/>
              <w:rPr>
                <w:color w:val="000000"/>
                <w:sz w:val="20"/>
                <w:szCs w:val="20"/>
              </w:rPr>
            </w:pPr>
            <w:r w:rsidRPr="00E11C95">
              <w:rPr>
                <w:color w:val="000000"/>
                <w:sz w:val="20"/>
                <w:szCs w:val="20"/>
              </w:rPr>
              <w:t>n=42</w:t>
            </w:r>
          </w:p>
        </w:tc>
        <w:tc>
          <w:tcPr>
            <w:tcW w:w="1780" w:type="dxa"/>
            <w:tcBorders>
              <w:top w:val="nil"/>
              <w:left w:val="nil"/>
              <w:bottom w:val="nil"/>
              <w:right w:val="nil"/>
            </w:tcBorders>
            <w:shd w:val="clear" w:color="auto" w:fill="auto"/>
            <w:vAlign w:val="center"/>
            <w:hideMark/>
          </w:tcPr>
          <w:p w14:paraId="6DB3BD68" w14:textId="77777777" w:rsidR="00761731" w:rsidRPr="00E11C95" w:rsidRDefault="00761731" w:rsidP="00761731">
            <w:pPr>
              <w:jc w:val="center"/>
              <w:rPr>
                <w:color w:val="000000"/>
                <w:sz w:val="20"/>
                <w:szCs w:val="20"/>
              </w:rPr>
            </w:pPr>
            <w:r w:rsidRPr="00E11C95">
              <w:rPr>
                <w:color w:val="000000"/>
                <w:sz w:val="20"/>
                <w:szCs w:val="20"/>
              </w:rPr>
              <w:t>n=12</w:t>
            </w:r>
          </w:p>
        </w:tc>
        <w:tc>
          <w:tcPr>
            <w:tcW w:w="1780" w:type="dxa"/>
            <w:tcBorders>
              <w:top w:val="nil"/>
              <w:left w:val="nil"/>
              <w:bottom w:val="nil"/>
              <w:right w:val="nil"/>
            </w:tcBorders>
            <w:shd w:val="clear" w:color="auto" w:fill="auto"/>
            <w:vAlign w:val="center"/>
            <w:hideMark/>
          </w:tcPr>
          <w:p w14:paraId="23763445" w14:textId="77777777" w:rsidR="00761731" w:rsidRPr="00E11C95" w:rsidRDefault="00761731" w:rsidP="00761731">
            <w:pPr>
              <w:jc w:val="center"/>
              <w:rPr>
                <w:color w:val="000000"/>
                <w:sz w:val="20"/>
                <w:szCs w:val="20"/>
              </w:rPr>
            </w:pPr>
            <w:r w:rsidRPr="00E11C95">
              <w:rPr>
                <w:color w:val="000000"/>
                <w:sz w:val="20"/>
                <w:szCs w:val="20"/>
              </w:rPr>
              <w:t>n=30</w:t>
            </w:r>
          </w:p>
        </w:tc>
        <w:tc>
          <w:tcPr>
            <w:tcW w:w="820" w:type="dxa"/>
            <w:tcBorders>
              <w:top w:val="nil"/>
              <w:left w:val="nil"/>
              <w:bottom w:val="nil"/>
              <w:right w:val="nil"/>
            </w:tcBorders>
            <w:shd w:val="clear" w:color="auto" w:fill="auto"/>
            <w:vAlign w:val="center"/>
            <w:hideMark/>
          </w:tcPr>
          <w:p w14:paraId="08C00DB7" w14:textId="77777777" w:rsidR="00761731" w:rsidRPr="00E11C95" w:rsidRDefault="00761731" w:rsidP="00761731">
            <w:pPr>
              <w:jc w:val="center"/>
              <w:rPr>
                <w:color w:val="000000"/>
                <w:sz w:val="20"/>
                <w:szCs w:val="20"/>
              </w:rPr>
            </w:pPr>
          </w:p>
        </w:tc>
      </w:tr>
      <w:tr w:rsidR="00761731" w:rsidRPr="00D81EED" w14:paraId="3C8B0DDC" w14:textId="77777777" w:rsidTr="00761731">
        <w:trPr>
          <w:trHeight w:val="480"/>
        </w:trPr>
        <w:tc>
          <w:tcPr>
            <w:tcW w:w="3700" w:type="dxa"/>
            <w:tcBorders>
              <w:top w:val="nil"/>
              <w:left w:val="nil"/>
              <w:bottom w:val="nil"/>
              <w:right w:val="nil"/>
            </w:tcBorders>
            <w:shd w:val="clear" w:color="auto" w:fill="auto"/>
            <w:vAlign w:val="center"/>
            <w:hideMark/>
          </w:tcPr>
          <w:p w14:paraId="4AC48987" w14:textId="77777777" w:rsidR="00761731" w:rsidRPr="00E11C95" w:rsidRDefault="00761731" w:rsidP="00761731">
            <w:pPr>
              <w:ind w:firstLineChars="100" w:firstLine="200"/>
              <w:rPr>
                <w:i/>
                <w:iCs/>
                <w:sz w:val="20"/>
                <w:szCs w:val="20"/>
                <w:lang w:val="en-US"/>
              </w:rPr>
            </w:pPr>
            <w:r w:rsidRPr="00E11C95">
              <w:rPr>
                <w:i/>
                <w:iCs/>
                <w:sz w:val="20"/>
                <w:szCs w:val="20"/>
                <w:lang w:val="en-US"/>
              </w:rPr>
              <w:t>Visual assessment</w:t>
            </w:r>
          </w:p>
        </w:tc>
        <w:tc>
          <w:tcPr>
            <w:tcW w:w="1780" w:type="dxa"/>
            <w:tcBorders>
              <w:top w:val="nil"/>
              <w:left w:val="nil"/>
              <w:bottom w:val="nil"/>
              <w:right w:val="nil"/>
            </w:tcBorders>
            <w:shd w:val="clear" w:color="auto" w:fill="auto"/>
            <w:noWrap/>
            <w:vAlign w:val="center"/>
            <w:hideMark/>
          </w:tcPr>
          <w:p w14:paraId="70DCD0AA" w14:textId="77777777" w:rsidR="00761731" w:rsidRPr="00E11C95" w:rsidRDefault="00761731" w:rsidP="00761731">
            <w:pPr>
              <w:jc w:val="center"/>
              <w:rPr>
                <w:sz w:val="20"/>
                <w:szCs w:val="20"/>
                <w:lang w:val="en-US"/>
              </w:rPr>
            </w:pPr>
          </w:p>
        </w:tc>
        <w:tc>
          <w:tcPr>
            <w:tcW w:w="1780" w:type="dxa"/>
            <w:tcBorders>
              <w:top w:val="nil"/>
              <w:left w:val="nil"/>
              <w:bottom w:val="nil"/>
              <w:right w:val="nil"/>
            </w:tcBorders>
            <w:shd w:val="clear" w:color="auto" w:fill="auto"/>
            <w:noWrap/>
            <w:vAlign w:val="center"/>
            <w:hideMark/>
          </w:tcPr>
          <w:p w14:paraId="623DF4AE" w14:textId="77777777" w:rsidR="00761731" w:rsidRPr="00E11C95" w:rsidRDefault="00761731" w:rsidP="00761731">
            <w:pPr>
              <w:jc w:val="center"/>
              <w:rPr>
                <w:sz w:val="20"/>
                <w:szCs w:val="20"/>
                <w:lang w:val="en-US"/>
              </w:rPr>
            </w:pPr>
          </w:p>
        </w:tc>
        <w:tc>
          <w:tcPr>
            <w:tcW w:w="1780" w:type="dxa"/>
            <w:tcBorders>
              <w:top w:val="nil"/>
              <w:left w:val="nil"/>
              <w:bottom w:val="nil"/>
              <w:right w:val="nil"/>
            </w:tcBorders>
            <w:shd w:val="clear" w:color="auto" w:fill="auto"/>
            <w:noWrap/>
            <w:vAlign w:val="center"/>
            <w:hideMark/>
          </w:tcPr>
          <w:p w14:paraId="7DE098D7" w14:textId="77777777" w:rsidR="00761731" w:rsidRPr="00E11C95" w:rsidRDefault="00761731" w:rsidP="00761731">
            <w:pPr>
              <w:jc w:val="center"/>
              <w:rPr>
                <w:sz w:val="20"/>
                <w:szCs w:val="20"/>
                <w:lang w:val="en-US"/>
              </w:rPr>
            </w:pPr>
          </w:p>
        </w:tc>
        <w:tc>
          <w:tcPr>
            <w:tcW w:w="820" w:type="dxa"/>
            <w:tcBorders>
              <w:top w:val="nil"/>
              <w:left w:val="nil"/>
              <w:bottom w:val="nil"/>
              <w:right w:val="nil"/>
            </w:tcBorders>
            <w:shd w:val="clear" w:color="auto" w:fill="auto"/>
            <w:noWrap/>
            <w:vAlign w:val="center"/>
            <w:hideMark/>
          </w:tcPr>
          <w:p w14:paraId="2C5463F2" w14:textId="77777777" w:rsidR="00761731" w:rsidRPr="00E11C95" w:rsidRDefault="00761731" w:rsidP="00761731">
            <w:pPr>
              <w:jc w:val="center"/>
              <w:rPr>
                <w:b/>
                <w:bCs/>
                <w:sz w:val="20"/>
                <w:szCs w:val="20"/>
              </w:rPr>
            </w:pPr>
            <w:r w:rsidRPr="00E11C95">
              <w:rPr>
                <w:b/>
                <w:bCs/>
                <w:sz w:val="20"/>
                <w:szCs w:val="20"/>
              </w:rPr>
              <w:t>0.004</w:t>
            </w:r>
          </w:p>
        </w:tc>
      </w:tr>
      <w:tr w:rsidR="00761731" w:rsidRPr="00D81EED" w14:paraId="6F14D0E1" w14:textId="77777777" w:rsidTr="00761731">
        <w:trPr>
          <w:trHeight w:val="240"/>
        </w:trPr>
        <w:tc>
          <w:tcPr>
            <w:tcW w:w="3700" w:type="dxa"/>
            <w:tcBorders>
              <w:top w:val="nil"/>
              <w:left w:val="nil"/>
              <w:bottom w:val="nil"/>
              <w:right w:val="nil"/>
            </w:tcBorders>
            <w:shd w:val="clear" w:color="auto" w:fill="auto"/>
            <w:noWrap/>
            <w:vAlign w:val="center"/>
            <w:hideMark/>
          </w:tcPr>
          <w:p w14:paraId="3D9F8DAF" w14:textId="77777777" w:rsidR="00761731" w:rsidRPr="00E11C95" w:rsidRDefault="00761731" w:rsidP="00761731">
            <w:pPr>
              <w:ind w:firstLineChars="200" w:firstLine="400"/>
              <w:rPr>
                <w:sz w:val="20"/>
                <w:szCs w:val="20"/>
                <w:lang w:val="en-US"/>
              </w:rPr>
            </w:pPr>
            <w:r w:rsidRPr="00E11C95">
              <w:rPr>
                <w:sz w:val="20"/>
                <w:szCs w:val="20"/>
                <w:lang w:val="en-US"/>
              </w:rPr>
              <w:t xml:space="preserve">0 </w:t>
            </w:r>
          </w:p>
        </w:tc>
        <w:tc>
          <w:tcPr>
            <w:tcW w:w="1780" w:type="dxa"/>
            <w:tcBorders>
              <w:top w:val="nil"/>
              <w:left w:val="nil"/>
              <w:bottom w:val="nil"/>
              <w:right w:val="nil"/>
            </w:tcBorders>
            <w:shd w:val="clear" w:color="auto" w:fill="auto"/>
            <w:noWrap/>
            <w:vAlign w:val="center"/>
            <w:hideMark/>
          </w:tcPr>
          <w:p w14:paraId="2D0B4778" w14:textId="77777777" w:rsidR="00761731" w:rsidRPr="00E11C95" w:rsidRDefault="00761731" w:rsidP="00761731">
            <w:pPr>
              <w:jc w:val="center"/>
              <w:rPr>
                <w:sz w:val="20"/>
                <w:szCs w:val="20"/>
              </w:rPr>
            </w:pPr>
            <w:r w:rsidRPr="00E11C95">
              <w:rPr>
                <w:sz w:val="20"/>
                <w:szCs w:val="20"/>
              </w:rPr>
              <w:t>23 (54.8)</w:t>
            </w:r>
          </w:p>
        </w:tc>
        <w:tc>
          <w:tcPr>
            <w:tcW w:w="1780" w:type="dxa"/>
            <w:tcBorders>
              <w:top w:val="nil"/>
              <w:left w:val="nil"/>
              <w:bottom w:val="nil"/>
              <w:right w:val="nil"/>
            </w:tcBorders>
            <w:shd w:val="clear" w:color="auto" w:fill="auto"/>
            <w:noWrap/>
            <w:vAlign w:val="center"/>
            <w:hideMark/>
          </w:tcPr>
          <w:p w14:paraId="24C198B8" w14:textId="77777777" w:rsidR="00761731" w:rsidRPr="00E11C95" w:rsidRDefault="00761731" w:rsidP="00761731">
            <w:pPr>
              <w:jc w:val="center"/>
              <w:rPr>
                <w:sz w:val="20"/>
                <w:szCs w:val="20"/>
              </w:rPr>
            </w:pPr>
            <w:r w:rsidRPr="00E11C95">
              <w:rPr>
                <w:sz w:val="20"/>
                <w:szCs w:val="20"/>
              </w:rPr>
              <w:t>3 (25.0)</w:t>
            </w:r>
          </w:p>
        </w:tc>
        <w:tc>
          <w:tcPr>
            <w:tcW w:w="1780" w:type="dxa"/>
            <w:tcBorders>
              <w:top w:val="nil"/>
              <w:left w:val="nil"/>
              <w:bottom w:val="nil"/>
              <w:right w:val="nil"/>
            </w:tcBorders>
            <w:shd w:val="clear" w:color="auto" w:fill="auto"/>
            <w:noWrap/>
            <w:vAlign w:val="center"/>
            <w:hideMark/>
          </w:tcPr>
          <w:p w14:paraId="320C8151" w14:textId="77777777" w:rsidR="00761731" w:rsidRPr="00E11C95" w:rsidRDefault="00761731" w:rsidP="00761731">
            <w:pPr>
              <w:jc w:val="center"/>
              <w:rPr>
                <w:sz w:val="20"/>
                <w:szCs w:val="20"/>
              </w:rPr>
            </w:pPr>
            <w:r w:rsidRPr="00E11C95">
              <w:rPr>
                <w:sz w:val="20"/>
                <w:szCs w:val="20"/>
              </w:rPr>
              <w:t>20 (66.7)</w:t>
            </w:r>
          </w:p>
        </w:tc>
        <w:tc>
          <w:tcPr>
            <w:tcW w:w="820" w:type="dxa"/>
            <w:tcBorders>
              <w:top w:val="nil"/>
              <w:left w:val="nil"/>
              <w:bottom w:val="nil"/>
              <w:right w:val="nil"/>
            </w:tcBorders>
            <w:shd w:val="clear" w:color="auto" w:fill="auto"/>
            <w:noWrap/>
            <w:vAlign w:val="center"/>
            <w:hideMark/>
          </w:tcPr>
          <w:p w14:paraId="24C9DC4A" w14:textId="77777777" w:rsidR="00761731" w:rsidRPr="00E11C95" w:rsidRDefault="00761731" w:rsidP="00761731">
            <w:pPr>
              <w:jc w:val="center"/>
              <w:rPr>
                <w:sz w:val="20"/>
                <w:szCs w:val="20"/>
              </w:rPr>
            </w:pPr>
          </w:p>
        </w:tc>
      </w:tr>
      <w:tr w:rsidR="00761731" w:rsidRPr="00D81EED" w14:paraId="19814DE9" w14:textId="77777777" w:rsidTr="00761731">
        <w:trPr>
          <w:trHeight w:val="240"/>
        </w:trPr>
        <w:tc>
          <w:tcPr>
            <w:tcW w:w="3700" w:type="dxa"/>
            <w:tcBorders>
              <w:top w:val="nil"/>
              <w:left w:val="nil"/>
              <w:bottom w:val="nil"/>
              <w:right w:val="nil"/>
            </w:tcBorders>
            <w:shd w:val="clear" w:color="auto" w:fill="auto"/>
            <w:noWrap/>
            <w:vAlign w:val="center"/>
            <w:hideMark/>
          </w:tcPr>
          <w:p w14:paraId="0C9E4B51" w14:textId="77777777" w:rsidR="00761731" w:rsidRPr="00E11C95" w:rsidRDefault="00761731" w:rsidP="00761731">
            <w:pPr>
              <w:ind w:firstLineChars="200" w:firstLine="400"/>
              <w:rPr>
                <w:sz w:val="20"/>
                <w:szCs w:val="20"/>
                <w:lang w:val="en-US"/>
              </w:rPr>
            </w:pPr>
            <w:r w:rsidRPr="00E11C95">
              <w:rPr>
                <w:sz w:val="20"/>
                <w:szCs w:val="20"/>
                <w:lang w:val="en-US"/>
              </w:rPr>
              <w:t xml:space="preserve">1 </w:t>
            </w:r>
          </w:p>
        </w:tc>
        <w:tc>
          <w:tcPr>
            <w:tcW w:w="1780" w:type="dxa"/>
            <w:tcBorders>
              <w:top w:val="nil"/>
              <w:left w:val="nil"/>
              <w:bottom w:val="nil"/>
              <w:right w:val="nil"/>
            </w:tcBorders>
            <w:shd w:val="clear" w:color="auto" w:fill="auto"/>
            <w:noWrap/>
            <w:vAlign w:val="center"/>
            <w:hideMark/>
          </w:tcPr>
          <w:p w14:paraId="2FBC1467" w14:textId="77777777" w:rsidR="00761731" w:rsidRPr="00E11C95" w:rsidRDefault="00761731" w:rsidP="00761731">
            <w:pPr>
              <w:jc w:val="center"/>
              <w:rPr>
                <w:sz w:val="20"/>
                <w:szCs w:val="20"/>
              </w:rPr>
            </w:pPr>
            <w:r w:rsidRPr="00E11C95">
              <w:rPr>
                <w:sz w:val="20"/>
                <w:szCs w:val="20"/>
              </w:rPr>
              <w:t>9 (21.4)</w:t>
            </w:r>
          </w:p>
        </w:tc>
        <w:tc>
          <w:tcPr>
            <w:tcW w:w="1780" w:type="dxa"/>
            <w:tcBorders>
              <w:top w:val="nil"/>
              <w:left w:val="nil"/>
              <w:bottom w:val="nil"/>
              <w:right w:val="nil"/>
            </w:tcBorders>
            <w:shd w:val="clear" w:color="auto" w:fill="auto"/>
            <w:noWrap/>
            <w:vAlign w:val="center"/>
            <w:hideMark/>
          </w:tcPr>
          <w:p w14:paraId="5D67932D" w14:textId="77777777" w:rsidR="00761731" w:rsidRPr="00E11C95" w:rsidRDefault="00761731" w:rsidP="00761731">
            <w:pPr>
              <w:jc w:val="center"/>
              <w:rPr>
                <w:sz w:val="20"/>
                <w:szCs w:val="20"/>
              </w:rPr>
            </w:pPr>
            <w:r w:rsidRPr="00E11C95">
              <w:rPr>
                <w:sz w:val="20"/>
                <w:szCs w:val="20"/>
              </w:rPr>
              <w:t>2 (16.7)</w:t>
            </w:r>
          </w:p>
        </w:tc>
        <w:tc>
          <w:tcPr>
            <w:tcW w:w="1780" w:type="dxa"/>
            <w:tcBorders>
              <w:top w:val="nil"/>
              <w:left w:val="nil"/>
              <w:bottom w:val="nil"/>
              <w:right w:val="nil"/>
            </w:tcBorders>
            <w:shd w:val="clear" w:color="auto" w:fill="auto"/>
            <w:noWrap/>
            <w:vAlign w:val="center"/>
            <w:hideMark/>
          </w:tcPr>
          <w:p w14:paraId="6986046E" w14:textId="77777777" w:rsidR="00761731" w:rsidRPr="00E11C95" w:rsidRDefault="00761731" w:rsidP="00761731">
            <w:pPr>
              <w:jc w:val="center"/>
              <w:rPr>
                <w:sz w:val="20"/>
                <w:szCs w:val="20"/>
              </w:rPr>
            </w:pPr>
            <w:r w:rsidRPr="00E11C95">
              <w:rPr>
                <w:sz w:val="20"/>
                <w:szCs w:val="20"/>
              </w:rPr>
              <w:t>7 (23.3)</w:t>
            </w:r>
          </w:p>
        </w:tc>
        <w:tc>
          <w:tcPr>
            <w:tcW w:w="820" w:type="dxa"/>
            <w:tcBorders>
              <w:top w:val="nil"/>
              <w:left w:val="nil"/>
              <w:bottom w:val="nil"/>
              <w:right w:val="nil"/>
            </w:tcBorders>
            <w:shd w:val="clear" w:color="auto" w:fill="auto"/>
            <w:noWrap/>
            <w:vAlign w:val="center"/>
            <w:hideMark/>
          </w:tcPr>
          <w:p w14:paraId="5564DD0E" w14:textId="77777777" w:rsidR="00761731" w:rsidRPr="00E11C95" w:rsidRDefault="00761731" w:rsidP="00761731">
            <w:pPr>
              <w:jc w:val="center"/>
              <w:rPr>
                <w:sz w:val="20"/>
                <w:szCs w:val="20"/>
              </w:rPr>
            </w:pPr>
          </w:p>
        </w:tc>
      </w:tr>
      <w:tr w:rsidR="00761731" w:rsidRPr="00D81EED" w14:paraId="0BB79777" w14:textId="77777777" w:rsidTr="00761731">
        <w:trPr>
          <w:trHeight w:val="240"/>
        </w:trPr>
        <w:tc>
          <w:tcPr>
            <w:tcW w:w="3700" w:type="dxa"/>
            <w:tcBorders>
              <w:top w:val="nil"/>
              <w:left w:val="nil"/>
              <w:bottom w:val="nil"/>
              <w:right w:val="nil"/>
            </w:tcBorders>
            <w:shd w:val="clear" w:color="auto" w:fill="auto"/>
            <w:noWrap/>
            <w:vAlign w:val="center"/>
            <w:hideMark/>
          </w:tcPr>
          <w:p w14:paraId="1096A5BC" w14:textId="77777777" w:rsidR="00761731" w:rsidRPr="00E11C95" w:rsidRDefault="00761731" w:rsidP="00761731">
            <w:pPr>
              <w:ind w:firstLineChars="200" w:firstLine="400"/>
              <w:rPr>
                <w:sz w:val="20"/>
                <w:szCs w:val="20"/>
              </w:rPr>
            </w:pPr>
            <w:r w:rsidRPr="00E11C95">
              <w:rPr>
                <w:sz w:val="20"/>
                <w:szCs w:val="20"/>
              </w:rPr>
              <w:t xml:space="preserve">2 </w:t>
            </w:r>
          </w:p>
        </w:tc>
        <w:tc>
          <w:tcPr>
            <w:tcW w:w="1780" w:type="dxa"/>
            <w:tcBorders>
              <w:top w:val="nil"/>
              <w:left w:val="nil"/>
              <w:bottom w:val="nil"/>
              <w:right w:val="nil"/>
            </w:tcBorders>
            <w:shd w:val="clear" w:color="auto" w:fill="auto"/>
            <w:noWrap/>
            <w:vAlign w:val="center"/>
            <w:hideMark/>
          </w:tcPr>
          <w:p w14:paraId="7E60D8B6" w14:textId="77777777" w:rsidR="00761731" w:rsidRPr="00E11C95" w:rsidRDefault="00761731" w:rsidP="00761731">
            <w:pPr>
              <w:jc w:val="center"/>
              <w:rPr>
                <w:sz w:val="20"/>
                <w:szCs w:val="20"/>
              </w:rPr>
            </w:pPr>
            <w:r w:rsidRPr="00E11C95">
              <w:rPr>
                <w:sz w:val="20"/>
                <w:szCs w:val="20"/>
              </w:rPr>
              <w:t>10 (23.8)</w:t>
            </w:r>
          </w:p>
        </w:tc>
        <w:tc>
          <w:tcPr>
            <w:tcW w:w="1780" w:type="dxa"/>
            <w:tcBorders>
              <w:top w:val="nil"/>
              <w:left w:val="nil"/>
              <w:bottom w:val="nil"/>
              <w:right w:val="nil"/>
            </w:tcBorders>
            <w:shd w:val="clear" w:color="auto" w:fill="auto"/>
            <w:noWrap/>
            <w:vAlign w:val="center"/>
            <w:hideMark/>
          </w:tcPr>
          <w:p w14:paraId="6466BFE4" w14:textId="77777777" w:rsidR="00761731" w:rsidRPr="00E11C95" w:rsidRDefault="00761731" w:rsidP="00761731">
            <w:pPr>
              <w:jc w:val="center"/>
              <w:rPr>
                <w:sz w:val="20"/>
                <w:szCs w:val="20"/>
              </w:rPr>
            </w:pPr>
            <w:r w:rsidRPr="00E11C95">
              <w:rPr>
                <w:sz w:val="20"/>
                <w:szCs w:val="20"/>
              </w:rPr>
              <w:t>7 (58.3)</w:t>
            </w:r>
          </w:p>
        </w:tc>
        <w:tc>
          <w:tcPr>
            <w:tcW w:w="1780" w:type="dxa"/>
            <w:tcBorders>
              <w:top w:val="nil"/>
              <w:left w:val="nil"/>
              <w:bottom w:val="nil"/>
              <w:right w:val="nil"/>
            </w:tcBorders>
            <w:shd w:val="clear" w:color="auto" w:fill="auto"/>
            <w:noWrap/>
            <w:vAlign w:val="center"/>
            <w:hideMark/>
          </w:tcPr>
          <w:p w14:paraId="54DC7EBE" w14:textId="77777777" w:rsidR="00761731" w:rsidRPr="00E11C95" w:rsidRDefault="00761731" w:rsidP="00761731">
            <w:pPr>
              <w:jc w:val="center"/>
              <w:rPr>
                <w:sz w:val="20"/>
                <w:szCs w:val="20"/>
              </w:rPr>
            </w:pPr>
            <w:r w:rsidRPr="00E11C95">
              <w:rPr>
                <w:sz w:val="20"/>
                <w:szCs w:val="20"/>
              </w:rPr>
              <w:t>3 (10.0)</w:t>
            </w:r>
          </w:p>
        </w:tc>
        <w:tc>
          <w:tcPr>
            <w:tcW w:w="820" w:type="dxa"/>
            <w:tcBorders>
              <w:top w:val="nil"/>
              <w:left w:val="nil"/>
              <w:bottom w:val="nil"/>
              <w:right w:val="nil"/>
            </w:tcBorders>
            <w:shd w:val="clear" w:color="auto" w:fill="auto"/>
            <w:noWrap/>
            <w:vAlign w:val="center"/>
            <w:hideMark/>
          </w:tcPr>
          <w:p w14:paraId="29F734F6" w14:textId="77777777" w:rsidR="00761731" w:rsidRPr="00E11C95" w:rsidRDefault="00761731" w:rsidP="00761731">
            <w:pPr>
              <w:jc w:val="center"/>
              <w:rPr>
                <w:sz w:val="20"/>
                <w:szCs w:val="20"/>
              </w:rPr>
            </w:pPr>
          </w:p>
        </w:tc>
      </w:tr>
      <w:tr w:rsidR="00761731" w:rsidRPr="00D81EED" w14:paraId="5357B8B3" w14:textId="77777777" w:rsidTr="00761731">
        <w:trPr>
          <w:trHeight w:val="240"/>
        </w:trPr>
        <w:tc>
          <w:tcPr>
            <w:tcW w:w="3700" w:type="dxa"/>
            <w:tcBorders>
              <w:top w:val="nil"/>
              <w:left w:val="nil"/>
              <w:bottom w:val="nil"/>
              <w:right w:val="nil"/>
            </w:tcBorders>
            <w:shd w:val="clear" w:color="auto" w:fill="auto"/>
            <w:noWrap/>
            <w:vAlign w:val="center"/>
            <w:hideMark/>
          </w:tcPr>
          <w:p w14:paraId="1D3A5865" w14:textId="77777777" w:rsidR="00761731" w:rsidRPr="00E11C95" w:rsidRDefault="00761731" w:rsidP="00761731">
            <w:pPr>
              <w:ind w:firstLineChars="100" w:firstLine="200"/>
              <w:rPr>
                <w:i/>
                <w:iCs/>
                <w:sz w:val="20"/>
                <w:szCs w:val="20"/>
              </w:rPr>
            </w:pPr>
            <w:proofErr w:type="spellStart"/>
            <w:r w:rsidRPr="00E11C95">
              <w:rPr>
                <w:i/>
                <w:iCs/>
                <w:sz w:val="20"/>
                <w:szCs w:val="20"/>
              </w:rPr>
              <w:t>Overall</w:t>
            </w:r>
            <w:proofErr w:type="spellEnd"/>
            <w:r w:rsidRPr="00E11C95">
              <w:rPr>
                <w:i/>
                <w:iCs/>
                <w:sz w:val="20"/>
                <w:szCs w:val="20"/>
              </w:rPr>
              <w:t xml:space="preserve"> </w:t>
            </w:r>
            <w:proofErr w:type="spellStart"/>
            <w:r w:rsidRPr="00E11C95">
              <w:rPr>
                <w:i/>
                <w:iCs/>
                <w:sz w:val="20"/>
                <w:szCs w:val="20"/>
              </w:rPr>
              <w:t>assessment</w:t>
            </w:r>
            <w:proofErr w:type="spellEnd"/>
          </w:p>
        </w:tc>
        <w:tc>
          <w:tcPr>
            <w:tcW w:w="1780" w:type="dxa"/>
            <w:tcBorders>
              <w:top w:val="nil"/>
              <w:left w:val="nil"/>
              <w:bottom w:val="nil"/>
              <w:right w:val="nil"/>
            </w:tcBorders>
            <w:shd w:val="clear" w:color="auto" w:fill="auto"/>
            <w:noWrap/>
            <w:vAlign w:val="center"/>
            <w:hideMark/>
          </w:tcPr>
          <w:p w14:paraId="625DDBF4" w14:textId="77777777" w:rsidR="00761731" w:rsidRPr="00E11C95" w:rsidRDefault="00761731" w:rsidP="00761731">
            <w:pPr>
              <w:jc w:val="center"/>
              <w:rPr>
                <w:sz w:val="20"/>
                <w:szCs w:val="20"/>
              </w:rPr>
            </w:pPr>
          </w:p>
        </w:tc>
        <w:tc>
          <w:tcPr>
            <w:tcW w:w="1780" w:type="dxa"/>
            <w:tcBorders>
              <w:top w:val="nil"/>
              <w:left w:val="nil"/>
              <w:bottom w:val="nil"/>
              <w:right w:val="nil"/>
            </w:tcBorders>
            <w:shd w:val="clear" w:color="auto" w:fill="auto"/>
            <w:noWrap/>
            <w:vAlign w:val="center"/>
            <w:hideMark/>
          </w:tcPr>
          <w:p w14:paraId="45CC017F" w14:textId="77777777" w:rsidR="00761731" w:rsidRPr="00E11C95" w:rsidRDefault="00761731" w:rsidP="00761731">
            <w:pPr>
              <w:jc w:val="center"/>
              <w:rPr>
                <w:sz w:val="20"/>
                <w:szCs w:val="20"/>
              </w:rPr>
            </w:pPr>
          </w:p>
        </w:tc>
        <w:tc>
          <w:tcPr>
            <w:tcW w:w="1780" w:type="dxa"/>
            <w:tcBorders>
              <w:top w:val="nil"/>
              <w:left w:val="nil"/>
              <w:bottom w:val="nil"/>
              <w:right w:val="nil"/>
            </w:tcBorders>
            <w:shd w:val="clear" w:color="auto" w:fill="auto"/>
            <w:noWrap/>
            <w:vAlign w:val="center"/>
            <w:hideMark/>
          </w:tcPr>
          <w:p w14:paraId="3E624785" w14:textId="77777777" w:rsidR="00761731" w:rsidRPr="00E11C95" w:rsidRDefault="00761731" w:rsidP="00761731">
            <w:pPr>
              <w:jc w:val="center"/>
              <w:rPr>
                <w:sz w:val="20"/>
                <w:szCs w:val="20"/>
              </w:rPr>
            </w:pPr>
          </w:p>
        </w:tc>
        <w:tc>
          <w:tcPr>
            <w:tcW w:w="820" w:type="dxa"/>
            <w:tcBorders>
              <w:top w:val="nil"/>
              <w:left w:val="nil"/>
              <w:bottom w:val="nil"/>
              <w:right w:val="nil"/>
            </w:tcBorders>
            <w:shd w:val="clear" w:color="auto" w:fill="auto"/>
            <w:noWrap/>
            <w:vAlign w:val="center"/>
            <w:hideMark/>
          </w:tcPr>
          <w:p w14:paraId="5B5E7FBF" w14:textId="77777777" w:rsidR="00761731" w:rsidRPr="00E11C95" w:rsidRDefault="00761731" w:rsidP="00761731">
            <w:pPr>
              <w:jc w:val="center"/>
              <w:rPr>
                <w:b/>
                <w:bCs/>
                <w:sz w:val="20"/>
                <w:szCs w:val="20"/>
              </w:rPr>
            </w:pPr>
            <w:r w:rsidRPr="00E11C95">
              <w:rPr>
                <w:b/>
                <w:bCs/>
                <w:sz w:val="20"/>
                <w:szCs w:val="20"/>
              </w:rPr>
              <w:t>0.001</w:t>
            </w:r>
          </w:p>
        </w:tc>
      </w:tr>
      <w:tr w:rsidR="00761731" w:rsidRPr="00D81EED" w14:paraId="133FA49B" w14:textId="77777777" w:rsidTr="00761731">
        <w:trPr>
          <w:trHeight w:val="240"/>
        </w:trPr>
        <w:tc>
          <w:tcPr>
            <w:tcW w:w="3700" w:type="dxa"/>
            <w:tcBorders>
              <w:top w:val="nil"/>
              <w:left w:val="nil"/>
              <w:bottom w:val="nil"/>
              <w:right w:val="nil"/>
            </w:tcBorders>
            <w:shd w:val="clear" w:color="auto" w:fill="auto"/>
            <w:noWrap/>
            <w:vAlign w:val="center"/>
            <w:hideMark/>
          </w:tcPr>
          <w:p w14:paraId="67557D99" w14:textId="77777777" w:rsidR="00761731" w:rsidRPr="00E11C95" w:rsidRDefault="00761731" w:rsidP="00761731">
            <w:pPr>
              <w:ind w:firstLineChars="200" w:firstLine="400"/>
              <w:rPr>
                <w:sz w:val="20"/>
                <w:szCs w:val="20"/>
              </w:rPr>
            </w:pPr>
            <w:proofErr w:type="spellStart"/>
            <w:r w:rsidRPr="00E11C95">
              <w:rPr>
                <w:sz w:val="20"/>
                <w:szCs w:val="20"/>
              </w:rPr>
              <w:t>Clearly</w:t>
            </w:r>
            <w:proofErr w:type="spellEnd"/>
            <w:r w:rsidRPr="00E11C95">
              <w:rPr>
                <w:sz w:val="20"/>
                <w:szCs w:val="20"/>
              </w:rPr>
              <w:t xml:space="preserve"> </w:t>
            </w:r>
            <w:proofErr w:type="spellStart"/>
            <w:r w:rsidRPr="00E11C95">
              <w:rPr>
                <w:sz w:val="20"/>
                <w:szCs w:val="20"/>
              </w:rPr>
              <w:t>normal</w:t>
            </w:r>
            <w:proofErr w:type="spellEnd"/>
          </w:p>
        </w:tc>
        <w:tc>
          <w:tcPr>
            <w:tcW w:w="1780" w:type="dxa"/>
            <w:tcBorders>
              <w:top w:val="nil"/>
              <w:left w:val="nil"/>
              <w:bottom w:val="nil"/>
              <w:right w:val="nil"/>
            </w:tcBorders>
            <w:shd w:val="clear" w:color="auto" w:fill="auto"/>
            <w:noWrap/>
            <w:vAlign w:val="center"/>
            <w:hideMark/>
          </w:tcPr>
          <w:p w14:paraId="55C036DD" w14:textId="77777777" w:rsidR="00761731" w:rsidRPr="00E11C95" w:rsidRDefault="00761731" w:rsidP="00761731">
            <w:pPr>
              <w:jc w:val="center"/>
              <w:rPr>
                <w:sz w:val="20"/>
                <w:szCs w:val="20"/>
              </w:rPr>
            </w:pPr>
            <w:r w:rsidRPr="00E11C95">
              <w:rPr>
                <w:sz w:val="20"/>
                <w:szCs w:val="20"/>
              </w:rPr>
              <w:t>23 (54.8)</w:t>
            </w:r>
          </w:p>
        </w:tc>
        <w:tc>
          <w:tcPr>
            <w:tcW w:w="1780" w:type="dxa"/>
            <w:tcBorders>
              <w:top w:val="nil"/>
              <w:left w:val="nil"/>
              <w:bottom w:val="nil"/>
              <w:right w:val="nil"/>
            </w:tcBorders>
            <w:shd w:val="clear" w:color="auto" w:fill="auto"/>
            <w:noWrap/>
            <w:vAlign w:val="center"/>
            <w:hideMark/>
          </w:tcPr>
          <w:p w14:paraId="4A05A5C9" w14:textId="77777777" w:rsidR="00761731" w:rsidRPr="00E11C95" w:rsidRDefault="00761731" w:rsidP="00761731">
            <w:pPr>
              <w:jc w:val="center"/>
              <w:rPr>
                <w:sz w:val="20"/>
                <w:szCs w:val="20"/>
              </w:rPr>
            </w:pPr>
            <w:r w:rsidRPr="00E11C95">
              <w:rPr>
                <w:sz w:val="20"/>
                <w:szCs w:val="20"/>
              </w:rPr>
              <w:t>3 (25.0)</w:t>
            </w:r>
          </w:p>
        </w:tc>
        <w:tc>
          <w:tcPr>
            <w:tcW w:w="1780" w:type="dxa"/>
            <w:tcBorders>
              <w:top w:val="nil"/>
              <w:left w:val="nil"/>
              <w:bottom w:val="nil"/>
              <w:right w:val="nil"/>
            </w:tcBorders>
            <w:shd w:val="clear" w:color="auto" w:fill="auto"/>
            <w:noWrap/>
            <w:vAlign w:val="center"/>
            <w:hideMark/>
          </w:tcPr>
          <w:p w14:paraId="55B5E044" w14:textId="77777777" w:rsidR="00761731" w:rsidRPr="00E11C95" w:rsidRDefault="00761731" w:rsidP="00761731">
            <w:pPr>
              <w:jc w:val="center"/>
              <w:rPr>
                <w:sz w:val="20"/>
                <w:szCs w:val="20"/>
              </w:rPr>
            </w:pPr>
            <w:r w:rsidRPr="00E11C95">
              <w:rPr>
                <w:sz w:val="20"/>
                <w:szCs w:val="20"/>
              </w:rPr>
              <w:t>20 (66.7)</w:t>
            </w:r>
          </w:p>
        </w:tc>
        <w:tc>
          <w:tcPr>
            <w:tcW w:w="820" w:type="dxa"/>
            <w:tcBorders>
              <w:top w:val="nil"/>
              <w:left w:val="nil"/>
              <w:bottom w:val="nil"/>
              <w:right w:val="nil"/>
            </w:tcBorders>
            <w:shd w:val="clear" w:color="auto" w:fill="auto"/>
            <w:noWrap/>
            <w:vAlign w:val="center"/>
            <w:hideMark/>
          </w:tcPr>
          <w:p w14:paraId="3D697F26" w14:textId="77777777" w:rsidR="00761731" w:rsidRPr="00E11C95" w:rsidRDefault="00761731" w:rsidP="00761731">
            <w:pPr>
              <w:jc w:val="center"/>
              <w:rPr>
                <w:sz w:val="20"/>
                <w:szCs w:val="20"/>
              </w:rPr>
            </w:pPr>
          </w:p>
        </w:tc>
      </w:tr>
      <w:tr w:rsidR="00761731" w:rsidRPr="00D81EED" w14:paraId="15D07189" w14:textId="77777777" w:rsidTr="00761731">
        <w:trPr>
          <w:trHeight w:val="240"/>
        </w:trPr>
        <w:tc>
          <w:tcPr>
            <w:tcW w:w="3700" w:type="dxa"/>
            <w:tcBorders>
              <w:top w:val="nil"/>
              <w:left w:val="nil"/>
              <w:bottom w:val="nil"/>
              <w:right w:val="nil"/>
            </w:tcBorders>
            <w:shd w:val="clear" w:color="auto" w:fill="auto"/>
            <w:noWrap/>
            <w:vAlign w:val="center"/>
            <w:hideMark/>
          </w:tcPr>
          <w:p w14:paraId="0B9A92F2" w14:textId="77777777" w:rsidR="00761731" w:rsidRPr="00E11C95" w:rsidRDefault="00761731" w:rsidP="00761731">
            <w:pPr>
              <w:ind w:firstLineChars="200" w:firstLine="400"/>
              <w:rPr>
                <w:sz w:val="20"/>
                <w:szCs w:val="20"/>
              </w:rPr>
            </w:pPr>
            <w:proofErr w:type="spellStart"/>
            <w:r w:rsidRPr="00E11C95">
              <w:rPr>
                <w:sz w:val="20"/>
                <w:szCs w:val="20"/>
              </w:rPr>
              <w:t>Inflammatory</w:t>
            </w:r>
            <w:proofErr w:type="spellEnd"/>
          </w:p>
        </w:tc>
        <w:tc>
          <w:tcPr>
            <w:tcW w:w="1780" w:type="dxa"/>
            <w:tcBorders>
              <w:top w:val="nil"/>
              <w:left w:val="nil"/>
              <w:bottom w:val="nil"/>
              <w:right w:val="nil"/>
            </w:tcBorders>
            <w:shd w:val="clear" w:color="auto" w:fill="auto"/>
            <w:noWrap/>
            <w:vAlign w:val="center"/>
            <w:hideMark/>
          </w:tcPr>
          <w:p w14:paraId="44041013" w14:textId="77777777" w:rsidR="00761731" w:rsidRPr="00E11C95" w:rsidRDefault="00761731" w:rsidP="00761731">
            <w:pPr>
              <w:jc w:val="center"/>
              <w:rPr>
                <w:sz w:val="20"/>
                <w:szCs w:val="20"/>
              </w:rPr>
            </w:pPr>
            <w:r w:rsidRPr="00E11C95">
              <w:rPr>
                <w:sz w:val="20"/>
                <w:szCs w:val="20"/>
              </w:rPr>
              <w:t>0 (0)</w:t>
            </w:r>
          </w:p>
        </w:tc>
        <w:tc>
          <w:tcPr>
            <w:tcW w:w="1780" w:type="dxa"/>
            <w:tcBorders>
              <w:top w:val="nil"/>
              <w:left w:val="nil"/>
              <w:bottom w:val="nil"/>
              <w:right w:val="nil"/>
            </w:tcBorders>
            <w:shd w:val="clear" w:color="auto" w:fill="auto"/>
            <w:noWrap/>
            <w:vAlign w:val="center"/>
            <w:hideMark/>
          </w:tcPr>
          <w:p w14:paraId="6AE991A6" w14:textId="77777777" w:rsidR="00761731" w:rsidRPr="00E11C95" w:rsidRDefault="00761731" w:rsidP="00761731">
            <w:pPr>
              <w:jc w:val="center"/>
              <w:rPr>
                <w:sz w:val="20"/>
                <w:szCs w:val="20"/>
              </w:rPr>
            </w:pPr>
            <w:r w:rsidRPr="00E11C95">
              <w:rPr>
                <w:sz w:val="20"/>
                <w:szCs w:val="20"/>
              </w:rPr>
              <w:t>0 (0)</w:t>
            </w:r>
          </w:p>
        </w:tc>
        <w:tc>
          <w:tcPr>
            <w:tcW w:w="1780" w:type="dxa"/>
            <w:tcBorders>
              <w:top w:val="nil"/>
              <w:left w:val="nil"/>
              <w:bottom w:val="nil"/>
              <w:right w:val="nil"/>
            </w:tcBorders>
            <w:shd w:val="clear" w:color="auto" w:fill="auto"/>
            <w:noWrap/>
            <w:vAlign w:val="center"/>
            <w:hideMark/>
          </w:tcPr>
          <w:p w14:paraId="1D858AF6" w14:textId="77777777" w:rsidR="00761731" w:rsidRPr="00E11C95" w:rsidRDefault="00761731" w:rsidP="00761731">
            <w:pPr>
              <w:jc w:val="center"/>
              <w:rPr>
                <w:sz w:val="20"/>
                <w:szCs w:val="20"/>
              </w:rPr>
            </w:pPr>
            <w:r w:rsidRPr="00E11C95">
              <w:rPr>
                <w:sz w:val="20"/>
                <w:szCs w:val="20"/>
              </w:rPr>
              <w:t>0 (0)</w:t>
            </w:r>
          </w:p>
        </w:tc>
        <w:tc>
          <w:tcPr>
            <w:tcW w:w="820" w:type="dxa"/>
            <w:tcBorders>
              <w:top w:val="nil"/>
              <w:left w:val="nil"/>
              <w:bottom w:val="nil"/>
              <w:right w:val="nil"/>
            </w:tcBorders>
            <w:shd w:val="clear" w:color="auto" w:fill="auto"/>
            <w:noWrap/>
            <w:vAlign w:val="center"/>
            <w:hideMark/>
          </w:tcPr>
          <w:p w14:paraId="2730CA5F" w14:textId="77777777" w:rsidR="00761731" w:rsidRPr="00E11C95" w:rsidRDefault="00761731" w:rsidP="00761731">
            <w:pPr>
              <w:jc w:val="center"/>
              <w:rPr>
                <w:sz w:val="20"/>
                <w:szCs w:val="20"/>
              </w:rPr>
            </w:pPr>
          </w:p>
        </w:tc>
      </w:tr>
      <w:tr w:rsidR="00761731" w:rsidRPr="00D81EED" w14:paraId="33F23B63" w14:textId="77777777" w:rsidTr="00761731">
        <w:trPr>
          <w:trHeight w:val="240"/>
        </w:trPr>
        <w:tc>
          <w:tcPr>
            <w:tcW w:w="3700" w:type="dxa"/>
            <w:tcBorders>
              <w:top w:val="nil"/>
              <w:left w:val="nil"/>
              <w:bottom w:val="nil"/>
              <w:right w:val="nil"/>
            </w:tcBorders>
            <w:shd w:val="clear" w:color="auto" w:fill="auto"/>
            <w:noWrap/>
            <w:vAlign w:val="center"/>
            <w:hideMark/>
          </w:tcPr>
          <w:p w14:paraId="78A05222" w14:textId="77777777" w:rsidR="00761731" w:rsidRPr="00E11C95" w:rsidRDefault="00761731" w:rsidP="00761731">
            <w:pPr>
              <w:ind w:firstLineChars="200" w:firstLine="400"/>
              <w:rPr>
                <w:sz w:val="20"/>
                <w:szCs w:val="20"/>
              </w:rPr>
            </w:pPr>
            <w:proofErr w:type="spellStart"/>
            <w:r w:rsidRPr="00E11C95">
              <w:rPr>
                <w:sz w:val="20"/>
                <w:szCs w:val="20"/>
              </w:rPr>
              <w:t>Suspicious</w:t>
            </w:r>
            <w:proofErr w:type="spellEnd"/>
          </w:p>
        </w:tc>
        <w:tc>
          <w:tcPr>
            <w:tcW w:w="1780" w:type="dxa"/>
            <w:tcBorders>
              <w:top w:val="nil"/>
              <w:left w:val="nil"/>
              <w:bottom w:val="nil"/>
              <w:right w:val="nil"/>
            </w:tcBorders>
            <w:shd w:val="clear" w:color="auto" w:fill="auto"/>
            <w:noWrap/>
            <w:vAlign w:val="center"/>
            <w:hideMark/>
          </w:tcPr>
          <w:p w14:paraId="397BD97D" w14:textId="399C4263" w:rsidR="00761731" w:rsidRPr="00E11C95" w:rsidRDefault="00761731" w:rsidP="00761731">
            <w:pPr>
              <w:jc w:val="center"/>
              <w:rPr>
                <w:sz w:val="20"/>
                <w:szCs w:val="20"/>
              </w:rPr>
            </w:pPr>
            <w:r w:rsidRPr="00E11C95">
              <w:rPr>
                <w:sz w:val="20"/>
                <w:szCs w:val="20"/>
              </w:rPr>
              <w:t>8 (19</w:t>
            </w:r>
            <w:r w:rsidR="00541246">
              <w:rPr>
                <w:sz w:val="20"/>
                <w:szCs w:val="20"/>
              </w:rPr>
              <w:t>.0</w:t>
            </w:r>
            <w:r w:rsidRPr="00E11C95">
              <w:rPr>
                <w:sz w:val="20"/>
                <w:szCs w:val="20"/>
              </w:rPr>
              <w:t>)</w:t>
            </w:r>
          </w:p>
        </w:tc>
        <w:tc>
          <w:tcPr>
            <w:tcW w:w="1780" w:type="dxa"/>
            <w:tcBorders>
              <w:top w:val="nil"/>
              <w:left w:val="nil"/>
              <w:bottom w:val="nil"/>
              <w:right w:val="nil"/>
            </w:tcBorders>
            <w:shd w:val="clear" w:color="auto" w:fill="auto"/>
            <w:noWrap/>
            <w:vAlign w:val="center"/>
            <w:hideMark/>
          </w:tcPr>
          <w:p w14:paraId="5F53630E" w14:textId="77777777" w:rsidR="00761731" w:rsidRPr="00E11C95" w:rsidRDefault="00761731" w:rsidP="00761731">
            <w:pPr>
              <w:jc w:val="center"/>
              <w:rPr>
                <w:sz w:val="20"/>
                <w:szCs w:val="20"/>
              </w:rPr>
            </w:pPr>
            <w:r w:rsidRPr="00E11C95">
              <w:rPr>
                <w:sz w:val="20"/>
                <w:szCs w:val="20"/>
              </w:rPr>
              <w:t>1 (8.3)</w:t>
            </w:r>
          </w:p>
        </w:tc>
        <w:tc>
          <w:tcPr>
            <w:tcW w:w="1780" w:type="dxa"/>
            <w:tcBorders>
              <w:top w:val="nil"/>
              <w:left w:val="nil"/>
              <w:bottom w:val="nil"/>
              <w:right w:val="nil"/>
            </w:tcBorders>
            <w:shd w:val="clear" w:color="auto" w:fill="auto"/>
            <w:noWrap/>
            <w:vAlign w:val="center"/>
            <w:hideMark/>
          </w:tcPr>
          <w:p w14:paraId="1D0BF757" w14:textId="77777777" w:rsidR="00761731" w:rsidRPr="00E11C95" w:rsidRDefault="00761731" w:rsidP="00761731">
            <w:pPr>
              <w:jc w:val="center"/>
              <w:rPr>
                <w:sz w:val="20"/>
                <w:szCs w:val="20"/>
              </w:rPr>
            </w:pPr>
            <w:r w:rsidRPr="00E11C95">
              <w:rPr>
                <w:sz w:val="20"/>
                <w:szCs w:val="20"/>
              </w:rPr>
              <w:t>7 (23.3)</w:t>
            </w:r>
          </w:p>
        </w:tc>
        <w:tc>
          <w:tcPr>
            <w:tcW w:w="820" w:type="dxa"/>
            <w:tcBorders>
              <w:top w:val="nil"/>
              <w:left w:val="nil"/>
              <w:bottom w:val="nil"/>
              <w:right w:val="nil"/>
            </w:tcBorders>
            <w:shd w:val="clear" w:color="auto" w:fill="auto"/>
            <w:noWrap/>
            <w:vAlign w:val="center"/>
            <w:hideMark/>
          </w:tcPr>
          <w:p w14:paraId="6F1C839E" w14:textId="77777777" w:rsidR="00761731" w:rsidRPr="00E11C95" w:rsidRDefault="00761731" w:rsidP="00761731">
            <w:pPr>
              <w:jc w:val="center"/>
              <w:rPr>
                <w:sz w:val="20"/>
                <w:szCs w:val="20"/>
              </w:rPr>
            </w:pPr>
          </w:p>
        </w:tc>
      </w:tr>
      <w:tr w:rsidR="00761731" w:rsidRPr="00D81EED" w14:paraId="55DB28B1" w14:textId="77777777" w:rsidTr="00761731">
        <w:trPr>
          <w:trHeight w:val="240"/>
        </w:trPr>
        <w:tc>
          <w:tcPr>
            <w:tcW w:w="3700" w:type="dxa"/>
            <w:tcBorders>
              <w:top w:val="nil"/>
              <w:left w:val="nil"/>
              <w:bottom w:val="nil"/>
              <w:right w:val="nil"/>
            </w:tcBorders>
            <w:shd w:val="clear" w:color="auto" w:fill="auto"/>
            <w:noWrap/>
            <w:vAlign w:val="center"/>
            <w:hideMark/>
          </w:tcPr>
          <w:p w14:paraId="6EDD0986" w14:textId="77777777" w:rsidR="00761731" w:rsidRPr="00E11C95" w:rsidRDefault="00761731" w:rsidP="00761731">
            <w:pPr>
              <w:ind w:firstLineChars="200" w:firstLine="400"/>
              <w:rPr>
                <w:sz w:val="20"/>
                <w:szCs w:val="20"/>
              </w:rPr>
            </w:pPr>
            <w:proofErr w:type="spellStart"/>
            <w:r w:rsidRPr="00E11C95">
              <w:rPr>
                <w:sz w:val="20"/>
                <w:szCs w:val="20"/>
              </w:rPr>
              <w:t>Clearly</w:t>
            </w:r>
            <w:proofErr w:type="spellEnd"/>
            <w:r w:rsidRPr="00E11C95">
              <w:rPr>
                <w:sz w:val="20"/>
                <w:szCs w:val="20"/>
              </w:rPr>
              <w:t xml:space="preserve"> </w:t>
            </w:r>
            <w:proofErr w:type="spellStart"/>
            <w:r w:rsidRPr="00E11C95">
              <w:rPr>
                <w:sz w:val="20"/>
                <w:szCs w:val="20"/>
              </w:rPr>
              <w:t>abnormal</w:t>
            </w:r>
            <w:proofErr w:type="spellEnd"/>
          </w:p>
        </w:tc>
        <w:tc>
          <w:tcPr>
            <w:tcW w:w="1780" w:type="dxa"/>
            <w:tcBorders>
              <w:top w:val="nil"/>
              <w:left w:val="nil"/>
              <w:bottom w:val="nil"/>
              <w:right w:val="nil"/>
            </w:tcBorders>
            <w:shd w:val="clear" w:color="auto" w:fill="auto"/>
            <w:noWrap/>
            <w:vAlign w:val="center"/>
            <w:hideMark/>
          </w:tcPr>
          <w:p w14:paraId="30C33B3D" w14:textId="77777777" w:rsidR="00761731" w:rsidRPr="00E11C95" w:rsidRDefault="00761731" w:rsidP="00761731">
            <w:pPr>
              <w:jc w:val="center"/>
              <w:rPr>
                <w:sz w:val="20"/>
                <w:szCs w:val="20"/>
              </w:rPr>
            </w:pPr>
            <w:r w:rsidRPr="00E11C95">
              <w:rPr>
                <w:sz w:val="20"/>
                <w:szCs w:val="20"/>
              </w:rPr>
              <w:t>11 (26.2)</w:t>
            </w:r>
          </w:p>
        </w:tc>
        <w:tc>
          <w:tcPr>
            <w:tcW w:w="1780" w:type="dxa"/>
            <w:tcBorders>
              <w:top w:val="nil"/>
              <w:left w:val="nil"/>
              <w:bottom w:val="nil"/>
              <w:right w:val="nil"/>
            </w:tcBorders>
            <w:shd w:val="clear" w:color="auto" w:fill="auto"/>
            <w:noWrap/>
            <w:vAlign w:val="center"/>
            <w:hideMark/>
          </w:tcPr>
          <w:p w14:paraId="4CC459D1" w14:textId="77777777" w:rsidR="00761731" w:rsidRPr="00E11C95" w:rsidRDefault="00761731" w:rsidP="00761731">
            <w:pPr>
              <w:jc w:val="center"/>
              <w:rPr>
                <w:sz w:val="20"/>
                <w:szCs w:val="20"/>
              </w:rPr>
            </w:pPr>
            <w:r w:rsidRPr="00E11C95">
              <w:rPr>
                <w:sz w:val="20"/>
                <w:szCs w:val="20"/>
              </w:rPr>
              <w:t>8 (66.7)</w:t>
            </w:r>
          </w:p>
        </w:tc>
        <w:tc>
          <w:tcPr>
            <w:tcW w:w="1780" w:type="dxa"/>
            <w:tcBorders>
              <w:top w:val="nil"/>
              <w:left w:val="nil"/>
              <w:bottom w:val="nil"/>
              <w:right w:val="nil"/>
            </w:tcBorders>
            <w:shd w:val="clear" w:color="auto" w:fill="auto"/>
            <w:noWrap/>
            <w:vAlign w:val="center"/>
            <w:hideMark/>
          </w:tcPr>
          <w:p w14:paraId="23B68BC8" w14:textId="77777777" w:rsidR="00761731" w:rsidRPr="00E11C95" w:rsidRDefault="00761731" w:rsidP="00761731">
            <w:pPr>
              <w:jc w:val="center"/>
              <w:rPr>
                <w:sz w:val="20"/>
                <w:szCs w:val="20"/>
              </w:rPr>
            </w:pPr>
            <w:r w:rsidRPr="00E11C95">
              <w:rPr>
                <w:sz w:val="20"/>
                <w:szCs w:val="20"/>
              </w:rPr>
              <w:t>3 (10.0)</w:t>
            </w:r>
          </w:p>
        </w:tc>
        <w:tc>
          <w:tcPr>
            <w:tcW w:w="820" w:type="dxa"/>
            <w:tcBorders>
              <w:top w:val="nil"/>
              <w:left w:val="nil"/>
              <w:bottom w:val="nil"/>
              <w:right w:val="nil"/>
            </w:tcBorders>
            <w:shd w:val="clear" w:color="auto" w:fill="auto"/>
            <w:noWrap/>
            <w:vAlign w:val="center"/>
            <w:hideMark/>
          </w:tcPr>
          <w:p w14:paraId="2D1D3DDE" w14:textId="77777777" w:rsidR="00761731" w:rsidRPr="00E11C95" w:rsidRDefault="00761731" w:rsidP="00761731">
            <w:pPr>
              <w:jc w:val="center"/>
              <w:rPr>
                <w:sz w:val="20"/>
                <w:szCs w:val="20"/>
              </w:rPr>
            </w:pPr>
          </w:p>
        </w:tc>
      </w:tr>
      <w:tr w:rsidR="00761731" w:rsidRPr="00D81EED" w14:paraId="5DF313F8" w14:textId="77777777" w:rsidTr="00761731">
        <w:trPr>
          <w:trHeight w:val="240"/>
        </w:trPr>
        <w:tc>
          <w:tcPr>
            <w:tcW w:w="3700" w:type="dxa"/>
            <w:tcBorders>
              <w:top w:val="nil"/>
              <w:left w:val="nil"/>
              <w:bottom w:val="nil"/>
              <w:right w:val="nil"/>
            </w:tcBorders>
            <w:shd w:val="clear" w:color="auto" w:fill="auto"/>
            <w:noWrap/>
            <w:vAlign w:val="center"/>
            <w:hideMark/>
          </w:tcPr>
          <w:p w14:paraId="53B4ED3C" w14:textId="77777777" w:rsidR="00761731" w:rsidRPr="00E11C95" w:rsidRDefault="00761731" w:rsidP="00761731">
            <w:pPr>
              <w:ind w:firstLineChars="100" w:firstLine="200"/>
              <w:rPr>
                <w:i/>
                <w:iCs/>
                <w:sz w:val="20"/>
                <w:szCs w:val="20"/>
              </w:rPr>
            </w:pPr>
            <w:proofErr w:type="spellStart"/>
            <w:r w:rsidRPr="00E11C95">
              <w:rPr>
                <w:i/>
                <w:iCs/>
                <w:sz w:val="20"/>
                <w:szCs w:val="20"/>
              </w:rPr>
              <w:t>SUV</w:t>
            </w:r>
            <w:r w:rsidRPr="00E11C95">
              <w:rPr>
                <w:i/>
                <w:iCs/>
                <w:sz w:val="20"/>
                <w:szCs w:val="20"/>
                <w:vertAlign w:val="subscript"/>
              </w:rPr>
              <w:t>max</w:t>
            </w:r>
            <w:proofErr w:type="spellEnd"/>
          </w:p>
        </w:tc>
        <w:tc>
          <w:tcPr>
            <w:tcW w:w="1780" w:type="dxa"/>
            <w:tcBorders>
              <w:top w:val="nil"/>
              <w:left w:val="nil"/>
              <w:bottom w:val="nil"/>
              <w:right w:val="nil"/>
            </w:tcBorders>
            <w:shd w:val="clear" w:color="auto" w:fill="auto"/>
            <w:noWrap/>
            <w:vAlign w:val="center"/>
            <w:hideMark/>
          </w:tcPr>
          <w:p w14:paraId="5EFDF5F4" w14:textId="77777777" w:rsidR="00761731" w:rsidRPr="00E11C95" w:rsidRDefault="00761731" w:rsidP="00761731">
            <w:pPr>
              <w:jc w:val="center"/>
              <w:rPr>
                <w:sz w:val="20"/>
                <w:szCs w:val="20"/>
              </w:rPr>
            </w:pPr>
          </w:p>
        </w:tc>
        <w:tc>
          <w:tcPr>
            <w:tcW w:w="1780" w:type="dxa"/>
            <w:tcBorders>
              <w:top w:val="nil"/>
              <w:left w:val="nil"/>
              <w:bottom w:val="nil"/>
              <w:right w:val="nil"/>
            </w:tcBorders>
            <w:shd w:val="clear" w:color="auto" w:fill="auto"/>
            <w:noWrap/>
            <w:vAlign w:val="center"/>
            <w:hideMark/>
          </w:tcPr>
          <w:p w14:paraId="4FD185B4" w14:textId="77777777" w:rsidR="00761731" w:rsidRPr="00E11C95" w:rsidRDefault="00761731" w:rsidP="00761731">
            <w:pPr>
              <w:jc w:val="center"/>
              <w:rPr>
                <w:sz w:val="20"/>
                <w:szCs w:val="20"/>
              </w:rPr>
            </w:pPr>
          </w:p>
        </w:tc>
        <w:tc>
          <w:tcPr>
            <w:tcW w:w="1780" w:type="dxa"/>
            <w:tcBorders>
              <w:top w:val="nil"/>
              <w:left w:val="nil"/>
              <w:bottom w:val="nil"/>
              <w:right w:val="nil"/>
            </w:tcBorders>
            <w:shd w:val="clear" w:color="auto" w:fill="auto"/>
            <w:noWrap/>
            <w:vAlign w:val="center"/>
            <w:hideMark/>
          </w:tcPr>
          <w:p w14:paraId="34033218" w14:textId="77777777" w:rsidR="00761731" w:rsidRPr="00E11C95" w:rsidRDefault="00761731" w:rsidP="00761731">
            <w:pPr>
              <w:jc w:val="center"/>
              <w:rPr>
                <w:sz w:val="20"/>
                <w:szCs w:val="20"/>
              </w:rPr>
            </w:pPr>
          </w:p>
        </w:tc>
        <w:tc>
          <w:tcPr>
            <w:tcW w:w="820" w:type="dxa"/>
            <w:tcBorders>
              <w:top w:val="nil"/>
              <w:left w:val="nil"/>
              <w:bottom w:val="nil"/>
              <w:right w:val="nil"/>
            </w:tcBorders>
            <w:shd w:val="clear" w:color="auto" w:fill="auto"/>
            <w:noWrap/>
            <w:vAlign w:val="center"/>
            <w:hideMark/>
          </w:tcPr>
          <w:p w14:paraId="79A5852D" w14:textId="77777777" w:rsidR="00761731" w:rsidRPr="00E11C95" w:rsidRDefault="00761731" w:rsidP="00761731">
            <w:pPr>
              <w:jc w:val="center"/>
              <w:rPr>
                <w:sz w:val="20"/>
                <w:szCs w:val="20"/>
              </w:rPr>
            </w:pPr>
          </w:p>
        </w:tc>
      </w:tr>
      <w:tr w:rsidR="00761731" w:rsidRPr="00D81EED" w14:paraId="3407EBF1" w14:textId="77777777" w:rsidTr="00761731">
        <w:trPr>
          <w:trHeight w:val="240"/>
        </w:trPr>
        <w:tc>
          <w:tcPr>
            <w:tcW w:w="3700" w:type="dxa"/>
            <w:tcBorders>
              <w:top w:val="nil"/>
              <w:left w:val="nil"/>
              <w:bottom w:val="nil"/>
              <w:right w:val="nil"/>
            </w:tcBorders>
            <w:shd w:val="clear" w:color="auto" w:fill="auto"/>
            <w:noWrap/>
            <w:vAlign w:val="center"/>
            <w:hideMark/>
          </w:tcPr>
          <w:p w14:paraId="5151FE6A" w14:textId="77777777" w:rsidR="00761731" w:rsidRPr="00E11C95" w:rsidRDefault="00761731" w:rsidP="00761731">
            <w:pPr>
              <w:ind w:firstLineChars="200" w:firstLine="400"/>
              <w:rPr>
                <w:sz w:val="20"/>
                <w:szCs w:val="20"/>
              </w:rPr>
            </w:pPr>
            <w:r w:rsidRPr="00E11C95">
              <w:rPr>
                <w:sz w:val="20"/>
                <w:szCs w:val="20"/>
              </w:rPr>
              <w:t>Background</w:t>
            </w:r>
          </w:p>
        </w:tc>
        <w:tc>
          <w:tcPr>
            <w:tcW w:w="1780" w:type="dxa"/>
            <w:tcBorders>
              <w:top w:val="nil"/>
              <w:left w:val="nil"/>
              <w:bottom w:val="nil"/>
              <w:right w:val="nil"/>
            </w:tcBorders>
            <w:shd w:val="clear" w:color="auto" w:fill="auto"/>
            <w:noWrap/>
            <w:vAlign w:val="center"/>
            <w:hideMark/>
          </w:tcPr>
          <w:p w14:paraId="519A02DF" w14:textId="77777777" w:rsidR="00761731" w:rsidRPr="00E11C95" w:rsidRDefault="00761731" w:rsidP="00761731">
            <w:pPr>
              <w:jc w:val="center"/>
              <w:rPr>
                <w:sz w:val="20"/>
                <w:szCs w:val="20"/>
              </w:rPr>
            </w:pPr>
            <w:r w:rsidRPr="00E11C95">
              <w:rPr>
                <w:sz w:val="20"/>
                <w:szCs w:val="20"/>
              </w:rPr>
              <w:t>1.0 (0.7-1.5)</w:t>
            </w:r>
          </w:p>
        </w:tc>
        <w:tc>
          <w:tcPr>
            <w:tcW w:w="1780" w:type="dxa"/>
            <w:tcBorders>
              <w:top w:val="nil"/>
              <w:left w:val="nil"/>
              <w:bottom w:val="nil"/>
              <w:right w:val="nil"/>
            </w:tcBorders>
            <w:shd w:val="clear" w:color="auto" w:fill="auto"/>
            <w:noWrap/>
            <w:vAlign w:val="center"/>
            <w:hideMark/>
          </w:tcPr>
          <w:p w14:paraId="1C6D011A" w14:textId="77777777" w:rsidR="00761731" w:rsidRPr="00E11C95" w:rsidRDefault="00761731" w:rsidP="00761731">
            <w:pPr>
              <w:jc w:val="center"/>
              <w:rPr>
                <w:sz w:val="20"/>
                <w:szCs w:val="20"/>
              </w:rPr>
            </w:pPr>
            <w:r w:rsidRPr="00E11C95">
              <w:rPr>
                <w:sz w:val="20"/>
                <w:szCs w:val="20"/>
              </w:rPr>
              <w:t>1.1 (0.9-1.5)</w:t>
            </w:r>
          </w:p>
        </w:tc>
        <w:tc>
          <w:tcPr>
            <w:tcW w:w="1780" w:type="dxa"/>
            <w:tcBorders>
              <w:top w:val="nil"/>
              <w:left w:val="nil"/>
              <w:bottom w:val="nil"/>
              <w:right w:val="nil"/>
            </w:tcBorders>
            <w:shd w:val="clear" w:color="auto" w:fill="auto"/>
            <w:noWrap/>
            <w:vAlign w:val="center"/>
            <w:hideMark/>
          </w:tcPr>
          <w:p w14:paraId="1CCFFEFD" w14:textId="77777777" w:rsidR="00761731" w:rsidRPr="00E11C95" w:rsidRDefault="00761731" w:rsidP="00761731">
            <w:pPr>
              <w:jc w:val="center"/>
              <w:rPr>
                <w:sz w:val="20"/>
                <w:szCs w:val="20"/>
              </w:rPr>
            </w:pPr>
            <w:r w:rsidRPr="00E11C95">
              <w:rPr>
                <w:sz w:val="20"/>
                <w:szCs w:val="20"/>
              </w:rPr>
              <w:t>1.0 (0.7-1.4)</w:t>
            </w:r>
          </w:p>
        </w:tc>
        <w:tc>
          <w:tcPr>
            <w:tcW w:w="820" w:type="dxa"/>
            <w:tcBorders>
              <w:top w:val="nil"/>
              <w:left w:val="nil"/>
              <w:bottom w:val="nil"/>
              <w:right w:val="nil"/>
            </w:tcBorders>
            <w:shd w:val="clear" w:color="auto" w:fill="auto"/>
            <w:noWrap/>
            <w:vAlign w:val="center"/>
            <w:hideMark/>
          </w:tcPr>
          <w:p w14:paraId="727600C1" w14:textId="77777777" w:rsidR="00761731" w:rsidRPr="00E11C95" w:rsidRDefault="00761731" w:rsidP="00761731">
            <w:pPr>
              <w:jc w:val="center"/>
              <w:rPr>
                <w:sz w:val="20"/>
                <w:szCs w:val="20"/>
              </w:rPr>
            </w:pPr>
            <w:r w:rsidRPr="00E11C95">
              <w:rPr>
                <w:sz w:val="20"/>
                <w:szCs w:val="20"/>
              </w:rPr>
              <w:t>0.309</w:t>
            </w:r>
          </w:p>
        </w:tc>
      </w:tr>
      <w:tr w:rsidR="00761731" w:rsidRPr="00D81EED" w14:paraId="2C14B146" w14:textId="77777777" w:rsidTr="00761731">
        <w:trPr>
          <w:trHeight w:val="240"/>
        </w:trPr>
        <w:tc>
          <w:tcPr>
            <w:tcW w:w="3700" w:type="dxa"/>
            <w:tcBorders>
              <w:top w:val="nil"/>
              <w:left w:val="nil"/>
              <w:bottom w:val="nil"/>
              <w:right w:val="nil"/>
            </w:tcBorders>
            <w:shd w:val="clear" w:color="auto" w:fill="auto"/>
            <w:noWrap/>
            <w:vAlign w:val="center"/>
            <w:hideMark/>
          </w:tcPr>
          <w:p w14:paraId="2EF351E5" w14:textId="77777777" w:rsidR="00761731" w:rsidRPr="00E11C95" w:rsidRDefault="00761731" w:rsidP="00761731">
            <w:pPr>
              <w:ind w:firstLineChars="200" w:firstLine="400"/>
              <w:rPr>
                <w:sz w:val="20"/>
                <w:szCs w:val="20"/>
              </w:rPr>
            </w:pPr>
            <w:proofErr w:type="spellStart"/>
            <w:r w:rsidRPr="00E11C95">
              <w:rPr>
                <w:sz w:val="20"/>
                <w:szCs w:val="20"/>
              </w:rPr>
              <w:t>Lymph</w:t>
            </w:r>
            <w:proofErr w:type="spellEnd"/>
            <w:r w:rsidRPr="00E11C95">
              <w:rPr>
                <w:sz w:val="20"/>
                <w:szCs w:val="20"/>
              </w:rPr>
              <w:t xml:space="preserve"> </w:t>
            </w:r>
            <w:proofErr w:type="spellStart"/>
            <w:r w:rsidRPr="00E11C95">
              <w:rPr>
                <w:sz w:val="20"/>
                <w:szCs w:val="20"/>
              </w:rPr>
              <w:t>node</w:t>
            </w:r>
            <w:proofErr w:type="spellEnd"/>
            <w:r w:rsidRPr="00E11C95">
              <w:rPr>
                <w:sz w:val="20"/>
                <w:szCs w:val="20"/>
              </w:rPr>
              <w:t xml:space="preserve"> *</w:t>
            </w:r>
          </w:p>
        </w:tc>
        <w:tc>
          <w:tcPr>
            <w:tcW w:w="1780" w:type="dxa"/>
            <w:tcBorders>
              <w:top w:val="nil"/>
              <w:left w:val="nil"/>
              <w:bottom w:val="nil"/>
              <w:right w:val="nil"/>
            </w:tcBorders>
            <w:shd w:val="clear" w:color="auto" w:fill="auto"/>
            <w:noWrap/>
            <w:vAlign w:val="center"/>
            <w:hideMark/>
          </w:tcPr>
          <w:p w14:paraId="479993C2" w14:textId="77777777" w:rsidR="00761731" w:rsidRPr="00E11C95" w:rsidRDefault="00761731" w:rsidP="00761731">
            <w:pPr>
              <w:jc w:val="center"/>
              <w:rPr>
                <w:sz w:val="20"/>
                <w:szCs w:val="20"/>
              </w:rPr>
            </w:pPr>
            <w:r w:rsidRPr="00E11C95">
              <w:rPr>
                <w:sz w:val="20"/>
                <w:szCs w:val="20"/>
              </w:rPr>
              <w:t>3.1 (1.8-15.5)</w:t>
            </w:r>
          </w:p>
        </w:tc>
        <w:tc>
          <w:tcPr>
            <w:tcW w:w="1780" w:type="dxa"/>
            <w:tcBorders>
              <w:top w:val="nil"/>
              <w:left w:val="nil"/>
              <w:bottom w:val="nil"/>
              <w:right w:val="nil"/>
            </w:tcBorders>
            <w:shd w:val="clear" w:color="auto" w:fill="auto"/>
            <w:noWrap/>
            <w:vAlign w:val="center"/>
            <w:hideMark/>
          </w:tcPr>
          <w:p w14:paraId="69C663F3" w14:textId="77777777" w:rsidR="00761731" w:rsidRPr="00E11C95" w:rsidRDefault="00761731" w:rsidP="00761731">
            <w:pPr>
              <w:jc w:val="center"/>
              <w:rPr>
                <w:sz w:val="20"/>
                <w:szCs w:val="20"/>
              </w:rPr>
            </w:pPr>
            <w:r w:rsidRPr="00E11C95">
              <w:rPr>
                <w:sz w:val="20"/>
                <w:szCs w:val="20"/>
              </w:rPr>
              <w:t>3.7 (2.2-15.5)</w:t>
            </w:r>
          </w:p>
        </w:tc>
        <w:tc>
          <w:tcPr>
            <w:tcW w:w="1780" w:type="dxa"/>
            <w:tcBorders>
              <w:top w:val="nil"/>
              <w:left w:val="nil"/>
              <w:bottom w:val="nil"/>
              <w:right w:val="nil"/>
            </w:tcBorders>
            <w:shd w:val="clear" w:color="auto" w:fill="auto"/>
            <w:noWrap/>
            <w:vAlign w:val="center"/>
            <w:hideMark/>
          </w:tcPr>
          <w:p w14:paraId="7AF53F62" w14:textId="77777777" w:rsidR="00761731" w:rsidRPr="00E11C95" w:rsidRDefault="00761731" w:rsidP="00761731">
            <w:pPr>
              <w:jc w:val="center"/>
              <w:rPr>
                <w:sz w:val="20"/>
                <w:szCs w:val="20"/>
              </w:rPr>
            </w:pPr>
            <w:r w:rsidRPr="00E11C95">
              <w:rPr>
                <w:sz w:val="20"/>
                <w:szCs w:val="20"/>
              </w:rPr>
              <w:t>2.5 (1.8-6.7)</w:t>
            </w:r>
          </w:p>
        </w:tc>
        <w:tc>
          <w:tcPr>
            <w:tcW w:w="820" w:type="dxa"/>
            <w:tcBorders>
              <w:top w:val="nil"/>
              <w:left w:val="nil"/>
              <w:bottom w:val="nil"/>
              <w:right w:val="nil"/>
            </w:tcBorders>
            <w:shd w:val="clear" w:color="auto" w:fill="auto"/>
            <w:noWrap/>
            <w:vAlign w:val="center"/>
            <w:hideMark/>
          </w:tcPr>
          <w:p w14:paraId="2D8D9833" w14:textId="77777777" w:rsidR="00761731" w:rsidRPr="00E11C95" w:rsidRDefault="00761731" w:rsidP="00761731">
            <w:pPr>
              <w:jc w:val="center"/>
              <w:rPr>
                <w:b/>
                <w:bCs/>
                <w:sz w:val="20"/>
                <w:szCs w:val="20"/>
              </w:rPr>
            </w:pPr>
            <w:r w:rsidRPr="00E11C95">
              <w:rPr>
                <w:b/>
                <w:bCs/>
                <w:sz w:val="20"/>
                <w:szCs w:val="20"/>
              </w:rPr>
              <w:t>0.034</w:t>
            </w:r>
          </w:p>
        </w:tc>
      </w:tr>
      <w:tr w:rsidR="00761731" w:rsidRPr="00D81EED" w14:paraId="43582D12" w14:textId="77777777" w:rsidTr="00761731">
        <w:trPr>
          <w:trHeight w:val="240"/>
        </w:trPr>
        <w:tc>
          <w:tcPr>
            <w:tcW w:w="3700" w:type="dxa"/>
            <w:tcBorders>
              <w:top w:val="nil"/>
              <w:left w:val="nil"/>
              <w:bottom w:val="nil"/>
              <w:right w:val="nil"/>
            </w:tcBorders>
            <w:shd w:val="clear" w:color="auto" w:fill="auto"/>
            <w:noWrap/>
            <w:vAlign w:val="center"/>
            <w:hideMark/>
          </w:tcPr>
          <w:p w14:paraId="30E18E9E" w14:textId="77777777" w:rsidR="00761731" w:rsidRPr="00E11C95" w:rsidRDefault="00761731" w:rsidP="00761731">
            <w:pPr>
              <w:ind w:firstLineChars="200" w:firstLine="400"/>
              <w:rPr>
                <w:sz w:val="20"/>
                <w:szCs w:val="20"/>
              </w:rPr>
            </w:pPr>
            <w:proofErr w:type="spellStart"/>
            <w:r w:rsidRPr="00E11C95">
              <w:rPr>
                <w:sz w:val="20"/>
                <w:szCs w:val="20"/>
              </w:rPr>
              <w:t>Lymph</w:t>
            </w:r>
            <w:proofErr w:type="spellEnd"/>
            <w:r w:rsidRPr="00E11C95">
              <w:rPr>
                <w:sz w:val="20"/>
                <w:szCs w:val="20"/>
              </w:rPr>
              <w:t xml:space="preserve"> </w:t>
            </w:r>
            <w:proofErr w:type="spellStart"/>
            <w:r w:rsidRPr="00E11C95">
              <w:rPr>
                <w:sz w:val="20"/>
                <w:szCs w:val="20"/>
              </w:rPr>
              <w:t>node</w:t>
            </w:r>
            <w:proofErr w:type="spellEnd"/>
            <w:r w:rsidRPr="00E11C95">
              <w:rPr>
                <w:sz w:val="20"/>
                <w:szCs w:val="20"/>
              </w:rPr>
              <w:t xml:space="preserve"> †</w:t>
            </w:r>
          </w:p>
        </w:tc>
        <w:tc>
          <w:tcPr>
            <w:tcW w:w="1780" w:type="dxa"/>
            <w:tcBorders>
              <w:top w:val="nil"/>
              <w:left w:val="nil"/>
              <w:bottom w:val="nil"/>
              <w:right w:val="nil"/>
            </w:tcBorders>
            <w:shd w:val="clear" w:color="auto" w:fill="auto"/>
            <w:noWrap/>
            <w:vAlign w:val="center"/>
            <w:hideMark/>
          </w:tcPr>
          <w:p w14:paraId="5829021D" w14:textId="77777777" w:rsidR="00761731" w:rsidRPr="00E11C95" w:rsidRDefault="00761731" w:rsidP="00761731">
            <w:pPr>
              <w:jc w:val="center"/>
              <w:rPr>
                <w:sz w:val="20"/>
                <w:szCs w:val="20"/>
              </w:rPr>
            </w:pPr>
            <w:r w:rsidRPr="00E11C95">
              <w:rPr>
                <w:sz w:val="20"/>
                <w:szCs w:val="20"/>
              </w:rPr>
              <w:t>1.4 (0.7-15.5)</w:t>
            </w:r>
          </w:p>
        </w:tc>
        <w:tc>
          <w:tcPr>
            <w:tcW w:w="1780" w:type="dxa"/>
            <w:tcBorders>
              <w:top w:val="nil"/>
              <w:left w:val="nil"/>
              <w:bottom w:val="nil"/>
              <w:right w:val="nil"/>
            </w:tcBorders>
            <w:shd w:val="clear" w:color="auto" w:fill="auto"/>
            <w:noWrap/>
            <w:vAlign w:val="center"/>
            <w:hideMark/>
          </w:tcPr>
          <w:p w14:paraId="3842EDA6" w14:textId="77777777" w:rsidR="00761731" w:rsidRPr="00E11C95" w:rsidRDefault="00761731" w:rsidP="00761731">
            <w:pPr>
              <w:jc w:val="center"/>
              <w:rPr>
                <w:sz w:val="20"/>
                <w:szCs w:val="20"/>
              </w:rPr>
            </w:pPr>
            <w:r w:rsidRPr="00E11C95">
              <w:rPr>
                <w:sz w:val="20"/>
                <w:szCs w:val="20"/>
              </w:rPr>
              <w:t>3.7 (1.1-15.5)</w:t>
            </w:r>
          </w:p>
        </w:tc>
        <w:tc>
          <w:tcPr>
            <w:tcW w:w="1780" w:type="dxa"/>
            <w:tcBorders>
              <w:top w:val="nil"/>
              <w:left w:val="nil"/>
              <w:bottom w:val="nil"/>
              <w:right w:val="nil"/>
            </w:tcBorders>
            <w:shd w:val="clear" w:color="auto" w:fill="auto"/>
            <w:noWrap/>
            <w:vAlign w:val="center"/>
            <w:hideMark/>
          </w:tcPr>
          <w:p w14:paraId="7AA3CE58" w14:textId="77777777" w:rsidR="00761731" w:rsidRPr="00E11C95" w:rsidRDefault="00761731" w:rsidP="00761731">
            <w:pPr>
              <w:jc w:val="center"/>
              <w:rPr>
                <w:sz w:val="20"/>
                <w:szCs w:val="20"/>
              </w:rPr>
            </w:pPr>
            <w:r w:rsidRPr="00E11C95">
              <w:rPr>
                <w:sz w:val="20"/>
                <w:szCs w:val="20"/>
              </w:rPr>
              <w:t>1.1 (0.7-6.7)</w:t>
            </w:r>
          </w:p>
        </w:tc>
        <w:tc>
          <w:tcPr>
            <w:tcW w:w="820" w:type="dxa"/>
            <w:tcBorders>
              <w:top w:val="nil"/>
              <w:left w:val="nil"/>
              <w:bottom w:val="nil"/>
              <w:right w:val="nil"/>
            </w:tcBorders>
            <w:shd w:val="clear" w:color="auto" w:fill="auto"/>
            <w:noWrap/>
            <w:vAlign w:val="center"/>
            <w:hideMark/>
          </w:tcPr>
          <w:p w14:paraId="79300C63" w14:textId="77777777" w:rsidR="00761731" w:rsidRPr="00E11C95" w:rsidRDefault="00761731" w:rsidP="00761731">
            <w:pPr>
              <w:jc w:val="center"/>
              <w:rPr>
                <w:b/>
                <w:bCs/>
                <w:sz w:val="20"/>
                <w:szCs w:val="20"/>
              </w:rPr>
            </w:pPr>
            <w:r w:rsidRPr="00E11C95">
              <w:rPr>
                <w:b/>
                <w:bCs/>
                <w:sz w:val="20"/>
                <w:szCs w:val="20"/>
              </w:rPr>
              <w:t>0.0006</w:t>
            </w:r>
          </w:p>
        </w:tc>
      </w:tr>
      <w:tr w:rsidR="00761731" w:rsidRPr="006E7B5F" w14:paraId="4D816EF1" w14:textId="77777777" w:rsidTr="00761731">
        <w:trPr>
          <w:trHeight w:val="1332"/>
        </w:trPr>
        <w:tc>
          <w:tcPr>
            <w:tcW w:w="9860" w:type="dxa"/>
            <w:gridSpan w:val="5"/>
            <w:tcBorders>
              <w:top w:val="single" w:sz="8" w:space="0" w:color="auto"/>
              <w:left w:val="nil"/>
              <w:bottom w:val="nil"/>
              <w:right w:val="nil"/>
            </w:tcBorders>
            <w:shd w:val="clear" w:color="auto" w:fill="auto"/>
            <w:hideMark/>
          </w:tcPr>
          <w:p w14:paraId="28C5F62A" w14:textId="77777777" w:rsidR="00761731" w:rsidRPr="00E11C95" w:rsidRDefault="00761731" w:rsidP="00761731">
            <w:pPr>
              <w:jc w:val="both"/>
              <w:rPr>
                <w:sz w:val="20"/>
                <w:szCs w:val="20"/>
                <w:lang w:val="en-US"/>
              </w:rPr>
            </w:pPr>
            <w:r w:rsidRPr="00E11C95">
              <w:rPr>
                <w:sz w:val="20"/>
                <w:szCs w:val="20"/>
                <w:lang w:val="en-US"/>
              </w:rPr>
              <w:t xml:space="preserve">Results are presented as n (%) or median (min-max) as appropriate. P values were calculated using Chi-Square or Mann-Whitney test as appropriate. § Evaluated with t-Student test (normally distributed characteristic). Bold font highlights statistically significant differences. * Evaluated only in pelvic sites with score 1 and 2 at visual analysis. † Evaluated in all pelvic sites considering the lymph node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in sites with score 1 and 2, and the background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in sites with score 0 at visual analysis. </w:t>
            </w:r>
          </w:p>
        </w:tc>
      </w:tr>
    </w:tbl>
    <w:p w14:paraId="58EECF01" w14:textId="1C1B785C" w:rsidR="001F7A8E" w:rsidRDefault="001F7A8E" w:rsidP="005E5993">
      <w:pPr>
        <w:rPr>
          <w:sz w:val="20"/>
          <w:szCs w:val="20"/>
          <w:lang w:val="en-GB" w:eastAsia="en-GB"/>
        </w:rPr>
      </w:pPr>
    </w:p>
    <w:p w14:paraId="64E51CB1" w14:textId="77777777" w:rsidR="001F7A8E" w:rsidRDefault="001F7A8E">
      <w:pPr>
        <w:rPr>
          <w:sz w:val="20"/>
          <w:szCs w:val="20"/>
          <w:lang w:val="en-GB" w:eastAsia="en-GB"/>
        </w:rPr>
      </w:pPr>
      <w:r>
        <w:rPr>
          <w:sz w:val="20"/>
          <w:szCs w:val="20"/>
          <w:lang w:val="en-GB" w:eastAsia="en-GB"/>
        </w:rPr>
        <w:br w:type="page"/>
      </w:r>
    </w:p>
    <w:p w14:paraId="224F910A" w14:textId="081FF32F" w:rsidR="00196163" w:rsidRDefault="00196163" w:rsidP="005E5993">
      <w:pPr>
        <w:rPr>
          <w:sz w:val="20"/>
          <w:szCs w:val="20"/>
          <w:lang w:val="en-US" w:eastAsia="en-GB"/>
        </w:rPr>
      </w:pPr>
    </w:p>
    <w:p w14:paraId="4CC0F451" w14:textId="48DB8D85" w:rsidR="00196163" w:rsidRDefault="00196163">
      <w:pPr>
        <w:rPr>
          <w:sz w:val="20"/>
          <w:szCs w:val="20"/>
          <w:lang w:val="en-US" w:eastAsia="en-GB"/>
        </w:rPr>
      </w:pPr>
    </w:p>
    <w:tbl>
      <w:tblPr>
        <w:tblW w:w="7916" w:type="dxa"/>
        <w:tblInd w:w="70" w:type="dxa"/>
        <w:tblCellMar>
          <w:left w:w="70" w:type="dxa"/>
          <w:right w:w="70" w:type="dxa"/>
        </w:tblCellMar>
        <w:tblLook w:val="04A0" w:firstRow="1" w:lastRow="0" w:firstColumn="1" w:lastColumn="0" w:noHBand="0" w:noVBand="1"/>
      </w:tblPr>
      <w:tblGrid>
        <w:gridCol w:w="2108"/>
        <w:gridCol w:w="1263"/>
        <w:gridCol w:w="1269"/>
        <w:gridCol w:w="1196"/>
        <w:gridCol w:w="1040"/>
        <w:gridCol w:w="1040"/>
      </w:tblGrid>
      <w:tr w:rsidR="00196163" w:rsidRPr="006E7B5F" w14:paraId="6C6ADEBA" w14:textId="77777777" w:rsidTr="00147966">
        <w:trPr>
          <w:trHeight w:val="279"/>
        </w:trPr>
        <w:tc>
          <w:tcPr>
            <w:tcW w:w="7916" w:type="dxa"/>
            <w:gridSpan w:val="6"/>
            <w:tcBorders>
              <w:top w:val="nil"/>
              <w:left w:val="nil"/>
              <w:bottom w:val="single" w:sz="8" w:space="0" w:color="auto"/>
              <w:right w:val="nil"/>
            </w:tcBorders>
            <w:shd w:val="clear" w:color="auto" w:fill="auto"/>
            <w:noWrap/>
            <w:vAlign w:val="center"/>
            <w:hideMark/>
          </w:tcPr>
          <w:p w14:paraId="2169A1A4" w14:textId="05E8A3AB" w:rsidR="00196163" w:rsidRPr="00E11C95" w:rsidRDefault="00196163" w:rsidP="00147966">
            <w:pPr>
              <w:rPr>
                <w:sz w:val="20"/>
                <w:szCs w:val="20"/>
                <w:lang w:val="en-US"/>
              </w:rPr>
            </w:pPr>
            <w:r w:rsidRPr="00E11C95">
              <w:rPr>
                <w:b/>
                <w:bCs/>
                <w:sz w:val="20"/>
                <w:szCs w:val="20"/>
                <w:lang w:val="en-US"/>
              </w:rPr>
              <w:t>Online Resource 3</w:t>
            </w:r>
            <w:r w:rsidR="006E7B5F">
              <w:rPr>
                <w:b/>
                <w:bCs/>
                <w:sz w:val="20"/>
                <w:szCs w:val="20"/>
                <w:lang w:val="en-US"/>
              </w:rPr>
              <w:t>:</w:t>
            </w:r>
            <w:r w:rsidRPr="00E11C95">
              <w:rPr>
                <w:b/>
                <w:bCs/>
                <w:sz w:val="20"/>
                <w:szCs w:val="20"/>
                <w:lang w:val="en-US"/>
              </w:rPr>
              <w:t xml:space="preserve"> </w:t>
            </w:r>
            <w:r w:rsidRPr="00E11C95">
              <w:rPr>
                <w:sz w:val="20"/>
                <w:szCs w:val="20"/>
                <w:lang w:val="en-US"/>
              </w:rPr>
              <w:t>Results of z test of proportion accordi</w:t>
            </w:r>
            <w:r w:rsidR="00C861A7">
              <w:rPr>
                <w:sz w:val="20"/>
                <w:szCs w:val="20"/>
                <w:lang w:val="en-US"/>
              </w:rPr>
              <w:t>n</w:t>
            </w:r>
            <w:r w:rsidRPr="00E11C95">
              <w:rPr>
                <w:sz w:val="20"/>
                <w:szCs w:val="20"/>
                <w:lang w:val="en-US"/>
              </w:rPr>
              <w:t>g to diagnostic performances parameters</w:t>
            </w:r>
          </w:p>
        </w:tc>
      </w:tr>
      <w:tr w:rsidR="00196163" w:rsidRPr="006E7B5F" w14:paraId="68CB92FD" w14:textId="77777777" w:rsidTr="00147966">
        <w:trPr>
          <w:trHeight w:val="492"/>
        </w:trPr>
        <w:tc>
          <w:tcPr>
            <w:tcW w:w="2108" w:type="dxa"/>
            <w:tcBorders>
              <w:top w:val="nil"/>
              <w:left w:val="nil"/>
              <w:bottom w:val="single" w:sz="8" w:space="0" w:color="auto"/>
              <w:right w:val="nil"/>
            </w:tcBorders>
            <w:shd w:val="clear" w:color="auto" w:fill="auto"/>
            <w:noWrap/>
            <w:vAlign w:val="center"/>
            <w:hideMark/>
          </w:tcPr>
          <w:p w14:paraId="5AEF70B7" w14:textId="13F8C9D7" w:rsidR="00196163" w:rsidRPr="006E7B5F" w:rsidRDefault="006E7B5F" w:rsidP="00147966">
            <w:pPr>
              <w:rPr>
                <w:sz w:val="20"/>
                <w:szCs w:val="20"/>
                <w:lang w:val="en-GB"/>
              </w:rPr>
            </w:pPr>
            <w:r w:rsidRPr="006E7B5F">
              <w:rPr>
                <w:sz w:val="20"/>
                <w:szCs w:val="20"/>
                <w:lang w:val="en-GB"/>
              </w:rPr>
              <w:t>Parameters</w:t>
            </w:r>
          </w:p>
        </w:tc>
        <w:tc>
          <w:tcPr>
            <w:tcW w:w="1263" w:type="dxa"/>
            <w:tcBorders>
              <w:top w:val="nil"/>
              <w:left w:val="nil"/>
              <w:bottom w:val="single" w:sz="8" w:space="0" w:color="auto"/>
              <w:right w:val="nil"/>
            </w:tcBorders>
            <w:shd w:val="clear" w:color="auto" w:fill="auto"/>
            <w:vAlign w:val="center"/>
            <w:hideMark/>
          </w:tcPr>
          <w:p w14:paraId="2EC41318" w14:textId="77777777" w:rsidR="00196163" w:rsidRPr="006E7B5F" w:rsidRDefault="00196163" w:rsidP="00147966">
            <w:pPr>
              <w:jc w:val="center"/>
              <w:rPr>
                <w:sz w:val="20"/>
                <w:szCs w:val="20"/>
                <w:lang w:val="en-GB"/>
              </w:rPr>
            </w:pPr>
            <w:r w:rsidRPr="006E7B5F">
              <w:rPr>
                <w:sz w:val="20"/>
                <w:szCs w:val="20"/>
                <w:lang w:val="en-GB"/>
              </w:rPr>
              <w:t>p value for sensitivity</w:t>
            </w:r>
          </w:p>
        </w:tc>
        <w:tc>
          <w:tcPr>
            <w:tcW w:w="1269" w:type="dxa"/>
            <w:tcBorders>
              <w:top w:val="nil"/>
              <w:left w:val="nil"/>
              <w:bottom w:val="single" w:sz="8" w:space="0" w:color="auto"/>
              <w:right w:val="nil"/>
            </w:tcBorders>
            <w:shd w:val="clear" w:color="auto" w:fill="auto"/>
            <w:vAlign w:val="center"/>
            <w:hideMark/>
          </w:tcPr>
          <w:p w14:paraId="331D47CD" w14:textId="77777777" w:rsidR="00196163" w:rsidRPr="006E7B5F" w:rsidRDefault="00196163" w:rsidP="00147966">
            <w:pPr>
              <w:jc w:val="center"/>
              <w:rPr>
                <w:sz w:val="20"/>
                <w:szCs w:val="20"/>
                <w:lang w:val="en-GB"/>
              </w:rPr>
            </w:pPr>
            <w:r w:rsidRPr="006E7B5F">
              <w:rPr>
                <w:sz w:val="20"/>
                <w:szCs w:val="20"/>
                <w:lang w:val="en-GB"/>
              </w:rPr>
              <w:t>p value for specificity</w:t>
            </w:r>
          </w:p>
        </w:tc>
        <w:tc>
          <w:tcPr>
            <w:tcW w:w="1196" w:type="dxa"/>
            <w:tcBorders>
              <w:top w:val="nil"/>
              <w:left w:val="nil"/>
              <w:bottom w:val="single" w:sz="8" w:space="0" w:color="auto"/>
              <w:right w:val="nil"/>
            </w:tcBorders>
            <w:shd w:val="clear" w:color="auto" w:fill="auto"/>
            <w:vAlign w:val="center"/>
            <w:hideMark/>
          </w:tcPr>
          <w:p w14:paraId="05585346" w14:textId="77777777" w:rsidR="00196163" w:rsidRPr="006E7B5F" w:rsidRDefault="00196163" w:rsidP="00147966">
            <w:pPr>
              <w:jc w:val="center"/>
              <w:rPr>
                <w:sz w:val="20"/>
                <w:szCs w:val="20"/>
                <w:lang w:val="en-GB"/>
              </w:rPr>
            </w:pPr>
            <w:r w:rsidRPr="006E7B5F">
              <w:rPr>
                <w:sz w:val="20"/>
                <w:szCs w:val="20"/>
                <w:lang w:val="en-GB"/>
              </w:rPr>
              <w:t>p value for accuracy</w:t>
            </w:r>
          </w:p>
        </w:tc>
        <w:tc>
          <w:tcPr>
            <w:tcW w:w="1040" w:type="dxa"/>
            <w:tcBorders>
              <w:top w:val="nil"/>
              <w:left w:val="nil"/>
              <w:bottom w:val="single" w:sz="8" w:space="0" w:color="auto"/>
              <w:right w:val="nil"/>
            </w:tcBorders>
            <w:shd w:val="clear" w:color="auto" w:fill="auto"/>
            <w:vAlign w:val="center"/>
            <w:hideMark/>
          </w:tcPr>
          <w:p w14:paraId="287F6911" w14:textId="77777777" w:rsidR="00196163" w:rsidRPr="006E7B5F" w:rsidRDefault="00196163" w:rsidP="00147966">
            <w:pPr>
              <w:jc w:val="center"/>
              <w:rPr>
                <w:sz w:val="20"/>
                <w:szCs w:val="20"/>
                <w:lang w:val="en-GB"/>
              </w:rPr>
            </w:pPr>
            <w:r w:rsidRPr="006E7B5F">
              <w:rPr>
                <w:sz w:val="20"/>
                <w:szCs w:val="20"/>
                <w:lang w:val="en-GB"/>
              </w:rPr>
              <w:t>p value for PPV</w:t>
            </w:r>
          </w:p>
        </w:tc>
        <w:tc>
          <w:tcPr>
            <w:tcW w:w="1040" w:type="dxa"/>
            <w:tcBorders>
              <w:top w:val="nil"/>
              <w:left w:val="nil"/>
              <w:bottom w:val="single" w:sz="8" w:space="0" w:color="auto"/>
              <w:right w:val="nil"/>
            </w:tcBorders>
            <w:shd w:val="clear" w:color="auto" w:fill="auto"/>
            <w:vAlign w:val="center"/>
            <w:hideMark/>
          </w:tcPr>
          <w:p w14:paraId="3AEE7357" w14:textId="77777777" w:rsidR="00196163" w:rsidRPr="006E7B5F" w:rsidRDefault="00196163" w:rsidP="00147966">
            <w:pPr>
              <w:jc w:val="center"/>
              <w:rPr>
                <w:sz w:val="20"/>
                <w:szCs w:val="20"/>
                <w:lang w:val="en-GB"/>
              </w:rPr>
            </w:pPr>
            <w:r w:rsidRPr="006E7B5F">
              <w:rPr>
                <w:sz w:val="20"/>
                <w:szCs w:val="20"/>
                <w:lang w:val="en-GB"/>
              </w:rPr>
              <w:t>p value for NPV</w:t>
            </w:r>
          </w:p>
        </w:tc>
      </w:tr>
      <w:tr w:rsidR="00196163" w:rsidRPr="009813DB" w14:paraId="0113E9D5" w14:textId="77777777" w:rsidTr="00147966">
        <w:trPr>
          <w:trHeight w:val="240"/>
        </w:trPr>
        <w:tc>
          <w:tcPr>
            <w:tcW w:w="2108" w:type="dxa"/>
            <w:tcBorders>
              <w:top w:val="nil"/>
              <w:left w:val="nil"/>
              <w:bottom w:val="nil"/>
              <w:right w:val="nil"/>
            </w:tcBorders>
            <w:shd w:val="clear" w:color="auto" w:fill="auto"/>
            <w:noWrap/>
            <w:vAlign w:val="center"/>
            <w:hideMark/>
          </w:tcPr>
          <w:p w14:paraId="64D2F190" w14:textId="77777777" w:rsidR="00196163" w:rsidRPr="00E11C95" w:rsidRDefault="00196163" w:rsidP="00147966">
            <w:pPr>
              <w:rPr>
                <w:b/>
                <w:sz w:val="20"/>
                <w:szCs w:val="20"/>
              </w:rPr>
            </w:pPr>
            <w:proofErr w:type="spellStart"/>
            <w:r w:rsidRPr="00E11C95">
              <w:rPr>
                <w:b/>
                <w:sz w:val="20"/>
                <w:szCs w:val="20"/>
              </w:rPr>
              <w:t>Groin</w:t>
            </w:r>
            <w:proofErr w:type="spellEnd"/>
          </w:p>
        </w:tc>
        <w:tc>
          <w:tcPr>
            <w:tcW w:w="1263" w:type="dxa"/>
            <w:tcBorders>
              <w:top w:val="nil"/>
              <w:left w:val="nil"/>
              <w:bottom w:val="nil"/>
              <w:right w:val="nil"/>
            </w:tcBorders>
            <w:shd w:val="clear" w:color="auto" w:fill="auto"/>
            <w:vAlign w:val="center"/>
            <w:hideMark/>
          </w:tcPr>
          <w:p w14:paraId="0B8A129C" w14:textId="77777777" w:rsidR="00196163" w:rsidRPr="00E11C95" w:rsidRDefault="00196163" w:rsidP="00147966">
            <w:pPr>
              <w:jc w:val="center"/>
              <w:rPr>
                <w:sz w:val="20"/>
                <w:szCs w:val="20"/>
              </w:rPr>
            </w:pPr>
          </w:p>
        </w:tc>
        <w:tc>
          <w:tcPr>
            <w:tcW w:w="1269" w:type="dxa"/>
            <w:tcBorders>
              <w:top w:val="nil"/>
              <w:left w:val="nil"/>
              <w:bottom w:val="nil"/>
              <w:right w:val="nil"/>
            </w:tcBorders>
            <w:shd w:val="clear" w:color="auto" w:fill="auto"/>
            <w:vAlign w:val="center"/>
            <w:hideMark/>
          </w:tcPr>
          <w:p w14:paraId="4AF8905C" w14:textId="77777777" w:rsidR="00196163" w:rsidRPr="009813DB" w:rsidRDefault="00196163" w:rsidP="00147966">
            <w:pPr>
              <w:jc w:val="center"/>
              <w:rPr>
                <w:sz w:val="20"/>
                <w:szCs w:val="20"/>
              </w:rPr>
            </w:pPr>
          </w:p>
        </w:tc>
        <w:tc>
          <w:tcPr>
            <w:tcW w:w="1196" w:type="dxa"/>
            <w:tcBorders>
              <w:top w:val="nil"/>
              <w:left w:val="nil"/>
              <w:bottom w:val="nil"/>
              <w:right w:val="nil"/>
            </w:tcBorders>
            <w:shd w:val="clear" w:color="auto" w:fill="auto"/>
            <w:vAlign w:val="center"/>
            <w:hideMark/>
          </w:tcPr>
          <w:p w14:paraId="3CC70146" w14:textId="77777777" w:rsidR="00196163" w:rsidRPr="009813DB" w:rsidRDefault="00196163" w:rsidP="00147966">
            <w:pPr>
              <w:jc w:val="center"/>
              <w:rPr>
                <w:sz w:val="20"/>
                <w:szCs w:val="20"/>
              </w:rPr>
            </w:pPr>
          </w:p>
        </w:tc>
        <w:tc>
          <w:tcPr>
            <w:tcW w:w="1040" w:type="dxa"/>
            <w:tcBorders>
              <w:top w:val="nil"/>
              <w:left w:val="nil"/>
              <w:bottom w:val="nil"/>
              <w:right w:val="nil"/>
            </w:tcBorders>
            <w:shd w:val="clear" w:color="auto" w:fill="auto"/>
            <w:vAlign w:val="center"/>
            <w:hideMark/>
          </w:tcPr>
          <w:p w14:paraId="3988AAD4" w14:textId="77777777" w:rsidR="00196163" w:rsidRPr="009813DB" w:rsidRDefault="00196163" w:rsidP="00147966">
            <w:pPr>
              <w:jc w:val="center"/>
              <w:rPr>
                <w:sz w:val="20"/>
                <w:szCs w:val="20"/>
              </w:rPr>
            </w:pPr>
          </w:p>
        </w:tc>
        <w:tc>
          <w:tcPr>
            <w:tcW w:w="1040" w:type="dxa"/>
            <w:tcBorders>
              <w:top w:val="nil"/>
              <w:left w:val="nil"/>
              <w:bottom w:val="nil"/>
              <w:right w:val="nil"/>
            </w:tcBorders>
            <w:shd w:val="clear" w:color="auto" w:fill="auto"/>
            <w:vAlign w:val="center"/>
            <w:hideMark/>
          </w:tcPr>
          <w:p w14:paraId="4B0E5D08" w14:textId="77777777" w:rsidR="00196163" w:rsidRPr="009813DB" w:rsidRDefault="00196163" w:rsidP="00147966">
            <w:pPr>
              <w:jc w:val="center"/>
              <w:rPr>
                <w:sz w:val="20"/>
                <w:szCs w:val="20"/>
              </w:rPr>
            </w:pPr>
          </w:p>
        </w:tc>
      </w:tr>
      <w:tr w:rsidR="00196163" w:rsidRPr="009813DB" w14:paraId="0F67AEA1" w14:textId="77777777" w:rsidTr="00147966">
        <w:trPr>
          <w:trHeight w:val="480"/>
        </w:trPr>
        <w:tc>
          <w:tcPr>
            <w:tcW w:w="2108" w:type="dxa"/>
            <w:tcBorders>
              <w:top w:val="nil"/>
              <w:left w:val="nil"/>
              <w:bottom w:val="nil"/>
              <w:right w:val="nil"/>
            </w:tcBorders>
            <w:shd w:val="clear" w:color="auto" w:fill="auto"/>
            <w:vAlign w:val="center"/>
            <w:hideMark/>
          </w:tcPr>
          <w:p w14:paraId="73FE2F65" w14:textId="0D6F17B5" w:rsidR="00196163" w:rsidRPr="00E11C95" w:rsidRDefault="00196163" w:rsidP="006E7B5F">
            <w:pPr>
              <w:rPr>
                <w:sz w:val="20"/>
                <w:szCs w:val="20"/>
                <w:lang w:val="en-US"/>
              </w:rPr>
            </w:pPr>
            <w:r w:rsidRPr="00E11C95">
              <w:rPr>
                <w:sz w:val="20"/>
                <w:szCs w:val="20"/>
                <w:lang w:val="en-US"/>
              </w:rPr>
              <w:t xml:space="preserve">LN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vs</w:t>
            </w:r>
            <w:r w:rsidR="006E7B5F">
              <w:rPr>
                <w:sz w:val="20"/>
                <w:szCs w:val="20"/>
                <w:lang w:val="en-US"/>
              </w:rPr>
              <w:t>.</w:t>
            </w:r>
            <w:r w:rsidRPr="00E11C95">
              <w:rPr>
                <w:sz w:val="20"/>
                <w:szCs w:val="20"/>
                <w:lang w:val="en-US"/>
              </w:rPr>
              <w:t xml:space="preserve"> </w:t>
            </w:r>
            <w:r w:rsidR="006E7B5F" w:rsidRPr="006E7B5F">
              <w:rPr>
                <w:i/>
                <w:iCs/>
                <w:sz w:val="20"/>
                <w:szCs w:val="20"/>
                <w:lang w:val="en-US"/>
              </w:rPr>
              <w:t>v</w:t>
            </w:r>
            <w:r w:rsidRPr="006E7B5F">
              <w:rPr>
                <w:i/>
                <w:iCs/>
                <w:sz w:val="20"/>
                <w:szCs w:val="20"/>
                <w:lang w:val="en-US"/>
              </w:rPr>
              <w:t>isual assessment</w:t>
            </w:r>
          </w:p>
        </w:tc>
        <w:tc>
          <w:tcPr>
            <w:tcW w:w="1263" w:type="dxa"/>
            <w:tcBorders>
              <w:top w:val="nil"/>
              <w:left w:val="nil"/>
              <w:bottom w:val="nil"/>
              <w:right w:val="nil"/>
            </w:tcBorders>
            <w:shd w:val="clear" w:color="auto" w:fill="auto"/>
            <w:noWrap/>
            <w:vAlign w:val="center"/>
            <w:hideMark/>
          </w:tcPr>
          <w:p w14:paraId="796D3D89" w14:textId="77777777" w:rsidR="00196163" w:rsidRPr="00E11C95" w:rsidRDefault="00196163" w:rsidP="00147966">
            <w:pPr>
              <w:jc w:val="center"/>
              <w:rPr>
                <w:sz w:val="20"/>
                <w:szCs w:val="20"/>
              </w:rPr>
            </w:pPr>
            <w:r w:rsidRPr="00E11C95">
              <w:rPr>
                <w:sz w:val="20"/>
                <w:szCs w:val="20"/>
              </w:rPr>
              <w:t>0.049</w:t>
            </w:r>
          </w:p>
        </w:tc>
        <w:tc>
          <w:tcPr>
            <w:tcW w:w="1269" w:type="dxa"/>
            <w:tcBorders>
              <w:top w:val="nil"/>
              <w:left w:val="nil"/>
              <w:bottom w:val="nil"/>
              <w:right w:val="nil"/>
            </w:tcBorders>
            <w:shd w:val="clear" w:color="auto" w:fill="auto"/>
            <w:noWrap/>
            <w:vAlign w:val="center"/>
            <w:hideMark/>
          </w:tcPr>
          <w:p w14:paraId="6EDEA249" w14:textId="77777777" w:rsidR="00196163" w:rsidRPr="009813DB" w:rsidRDefault="00196163" w:rsidP="00147966">
            <w:pPr>
              <w:jc w:val="center"/>
              <w:rPr>
                <w:b/>
                <w:bCs/>
                <w:sz w:val="20"/>
                <w:szCs w:val="20"/>
              </w:rPr>
            </w:pPr>
            <w:r w:rsidRPr="009813DB">
              <w:rPr>
                <w:b/>
                <w:bCs/>
                <w:sz w:val="20"/>
                <w:szCs w:val="20"/>
              </w:rPr>
              <w:t>&lt;0 .00001</w:t>
            </w:r>
          </w:p>
        </w:tc>
        <w:tc>
          <w:tcPr>
            <w:tcW w:w="1196" w:type="dxa"/>
            <w:tcBorders>
              <w:top w:val="nil"/>
              <w:left w:val="nil"/>
              <w:bottom w:val="nil"/>
              <w:right w:val="nil"/>
            </w:tcBorders>
            <w:shd w:val="clear" w:color="auto" w:fill="auto"/>
            <w:noWrap/>
            <w:vAlign w:val="center"/>
            <w:hideMark/>
          </w:tcPr>
          <w:p w14:paraId="6E04AB8D" w14:textId="77777777" w:rsidR="00196163" w:rsidRPr="000C4929" w:rsidRDefault="00196163" w:rsidP="00147966">
            <w:pPr>
              <w:jc w:val="center"/>
              <w:rPr>
                <w:b/>
                <w:sz w:val="20"/>
                <w:szCs w:val="20"/>
              </w:rPr>
            </w:pPr>
            <w:r w:rsidRPr="000C4929">
              <w:rPr>
                <w:b/>
                <w:sz w:val="20"/>
                <w:szCs w:val="20"/>
              </w:rPr>
              <w:t>0.0101</w:t>
            </w:r>
          </w:p>
        </w:tc>
        <w:tc>
          <w:tcPr>
            <w:tcW w:w="1040" w:type="dxa"/>
            <w:tcBorders>
              <w:top w:val="nil"/>
              <w:left w:val="nil"/>
              <w:bottom w:val="nil"/>
              <w:right w:val="nil"/>
            </w:tcBorders>
            <w:shd w:val="clear" w:color="auto" w:fill="auto"/>
            <w:noWrap/>
            <w:vAlign w:val="center"/>
            <w:hideMark/>
          </w:tcPr>
          <w:p w14:paraId="443622C1" w14:textId="77777777" w:rsidR="00196163" w:rsidRPr="009813DB" w:rsidRDefault="00196163" w:rsidP="00147966">
            <w:pPr>
              <w:jc w:val="center"/>
              <w:rPr>
                <w:sz w:val="20"/>
                <w:szCs w:val="20"/>
              </w:rPr>
            </w:pPr>
            <w:r w:rsidRPr="009813DB">
              <w:rPr>
                <w:sz w:val="20"/>
                <w:szCs w:val="20"/>
              </w:rPr>
              <w:t>0.029</w:t>
            </w:r>
          </w:p>
        </w:tc>
        <w:tc>
          <w:tcPr>
            <w:tcW w:w="1040" w:type="dxa"/>
            <w:tcBorders>
              <w:top w:val="nil"/>
              <w:left w:val="nil"/>
              <w:bottom w:val="nil"/>
              <w:right w:val="nil"/>
            </w:tcBorders>
            <w:shd w:val="clear" w:color="auto" w:fill="auto"/>
            <w:noWrap/>
            <w:vAlign w:val="center"/>
            <w:hideMark/>
          </w:tcPr>
          <w:p w14:paraId="6BE01A8E" w14:textId="77777777" w:rsidR="00196163" w:rsidRPr="009813DB" w:rsidRDefault="00196163" w:rsidP="00147966">
            <w:pPr>
              <w:jc w:val="center"/>
              <w:rPr>
                <w:sz w:val="20"/>
                <w:szCs w:val="20"/>
              </w:rPr>
            </w:pPr>
            <w:r w:rsidRPr="009813DB">
              <w:rPr>
                <w:sz w:val="20"/>
                <w:szCs w:val="20"/>
              </w:rPr>
              <w:t>0.435</w:t>
            </w:r>
          </w:p>
        </w:tc>
      </w:tr>
      <w:tr w:rsidR="00196163" w:rsidRPr="009813DB" w14:paraId="24D19BBF" w14:textId="77777777" w:rsidTr="00147966">
        <w:trPr>
          <w:trHeight w:val="480"/>
        </w:trPr>
        <w:tc>
          <w:tcPr>
            <w:tcW w:w="2108" w:type="dxa"/>
            <w:tcBorders>
              <w:top w:val="nil"/>
              <w:left w:val="nil"/>
              <w:bottom w:val="nil"/>
              <w:right w:val="nil"/>
            </w:tcBorders>
            <w:shd w:val="clear" w:color="auto" w:fill="auto"/>
            <w:vAlign w:val="center"/>
            <w:hideMark/>
          </w:tcPr>
          <w:p w14:paraId="17A2FF7A" w14:textId="2C189248" w:rsidR="00196163" w:rsidRPr="00E11C95" w:rsidRDefault="00196163" w:rsidP="006E7B5F">
            <w:pPr>
              <w:rPr>
                <w:sz w:val="20"/>
                <w:szCs w:val="20"/>
                <w:lang w:val="en-US"/>
              </w:rPr>
            </w:pPr>
            <w:r w:rsidRPr="00E11C95">
              <w:rPr>
                <w:sz w:val="20"/>
                <w:szCs w:val="20"/>
                <w:lang w:val="en-US"/>
              </w:rPr>
              <w:t xml:space="preserve">LN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vs</w:t>
            </w:r>
            <w:r w:rsidR="006E7B5F">
              <w:rPr>
                <w:sz w:val="20"/>
                <w:szCs w:val="20"/>
                <w:lang w:val="en-US"/>
              </w:rPr>
              <w:t>.</w:t>
            </w:r>
            <w:r w:rsidRPr="00E11C95">
              <w:rPr>
                <w:sz w:val="20"/>
                <w:szCs w:val="20"/>
                <w:lang w:val="en-US"/>
              </w:rPr>
              <w:t xml:space="preserve"> </w:t>
            </w:r>
            <w:r w:rsidR="006E7B5F" w:rsidRPr="006E7B5F">
              <w:rPr>
                <w:i/>
                <w:iCs/>
                <w:sz w:val="20"/>
                <w:szCs w:val="20"/>
                <w:lang w:val="en-US"/>
              </w:rPr>
              <w:t>o</w:t>
            </w:r>
            <w:r w:rsidRPr="006E7B5F">
              <w:rPr>
                <w:i/>
                <w:iCs/>
                <w:sz w:val="20"/>
                <w:szCs w:val="20"/>
                <w:lang w:val="en-US"/>
              </w:rPr>
              <w:t>verall assessment</w:t>
            </w:r>
          </w:p>
        </w:tc>
        <w:tc>
          <w:tcPr>
            <w:tcW w:w="1263" w:type="dxa"/>
            <w:tcBorders>
              <w:top w:val="nil"/>
              <w:left w:val="nil"/>
              <w:bottom w:val="nil"/>
              <w:right w:val="nil"/>
            </w:tcBorders>
            <w:shd w:val="clear" w:color="auto" w:fill="auto"/>
            <w:noWrap/>
            <w:vAlign w:val="center"/>
            <w:hideMark/>
          </w:tcPr>
          <w:p w14:paraId="632FAC82" w14:textId="77777777" w:rsidR="00196163" w:rsidRPr="00E11C95" w:rsidRDefault="00196163" w:rsidP="00147966">
            <w:pPr>
              <w:jc w:val="center"/>
              <w:rPr>
                <w:sz w:val="20"/>
                <w:szCs w:val="20"/>
              </w:rPr>
            </w:pPr>
            <w:r w:rsidRPr="00E11C95">
              <w:rPr>
                <w:sz w:val="20"/>
                <w:szCs w:val="20"/>
              </w:rPr>
              <w:t>0.596</w:t>
            </w:r>
          </w:p>
        </w:tc>
        <w:tc>
          <w:tcPr>
            <w:tcW w:w="1269" w:type="dxa"/>
            <w:tcBorders>
              <w:top w:val="nil"/>
              <w:left w:val="nil"/>
              <w:bottom w:val="nil"/>
              <w:right w:val="nil"/>
            </w:tcBorders>
            <w:shd w:val="clear" w:color="auto" w:fill="auto"/>
            <w:noWrap/>
            <w:vAlign w:val="center"/>
            <w:hideMark/>
          </w:tcPr>
          <w:p w14:paraId="36F9D21E" w14:textId="77777777" w:rsidR="00196163" w:rsidRPr="009813DB" w:rsidRDefault="00196163" w:rsidP="00147966">
            <w:pPr>
              <w:jc w:val="center"/>
              <w:rPr>
                <w:sz w:val="20"/>
                <w:szCs w:val="20"/>
              </w:rPr>
            </w:pPr>
            <w:r w:rsidRPr="009813DB">
              <w:rPr>
                <w:sz w:val="20"/>
                <w:szCs w:val="20"/>
              </w:rPr>
              <w:t>0.271</w:t>
            </w:r>
          </w:p>
        </w:tc>
        <w:tc>
          <w:tcPr>
            <w:tcW w:w="1196" w:type="dxa"/>
            <w:tcBorders>
              <w:top w:val="nil"/>
              <w:left w:val="nil"/>
              <w:bottom w:val="nil"/>
              <w:right w:val="nil"/>
            </w:tcBorders>
            <w:shd w:val="clear" w:color="auto" w:fill="auto"/>
            <w:noWrap/>
            <w:vAlign w:val="center"/>
            <w:hideMark/>
          </w:tcPr>
          <w:p w14:paraId="28FE890A" w14:textId="77777777" w:rsidR="00196163" w:rsidRPr="009813DB" w:rsidRDefault="00196163" w:rsidP="00147966">
            <w:pPr>
              <w:jc w:val="center"/>
              <w:rPr>
                <w:sz w:val="20"/>
                <w:szCs w:val="20"/>
              </w:rPr>
            </w:pPr>
            <w:r w:rsidRPr="009813DB">
              <w:rPr>
                <w:sz w:val="20"/>
                <w:szCs w:val="20"/>
              </w:rPr>
              <w:t>0.549</w:t>
            </w:r>
          </w:p>
        </w:tc>
        <w:tc>
          <w:tcPr>
            <w:tcW w:w="1040" w:type="dxa"/>
            <w:tcBorders>
              <w:top w:val="nil"/>
              <w:left w:val="nil"/>
              <w:bottom w:val="nil"/>
              <w:right w:val="nil"/>
            </w:tcBorders>
            <w:shd w:val="clear" w:color="auto" w:fill="auto"/>
            <w:noWrap/>
            <w:vAlign w:val="center"/>
            <w:hideMark/>
          </w:tcPr>
          <w:p w14:paraId="47DC0AB1" w14:textId="77777777" w:rsidR="00196163" w:rsidRPr="009813DB" w:rsidRDefault="00196163" w:rsidP="00147966">
            <w:pPr>
              <w:jc w:val="center"/>
              <w:rPr>
                <w:sz w:val="20"/>
                <w:szCs w:val="20"/>
              </w:rPr>
            </w:pPr>
            <w:r w:rsidRPr="009813DB">
              <w:rPr>
                <w:sz w:val="20"/>
                <w:szCs w:val="20"/>
              </w:rPr>
              <w:t>0.516</w:t>
            </w:r>
          </w:p>
        </w:tc>
        <w:tc>
          <w:tcPr>
            <w:tcW w:w="1040" w:type="dxa"/>
            <w:tcBorders>
              <w:top w:val="nil"/>
              <w:left w:val="nil"/>
              <w:bottom w:val="nil"/>
              <w:right w:val="nil"/>
            </w:tcBorders>
            <w:shd w:val="clear" w:color="auto" w:fill="auto"/>
            <w:noWrap/>
            <w:vAlign w:val="center"/>
            <w:hideMark/>
          </w:tcPr>
          <w:p w14:paraId="5F92FBC5" w14:textId="77777777" w:rsidR="00196163" w:rsidRPr="009813DB" w:rsidRDefault="00196163" w:rsidP="00147966">
            <w:pPr>
              <w:jc w:val="center"/>
              <w:rPr>
                <w:sz w:val="20"/>
                <w:szCs w:val="20"/>
              </w:rPr>
            </w:pPr>
            <w:r w:rsidRPr="009813DB">
              <w:rPr>
                <w:sz w:val="20"/>
                <w:szCs w:val="20"/>
              </w:rPr>
              <w:t>0.779</w:t>
            </w:r>
          </w:p>
        </w:tc>
      </w:tr>
      <w:tr w:rsidR="00196163" w:rsidRPr="009813DB" w14:paraId="16F93041" w14:textId="77777777" w:rsidTr="00147966">
        <w:trPr>
          <w:trHeight w:val="480"/>
        </w:trPr>
        <w:tc>
          <w:tcPr>
            <w:tcW w:w="2108" w:type="dxa"/>
            <w:tcBorders>
              <w:top w:val="nil"/>
              <w:left w:val="nil"/>
              <w:bottom w:val="nil"/>
              <w:right w:val="nil"/>
            </w:tcBorders>
            <w:shd w:val="clear" w:color="auto" w:fill="auto"/>
            <w:vAlign w:val="center"/>
            <w:hideMark/>
          </w:tcPr>
          <w:p w14:paraId="1850A670" w14:textId="7812D95F" w:rsidR="00196163" w:rsidRPr="00E11C95" w:rsidRDefault="00196163" w:rsidP="006E7B5F">
            <w:pPr>
              <w:rPr>
                <w:sz w:val="20"/>
                <w:szCs w:val="20"/>
                <w:lang w:val="en-US"/>
              </w:rPr>
            </w:pPr>
            <w:r w:rsidRPr="006E7B5F">
              <w:rPr>
                <w:i/>
                <w:iCs/>
                <w:sz w:val="20"/>
                <w:szCs w:val="20"/>
                <w:lang w:val="en-US"/>
              </w:rPr>
              <w:t>Overall assessment</w:t>
            </w:r>
            <w:r w:rsidRPr="00E11C95">
              <w:rPr>
                <w:sz w:val="20"/>
                <w:szCs w:val="20"/>
                <w:lang w:val="en-US"/>
              </w:rPr>
              <w:t xml:space="preserve"> vs</w:t>
            </w:r>
            <w:r w:rsidR="006E7B5F">
              <w:rPr>
                <w:sz w:val="20"/>
                <w:szCs w:val="20"/>
                <w:lang w:val="en-US"/>
              </w:rPr>
              <w:t>.</w:t>
            </w:r>
            <w:r w:rsidRPr="00E11C95">
              <w:rPr>
                <w:sz w:val="20"/>
                <w:szCs w:val="20"/>
                <w:lang w:val="en-US"/>
              </w:rPr>
              <w:t xml:space="preserve"> </w:t>
            </w:r>
            <w:r w:rsidR="006E7B5F" w:rsidRPr="006E7B5F">
              <w:rPr>
                <w:i/>
                <w:iCs/>
                <w:sz w:val="20"/>
                <w:szCs w:val="20"/>
                <w:lang w:val="en-US"/>
              </w:rPr>
              <w:t>v</w:t>
            </w:r>
            <w:r w:rsidRPr="006E7B5F">
              <w:rPr>
                <w:i/>
                <w:iCs/>
                <w:sz w:val="20"/>
                <w:szCs w:val="20"/>
                <w:lang w:val="en-US"/>
              </w:rPr>
              <w:t>isual assessment</w:t>
            </w:r>
            <w:r w:rsidRPr="00E11C95">
              <w:rPr>
                <w:sz w:val="20"/>
                <w:szCs w:val="20"/>
                <w:lang w:val="en-US"/>
              </w:rPr>
              <w:t xml:space="preserve"> </w:t>
            </w:r>
          </w:p>
        </w:tc>
        <w:tc>
          <w:tcPr>
            <w:tcW w:w="1263" w:type="dxa"/>
            <w:tcBorders>
              <w:top w:val="nil"/>
              <w:left w:val="nil"/>
              <w:bottom w:val="nil"/>
              <w:right w:val="nil"/>
            </w:tcBorders>
            <w:shd w:val="clear" w:color="auto" w:fill="auto"/>
            <w:noWrap/>
            <w:vAlign w:val="center"/>
            <w:hideMark/>
          </w:tcPr>
          <w:p w14:paraId="690DC511" w14:textId="77777777" w:rsidR="00196163" w:rsidRPr="00E11C95" w:rsidRDefault="00196163" w:rsidP="00147966">
            <w:pPr>
              <w:jc w:val="center"/>
              <w:rPr>
                <w:sz w:val="20"/>
                <w:szCs w:val="20"/>
              </w:rPr>
            </w:pPr>
            <w:r w:rsidRPr="00E11C95">
              <w:rPr>
                <w:sz w:val="20"/>
                <w:szCs w:val="20"/>
              </w:rPr>
              <w:t>0.242</w:t>
            </w:r>
          </w:p>
        </w:tc>
        <w:tc>
          <w:tcPr>
            <w:tcW w:w="1269" w:type="dxa"/>
            <w:tcBorders>
              <w:top w:val="nil"/>
              <w:left w:val="nil"/>
              <w:bottom w:val="nil"/>
              <w:right w:val="nil"/>
            </w:tcBorders>
            <w:shd w:val="clear" w:color="auto" w:fill="auto"/>
            <w:noWrap/>
            <w:vAlign w:val="center"/>
            <w:hideMark/>
          </w:tcPr>
          <w:p w14:paraId="504E07B9" w14:textId="77777777" w:rsidR="00196163" w:rsidRPr="009813DB" w:rsidRDefault="00196163" w:rsidP="00147966">
            <w:pPr>
              <w:jc w:val="center"/>
              <w:rPr>
                <w:b/>
                <w:bCs/>
                <w:sz w:val="20"/>
                <w:szCs w:val="20"/>
              </w:rPr>
            </w:pPr>
            <w:r w:rsidRPr="009813DB">
              <w:rPr>
                <w:b/>
                <w:bCs/>
                <w:sz w:val="20"/>
                <w:szCs w:val="20"/>
              </w:rPr>
              <w:t>0.003</w:t>
            </w:r>
          </w:p>
        </w:tc>
        <w:tc>
          <w:tcPr>
            <w:tcW w:w="1196" w:type="dxa"/>
            <w:tcBorders>
              <w:top w:val="nil"/>
              <w:left w:val="nil"/>
              <w:bottom w:val="nil"/>
              <w:right w:val="nil"/>
            </w:tcBorders>
            <w:shd w:val="clear" w:color="auto" w:fill="auto"/>
            <w:noWrap/>
            <w:vAlign w:val="center"/>
            <w:hideMark/>
          </w:tcPr>
          <w:p w14:paraId="5C8B2949" w14:textId="77777777" w:rsidR="00196163" w:rsidRPr="009813DB" w:rsidRDefault="00196163" w:rsidP="00147966">
            <w:pPr>
              <w:jc w:val="center"/>
              <w:rPr>
                <w:sz w:val="20"/>
                <w:szCs w:val="20"/>
              </w:rPr>
            </w:pPr>
            <w:r w:rsidRPr="009813DB">
              <w:rPr>
                <w:sz w:val="20"/>
                <w:szCs w:val="20"/>
              </w:rPr>
              <w:t>0 .049</w:t>
            </w:r>
          </w:p>
        </w:tc>
        <w:tc>
          <w:tcPr>
            <w:tcW w:w="1040" w:type="dxa"/>
            <w:tcBorders>
              <w:top w:val="nil"/>
              <w:left w:val="nil"/>
              <w:bottom w:val="nil"/>
              <w:right w:val="nil"/>
            </w:tcBorders>
            <w:shd w:val="clear" w:color="auto" w:fill="auto"/>
            <w:noWrap/>
            <w:vAlign w:val="center"/>
            <w:hideMark/>
          </w:tcPr>
          <w:p w14:paraId="61BBB0A1" w14:textId="77777777" w:rsidR="00196163" w:rsidRPr="009813DB" w:rsidRDefault="00196163" w:rsidP="00147966">
            <w:pPr>
              <w:jc w:val="center"/>
              <w:rPr>
                <w:sz w:val="20"/>
                <w:szCs w:val="20"/>
              </w:rPr>
            </w:pPr>
            <w:r w:rsidRPr="009813DB">
              <w:rPr>
                <w:sz w:val="20"/>
                <w:szCs w:val="20"/>
              </w:rPr>
              <w:t>0.121</w:t>
            </w:r>
          </w:p>
        </w:tc>
        <w:tc>
          <w:tcPr>
            <w:tcW w:w="1040" w:type="dxa"/>
            <w:tcBorders>
              <w:top w:val="nil"/>
              <w:left w:val="nil"/>
              <w:bottom w:val="nil"/>
              <w:right w:val="nil"/>
            </w:tcBorders>
            <w:shd w:val="clear" w:color="auto" w:fill="auto"/>
            <w:noWrap/>
            <w:vAlign w:val="center"/>
            <w:hideMark/>
          </w:tcPr>
          <w:p w14:paraId="78740BE4" w14:textId="77777777" w:rsidR="00196163" w:rsidRPr="009813DB" w:rsidRDefault="00196163" w:rsidP="00147966">
            <w:pPr>
              <w:jc w:val="center"/>
              <w:rPr>
                <w:sz w:val="20"/>
                <w:szCs w:val="20"/>
              </w:rPr>
            </w:pPr>
            <w:r w:rsidRPr="009813DB">
              <w:rPr>
                <w:sz w:val="20"/>
                <w:szCs w:val="20"/>
              </w:rPr>
              <w:t>0.603</w:t>
            </w:r>
          </w:p>
        </w:tc>
      </w:tr>
      <w:tr w:rsidR="00196163" w:rsidRPr="009813DB" w14:paraId="45D957BA" w14:textId="77777777" w:rsidTr="00147966">
        <w:trPr>
          <w:trHeight w:val="240"/>
        </w:trPr>
        <w:tc>
          <w:tcPr>
            <w:tcW w:w="2108" w:type="dxa"/>
            <w:tcBorders>
              <w:top w:val="nil"/>
              <w:left w:val="nil"/>
              <w:bottom w:val="nil"/>
              <w:right w:val="nil"/>
            </w:tcBorders>
            <w:shd w:val="clear" w:color="auto" w:fill="auto"/>
            <w:noWrap/>
            <w:vAlign w:val="center"/>
            <w:hideMark/>
          </w:tcPr>
          <w:p w14:paraId="70BCDBFE" w14:textId="77777777" w:rsidR="00196163" w:rsidRPr="00E11C95" w:rsidRDefault="00196163" w:rsidP="00147966">
            <w:pPr>
              <w:rPr>
                <w:b/>
                <w:sz w:val="20"/>
                <w:szCs w:val="20"/>
              </w:rPr>
            </w:pPr>
            <w:proofErr w:type="spellStart"/>
            <w:r w:rsidRPr="00E11C95">
              <w:rPr>
                <w:b/>
                <w:sz w:val="20"/>
                <w:szCs w:val="20"/>
              </w:rPr>
              <w:t>Pelvis</w:t>
            </w:r>
            <w:proofErr w:type="spellEnd"/>
          </w:p>
        </w:tc>
        <w:tc>
          <w:tcPr>
            <w:tcW w:w="1263" w:type="dxa"/>
            <w:tcBorders>
              <w:top w:val="nil"/>
              <w:left w:val="nil"/>
              <w:bottom w:val="nil"/>
              <w:right w:val="nil"/>
            </w:tcBorders>
            <w:shd w:val="clear" w:color="auto" w:fill="auto"/>
            <w:noWrap/>
            <w:vAlign w:val="center"/>
            <w:hideMark/>
          </w:tcPr>
          <w:p w14:paraId="185089D3" w14:textId="77777777" w:rsidR="00196163" w:rsidRPr="00E11C95" w:rsidRDefault="00196163" w:rsidP="00147966">
            <w:pPr>
              <w:jc w:val="center"/>
              <w:rPr>
                <w:sz w:val="20"/>
                <w:szCs w:val="20"/>
              </w:rPr>
            </w:pPr>
          </w:p>
        </w:tc>
        <w:tc>
          <w:tcPr>
            <w:tcW w:w="1269" w:type="dxa"/>
            <w:tcBorders>
              <w:top w:val="nil"/>
              <w:left w:val="nil"/>
              <w:bottom w:val="nil"/>
              <w:right w:val="nil"/>
            </w:tcBorders>
            <w:shd w:val="clear" w:color="auto" w:fill="auto"/>
            <w:noWrap/>
            <w:vAlign w:val="center"/>
            <w:hideMark/>
          </w:tcPr>
          <w:p w14:paraId="64C42284" w14:textId="77777777" w:rsidR="00196163" w:rsidRPr="009813DB" w:rsidRDefault="00196163" w:rsidP="00147966">
            <w:pPr>
              <w:jc w:val="center"/>
              <w:rPr>
                <w:sz w:val="20"/>
                <w:szCs w:val="20"/>
              </w:rPr>
            </w:pPr>
          </w:p>
        </w:tc>
        <w:tc>
          <w:tcPr>
            <w:tcW w:w="1196" w:type="dxa"/>
            <w:tcBorders>
              <w:top w:val="nil"/>
              <w:left w:val="nil"/>
              <w:bottom w:val="nil"/>
              <w:right w:val="nil"/>
            </w:tcBorders>
            <w:shd w:val="clear" w:color="auto" w:fill="auto"/>
            <w:noWrap/>
            <w:vAlign w:val="center"/>
            <w:hideMark/>
          </w:tcPr>
          <w:p w14:paraId="536D0B00" w14:textId="77777777" w:rsidR="00196163" w:rsidRPr="009813DB" w:rsidRDefault="00196163" w:rsidP="00147966">
            <w:pPr>
              <w:jc w:val="center"/>
              <w:rPr>
                <w:sz w:val="20"/>
                <w:szCs w:val="20"/>
              </w:rPr>
            </w:pPr>
          </w:p>
        </w:tc>
        <w:tc>
          <w:tcPr>
            <w:tcW w:w="1040" w:type="dxa"/>
            <w:tcBorders>
              <w:top w:val="nil"/>
              <w:left w:val="nil"/>
              <w:bottom w:val="nil"/>
              <w:right w:val="nil"/>
            </w:tcBorders>
            <w:shd w:val="clear" w:color="auto" w:fill="auto"/>
            <w:noWrap/>
            <w:vAlign w:val="center"/>
            <w:hideMark/>
          </w:tcPr>
          <w:p w14:paraId="194BF22B" w14:textId="77777777" w:rsidR="00196163" w:rsidRPr="009813DB" w:rsidRDefault="00196163" w:rsidP="00147966">
            <w:pPr>
              <w:jc w:val="center"/>
              <w:rPr>
                <w:sz w:val="20"/>
                <w:szCs w:val="20"/>
              </w:rPr>
            </w:pPr>
          </w:p>
        </w:tc>
        <w:tc>
          <w:tcPr>
            <w:tcW w:w="1040" w:type="dxa"/>
            <w:tcBorders>
              <w:top w:val="nil"/>
              <w:left w:val="nil"/>
              <w:bottom w:val="nil"/>
              <w:right w:val="nil"/>
            </w:tcBorders>
            <w:shd w:val="clear" w:color="auto" w:fill="auto"/>
            <w:noWrap/>
            <w:vAlign w:val="center"/>
            <w:hideMark/>
          </w:tcPr>
          <w:p w14:paraId="11961611" w14:textId="77777777" w:rsidR="00196163" w:rsidRPr="009813DB" w:rsidRDefault="00196163" w:rsidP="00147966">
            <w:pPr>
              <w:jc w:val="center"/>
              <w:rPr>
                <w:sz w:val="20"/>
                <w:szCs w:val="20"/>
              </w:rPr>
            </w:pPr>
          </w:p>
        </w:tc>
      </w:tr>
      <w:tr w:rsidR="00196163" w:rsidRPr="009813DB" w14:paraId="3A97D658" w14:textId="77777777" w:rsidTr="00147966">
        <w:trPr>
          <w:trHeight w:val="480"/>
        </w:trPr>
        <w:tc>
          <w:tcPr>
            <w:tcW w:w="2108" w:type="dxa"/>
            <w:tcBorders>
              <w:top w:val="nil"/>
              <w:left w:val="nil"/>
              <w:bottom w:val="nil"/>
              <w:right w:val="nil"/>
            </w:tcBorders>
            <w:shd w:val="clear" w:color="auto" w:fill="auto"/>
            <w:vAlign w:val="center"/>
            <w:hideMark/>
          </w:tcPr>
          <w:p w14:paraId="3E075456" w14:textId="4D62C8DD" w:rsidR="00196163" w:rsidRPr="00E11C95" w:rsidRDefault="00196163" w:rsidP="006E7B5F">
            <w:pPr>
              <w:rPr>
                <w:sz w:val="20"/>
                <w:szCs w:val="20"/>
                <w:lang w:val="en-US"/>
              </w:rPr>
            </w:pPr>
            <w:r w:rsidRPr="00E11C95">
              <w:rPr>
                <w:sz w:val="20"/>
                <w:szCs w:val="20"/>
                <w:lang w:val="en-US"/>
              </w:rPr>
              <w:t xml:space="preserve">LN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vs</w:t>
            </w:r>
            <w:r w:rsidR="006E7B5F">
              <w:rPr>
                <w:sz w:val="20"/>
                <w:szCs w:val="20"/>
                <w:lang w:val="en-US"/>
              </w:rPr>
              <w:t>.</w:t>
            </w:r>
            <w:r w:rsidRPr="00E11C95">
              <w:rPr>
                <w:sz w:val="20"/>
                <w:szCs w:val="20"/>
                <w:lang w:val="en-US"/>
              </w:rPr>
              <w:t xml:space="preserve"> </w:t>
            </w:r>
            <w:r w:rsidR="006E7B5F" w:rsidRPr="006E7B5F">
              <w:rPr>
                <w:i/>
                <w:iCs/>
                <w:sz w:val="20"/>
                <w:szCs w:val="20"/>
                <w:lang w:val="en-US"/>
              </w:rPr>
              <w:t>v</w:t>
            </w:r>
            <w:r w:rsidRPr="006E7B5F">
              <w:rPr>
                <w:i/>
                <w:iCs/>
                <w:sz w:val="20"/>
                <w:szCs w:val="20"/>
                <w:lang w:val="en-US"/>
              </w:rPr>
              <w:t>isual assessment</w:t>
            </w:r>
          </w:p>
        </w:tc>
        <w:tc>
          <w:tcPr>
            <w:tcW w:w="1263" w:type="dxa"/>
            <w:tcBorders>
              <w:top w:val="nil"/>
              <w:left w:val="nil"/>
              <w:bottom w:val="nil"/>
              <w:right w:val="nil"/>
            </w:tcBorders>
            <w:shd w:val="clear" w:color="auto" w:fill="auto"/>
            <w:noWrap/>
            <w:vAlign w:val="center"/>
            <w:hideMark/>
          </w:tcPr>
          <w:p w14:paraId="3A3B31F2" w14:textId="2BC4C1E5" w:rsidR="00196163" w:rsidRPr="00196163" w:rsidRDefault="00196163" w:rsidP="00147966">
            <w:pPr>
              <w:jc w:val="center"/>
              <w:rPr>
                <w:sz w:val="20"/>
                <w:szCs w:val="20"/>
              </w:rPr>
            </w:pPr>
            <w:r w:rsidRPr="00196163">
              <w:rPr>
                <w:sz w:val="20"/>
                <w:szCs w:val="18"/>
              </w:rPr>
              <w:t>1.000</w:t>
            </w:r>
          </w:p>
        </w:tc>
        <w:tc>
          <w:tcPr>
            <w:tcW w:w="1269" w:type="dxa"/>
            <w:tcBorders>
              <w:top w:val="nil"/>
              <w:left w:val="nil"/>
              <w:bottom w:val="nil"/>
              <w:right w:val="nil"/>
            </w:tcBorders>
            <w:shd w:val="clear" w:color="auto" w:fill="auto"/>
            <w:noWrap/>
            <w:vAlign w:val="center"/>
            <w:hideMark/>
          </w:tcPr>
          <w:p w14:paraId="0BF7EE6E" w14:textId="1A9F4BAD" w:rsidR="00196163" w:rsidRPr="00196163" w:rsidRDefault="00196163" w:rsidP="00147966">
            <w:pPr>
              <w:jc w:val="center"/>
              <w:rPr>
                <w:sz w:val="20"/>
                <w:szCs w:val="20"/>
              </w:rPr>
            </w:pPr>
            <w:r w:rsidRPr="00196163">
              <w:rPr>
                <w:sz w:val="20"/>
                <w:szCs w:val="18"/>
              </w:rPr>
              <w:t>0.195</w:t>
            </w:r>
          </w:p>
        </w:tc>
        <w:tc>
          <w:tcPr>
            <w:tcW w:w="1196" w:type="dxa"/>
            <w:tcBorders>
              <w:top w:val="nil"/>
              <w:left w:val="nil"/>
              <w:bottom w:val="nil"/>
              <w:right w:val="nil"/>
            </w:tcBorders>
            <w:shd w:val="clear" w:color="auto" w:fill="auto"/>
            <w:noWrap/>
            <w:vAlign w:val="center"/>
            <w:hideMark/>
          </w:tcPr>
          <w:p w14:paraId="41829973" w14:textId="2BAE152D" w:rsidR="00196163" w:rsidRPr="00196163" w:rsidRDefault="00196163" w:rsidP="00147966">
            <w:pPr>
              <w:jc w:val="center"/>
              <w:rPr>
                <w:sz w:val="20"/>
                <w:szCs w:val="20"/>
              </w:rPr>
            </w:pPr>
            <w:r w:rsidRPr="00196163">
              <w:rPr>
                <w:sz w:val="20"/>
                <w:szCs w:val="18"/>
              </w:rPr>
              <w:t>0.273</w:t>
            </w:r>
          </w:p>
        </w:tc>
        <w:tc>
          <w:tcPr>
            <w:tcW w:w="1040" w:type="dxa"/>
            <w:tcBorders>
              <w:top w:val="nil"/>
              <w:left w:val="nil"/>
              <w:bottom w:val="nil"/>
              <w:right w:val="nil"/>
            </w:tcBorders>
            <w:shd w:val="clear" w:color="auto" w:fill="auto"/>
            <w:noWrap/>
            <w:vAlign w:val="center"/>
            <w:hideMark/>
          </w:tcPr>
          <w:p w14:paraId="4A45A00D" w14:textId="6D4966FB" w:rsidR="00196163" w:rsidRPr="00196163" w:rsidRDefault="00196163" w:rsidP="00147966">
            <w:pPr>
              <w:jc w:val="center"/>
              <w:rPr>
                <w:sz w:val="20"/>
                <w:szCs w:val="20"/>
              </w:rPr>
            </w:pPr>
            <w:r w:rsidRPr="00196163">
              <w:rPr>
                <w:sz w:val="20"/>
                <w:szCs w:val="18"/>
              </w:rPr>
              <w:t>0.6</w:t>
            </w:r>
            <w:r>
              <w:rPr>
                <w:sz w:val="20"/>
                <w:szCs w:val="18"/>
              </w:rPr>
              <w:t>00</w:t>
            </w:r>
          </w:p>
        </w:tc>
        <w:tc>
          <w:tcPr>
            <w:tcW w:w="1040" w:type="dxa"/>
            <w:tcBorders>
              <w:top w:val="nil"/>
              <w:left w:val="nil"/>
              <w:bottom w:val="nil"/>
              <w:right w:val="nil"/>
            </w:tcBorders>
            <w:shd w:val="clear" w:color="auto" w:fill="auto"/>
            <w:noWrap/>
            <w:vAlign w:val="center"/>
            <w:hideMark/>
          </w:tcPr>
          <w:p w14:paraId="6C19F34E" w14:textId="226598BB" w:rsidR="00196163" w:rsidRPr="00196163" w:rsidRDefault="00196163" w:rsidP="00147966">
            <w:pPr>
              <w:jc w:val="center"/>
              <w:rPr>
                <w:sz w:val="20"/>
                <w:szCs w:val="20"/>
              </w:rPr>
            </w:pPr>
            <w:r w:rsidRPr="00196163">
              <w:rPr>
                <w:sz w:val="20"/>
                <w:szCs w:val="18"/>
              </w:rPr>
              <w:t>0.873</w:t>
            </w:r>
          </w:p>
        </w:tc>
      </w:tr>
      <w:tr w:rsidR="00196163" w:rsidRPr="009813DB" w14:paraId="7279574F" w14:textId="77777777" w:rsidTr="00147966">
        <w:trPr>
          <w:trHeight w:val="480"/>
        </w:trPr>
        <w:tc>
          <w:tcPr>
            <w:tcW w:w="2108" w:type="dxa"/>
            <w:tcBorders>
              <w:top w:val="nil"/>
              <w:left w:val="nil"/>
              <w:bottom w:val="nil"/>
              <w:right w:val="nil"/>
            </w:tcBorders>
            <w:shd w:val="clear" w:color="auto" w:fill="auto"/>
            <w:vAlign w:val="center"/>
            <w:hideMark/>
          </w:tcPr>
          <w:p w14:paraId="6E06D418" w14:textId="503126E1" w:rsidR="00196163" w:rsidRPr="00E11C95" w:rsidRDefault="00196163" w:rsidP="006E7B5F">
            <w:pPr>
              <w:rPr>
                <w:sz w:val="20"/>
                <w:szCs w:val="20"/>
                <w:lang w:val="en-US"/>
              </w:rPr>
            </w:pPr>
            <w:r w:rsidRPr="00E11C95">
              <w:rPr>
                <w:sz w:val="20"/>
                <w:szCs w:val="20"/>
                <w:lang w:val="en-US"/>
              </w:rPr>
              <w:t xml:space="preserve">LN </w:t>
            </w:r>
            <w:proofErr w:type="spellStart"/>
            <w:r w:rsidRPr="00E11C95">
              <w:rPr>
                <w:sz w:val="20"/>
                <w:szCs w:val="20"/>
                <w:lang w:val="en-US"/>
              </w:rPr>
              <w:t>SUV</w:t>
            </w:r>
            <w:r w:rsidRPr="00E11C95">
              <w:rPr>
                <w:sz w:val="20"/>
                <w:szCs w:val="20"/>
                <w:vertAlign w:val="subscript"/>
                <w:lang w:val="en-US"/>
              </w:rPr>
              <w:t>max</w:t>
            </w:r>
            <w:proofErr w:type="spellEnd"/>
            <w:r w:rsidRPr="00E11C95">
              <w:rPr>
                <w:sz w:val="20"/>
                <w:szCs w:val="20"/>
                <w:lang w:val="en-US"/>
              </w:rPr>
              <w:t xml:space="preserve"> vs</w:t>
            </w:r>
            <w:r w:rsidR="006E7B5F">
              <w:rPr>
                <w:sz w:val="20"/>
                <w:szCs w:val="20"/>
                <w:lang w:val="en-US"/>
              </w:rPr>
              <w:t>.</w:t>
            </w:r>
            <w:r w:rsidRPr="00E11C95">
              <w:rPr>
                <w:sz w:val="20"/>
                <w:szCs w:val="20"/>
                <w:lang w:val="en-US"/>
              </w:rPr>
              <w:t xml:space="preserve"> </w:t>
            </w:r>
            <w:r w:rsidR="006E7B5F" w:rsidRPr="006E7B5F">
              <w:rPr>
                <w:i/>
                <w:iCs/>
                <w:sz w:val="20"/>
                <w:szCs w:val="20"/>
                <w:lang w:val="en-US"/>
              </w:rPr>
              <w:t>o</w:t>
            </w:r>
            <w:r w:rsidRPr="006E7B5F">
              <w:rPr>
                <w:i/>
                <w:iCs/>
                <w:sz w:val="20"/>
                <w:szCs w:val="20"/>
                <w:lang w:val="en-US"/>
              </w:rPr>
              <w:t>verall assessment</w:t>
            </w:r>
          </w:p>
        </w:tc>
        <w:tc>
          <w:tcPr>
            <w:tcW w:w="1263" w:type="dxa"/>
            <w:tcBorders>
              <w:top w:val="nil"/>
              <w:left w:val="nil"/>
              <w:bottom w:val="nil"/>
              <w:right w:val="nil"/>
            </w:tcBorders>
            <w:shd w:val="clear" w:color="auto" w:fill="auto"/>
            <w:noWrap/>
            <w:vAlign w:val="center"/>
            <w:hideMark/>
          </w:tcPr>
          <w:p w14:paraId="17038CAA" w14:textId="6F5A1AD0" w:rsidR="00196163" w:rsidRPr="00196163" w:rsidRDefault="00196163" w:rsidP="00147966">
            <w:pPr>
              <w:jc w:val="center"/>
              <w:rPr>
                <w:sz w:val="20"/>
                <w:szCs w:val="20"/>
              </w:rPr>
            </w:pPr>
            <w:r w:rsidRPr="00196163">
              <w:rPr>
                <w:sz w:val="20"/>
                <w:szCs w:val="18"/>
              </w:rPr>
              <w:t>1.000</w:t>
            </w:r>
          </w:p>
        </w:tc>
        <w:tc>
          <w:tcPr>
            <w:tcW w:w="1269" w:type="dxa"/>
            <w:tcBorders>
              <w:top w:val="nil"/>
              <w:left w:val="nil"/>
              <w:bottom w:val="nil"/>
              <w:right w:val="nil"/>
            </w:tcBorders>
            <w:shd w:val="clear" w:color="auto" w:fill="auto"/>
            <w:noWrap/>
            <w:vAlign w:val="center"/>
            <w:hideMark/>
          </w:tcPr>
          <w:p w14:paraId="7E38179E" w14:textId="6176FAB9" w:rsidR="00196163" w:rsidRPr="00196163" w:rsidRDefault="00196163" w:rsidP="00147966">
            <w:pPr>
              <w:jc w:val="center"/>
              <w:rPr>
                <w:sz w:val="20"/>
                <w:szCs w:val="20"/>
              </w:rPr>
            </w:pPr>
            <w:r w:rsidRPr="00196163">
              <w:rPr>
                <w:sz w:val="20"/>
                <w:szCs w:val="18"/>
              </w:rPr>
              <w:t>0.195</w:t>
            </w:r>
          </w:p>
        </w:tc>
        <w:tc>
          <w:tcPr>
            <w:tcW w:w="1196" w:type="dxa"/>
            <w:tcBorders>
              <w:top w:val="nil"/>
              <w:left w:val="nil"/>
              <w:bottom w:val="nil"/>
              <w:right w:val="nil"/>
            </w:tcBorders>
            <w:shd w:val="clear" w:color="auto" w:fill="auto"/>
            <w:noWrap/>
            <w:vAlign w:val="center"/>
            <w:hideMark/>
          </w:tcPr>
          <w:p w14:paraId="48EEFBA3" w14:textId="664BD8F9" w:rsidR="00196163" w:rsidRPr="00196163" w:rsidRDefault="00196163" w:rsidP="00147966">
            <w:pPr>
              <w:jc w:val="center"/>
              <w:rPr>
                <w:sz w:val="20"/>
                <w:szCs w:val="20"/>
              </w:rPr>
            </w:pPr>
            <w:r w:rsidRPr="00196163">
              <w:rPr>
                <w:sz w:val="20"/>
                <w:szCs w:val="18"/>
              </w:rPr>
              <w:t>0.273</w:t>
            </w:r>
          </w:p>
        </w:tc>
        <w:tc>
          <w:tcPr>
            <w:tcW w:w="1040" w:type="dxa"/>
            <w:tcBorders>
              <w:top w:val="nil"/>
              <w:left w:val="nil"/>
              <w:bottom w:val="nil"/>
              <w:right w:val="nil"/>
            </w:tcBorders>
            <w:shd w:val="clear" w:color="auto" w:fill="auto"/>
            <w:noWrap/>
            <w:vAlign w:val="center"/>
            <w:hideMark/>
          </w:tcPr>
          <w:p w14:paraId="13388425" w14:textId="340090C0" w:rsidR="00196163" w:rsidRPr="00196163" w:rsidRDefault="00196163" w:rsidP="00147966">
            <w:pPr>
              <w:jc w:val="center"/>
              <w:rPr>
                <w:sz w:val="20"/>
                <w:szCs w:val="20"/>
              </w:rPr>
            </w:pPr>
            <w:r w:rsidRPr="00196163">
              <w:rPr>
                <w:sz w:val="20"/>
                <w:szCs w:val="18"/>
              </w:rPr>
              <w:t>0.6</w:t>
            </w:r>
            <w:r>
              <w:rPr>
                <w:sz w:val="20"/>
                <w:szCs w:val="18"/>
              </w:rPr>
              <w:t>00</w:t>
            </w:r>
          </w:p>
        </w:tc>
        <w:tc>
          <w:tcPr>
            <w:tcW w:w="1040" w:type="dxa"/>
            <w:tcBorders>
              <w:top w:val="nil"/>
              <w:left w:val="nil"/>
              <w:bottom w:val="nil"/>
              <w:right w:val="nil"/>
            </w:tcBorders>
            <w:shd w:val="clear" w:color="auto" w:fill="auto"/>
            <w:noWrap/>
            <w:vAlign w:val="center"/>
            <w:hideMark/>
          </w:tcPr>
          <w:p w14:paraId="7A323071" w14:textId="14C89002" w:rsidR="00196163" w:rsidRPr="00196163" w:rsidRDefault="00196163" w:rsidP="00147966">
            <w:pPr>
              <w:jc w:val="center"/>
              <w:rPr>
                <w:sz w:val="20"/>
                <w:szCs w:val="20"/>
              </w:rPr>
            </w:pPr>
            <w:r w:rsidRPr="00196163">
              <w:rPr>
                <w:sz w:val="20"/>
                <w:szCs w:val="18"/>
              </w:rPr>
              <w:t>0.873</w:t>
            </w:r>
          </w:p>
        </w:tc>
      </w:tr>
      <w:tr w:rsidR="00196163" w:rsidRPr="009813DB" w14:paraId="6AC775F3" w14:textId="77777777" w:rsidTr="00147966">
        <w:trPr>
          <w:trHeight w:val="492"/>
        </w:trPr>
        <w:tc>
          <w:tcPr>
            <w:tcW w:w="2108" w:type="dxa"/>
            <w:tcBorders>
              <w:top w:val="nil"/>
              <w:left w:val="nil"/>
              <w:bottom w:val="nil"/>
              <w:right w:val="nil"/>
            </w:tcBorders>
            <w:shd w:val="clear" w:color="auto" w:fill="auto"/>
            <w:vAlign w:val="center"/>
            <w:hideMark/>
          </w:tcPr>
          <w:p w14:paraId="34176012" w14:textId="61C4821B" w:rsidR="00196163" w:rsidRPr="00E11C95" w:rsidRDefault="006E7B5F" w:rsidP="006E7B5F">
            <w:pPr>
              <w:rPr>
                <w:sz w:val="20"/>
                <w:szCs w:val="20"/>
                <w:lang w:val="en-US"/>
              </w:rPr>
            </w:pPr>
            <w:r w:rsidRPr="006E7B5F">
              <w:rPr>
                <w:i/>
                <w:iCs/>
                <w:sz w:val="20"/>
                <w:szCs w:val="20"/>
                <w:lang w:val="en-US"/>
              </w:rPr>
              <w:t>V</w:t>
            </w:r>
            <w:r w:rsidR="00196163" w:rsidRPr="006E7B5F">
              <w:rPr>
                <w:i/>
                <w:iCs/>
                <w:sz w:val="20"/>
                <w:szCs w:val="20"/>
                <w:lang w:val="en-US"/>
              </w:rPr>
              <w:t>isual assessment</w:t>
            </w:r>
            <w:r w:rsidR="00196163" w:rsidRPr="00E11C95">
              <w:rPr>
                <w:sz w:val="20"/>
                <w:szCs w:val="20"/>
                <w:lang w:val="en-US"/>
              </w:rPr>
              <w:t xml:space="preserve"> vs</w:t>
            </w:r>
            <w:r>
              <w:rPr>
                <w:sz w:val="20"/>
                <w:szCs w:val="20"/>
                <w:lang w:val="en-US"/>
              </w:rPr>
              <w:t xml:space="preserve">. </w:t>
            </w:r>
            <w:r w:rsidRPr="006E7B5F">
              <w:rPr>
                <w:i/>
                <w:iCs/>
                <w:sz w:val="20"/>
                <w:szCs w:val="20"/>
                <w:lang w:val="en-US"/>
              </w:rPr>
              <w:t>o</w:t>
            </w:r>
            <w:r w:rsidR="00196163" w:rsidRPr="006E7B5F">
              <w:rPr>
                <w:i/>
                <w:iCs/>
                <w:sz w:val="20"/>
                <w:szCs w:val="20"/>
                <w:lang w:val="en-US"/>
              </w:rPr>
              <w:t>verall assessment</w:t>
            </w:r>
          </w:p>
        </w:tc>
        <w:tc>
          <w:tcPr>
            <w:tcW w:w="1263" w:type="dxa"/>
            <w:tcBorders>
              <w:top w:val="nil"/>
              <w:left w:val="nil"/>
              <w:bottom w:val="nil"/>
              <w:right w:val="nil"/>
            </w:tcBorders>
            <w:shd w:val="clear" w:color="auto" w:fill="auto"/>
            <w:noWrap/>
            <w:vAlign w:val="center"/>
            <w:hideMark/>
          </w:tcPr>
          <w:p w14:paraId="7FCD5B71" w14:textId="77777777" w:rsidR="00196163" w:rsidRPr="00E11C95" w:rsidRDefault="00196163" w:rsidP="00147966">
            <w:pPr>
              <w:jc w:val="center"/>
              <w:rPr>
                <w:sz w:val="20"/>
                <w:szCs w:val="20"/>
              </w:rPr>
            </w:pPr>
            <w:r w:rsidRPr="00E11C95">
              <w:rPr>
                <w:sz w:val="20"/>
                <w:szCs w:val="20"/>
              </w:rPr>
              <w:t>1.000</w:t>
            </w:r>
          </w:p>
        </w:tc>
        <w:tc>
          <w:tcPr>
            <w:tcW w:w="1269" w:type="dxa"/>
            <w:tcBorders>
              <w:top w:val="nil"/>
              <w:left w:val="nil"/>
              <w:bottom w:val="nil"/>
              <w:right w:val="nil"/>
            </w:tcBorders>
            <w:shd w:val="clear" w:color="auto" w:fill="auto"/>
            <w:noWrap/>
            <w:vAlign w:val="center"/>
            <w:hideMark/>
          </w:tcPr>
          <w:p w14:paraId="0439F424" w14:textId="77777777" w:rsidR="00196163" w:rsidRPr="009813DB" w:rsidRDefault="00196163" w:rsidP="00147966">
            <w:pPr>
              <w:jc w:val="center"/>
              <w:rPr>
                <w:sz w:val="20"/>
                <w:szCs w:val="20"/>
              </w:rPr>
            </w:pPr>
            <w:r w:rsidRPr="009813DB">
              <w:rPr>
                <w:sz w:val="20"/>
                <w:szCs w:val="20"/>
              </w:rPr>
              <w:t>1.000</w:t>
            </w:r>
          </w:p>
        </w:tc>
        <w:tc>
          <w:tcPr>
            <w:tcW w:w="1196" w:type="dxa"/>
            <w:tcBorders>
              <w:top w:val="nil"/>
              <w:left w:val="nil"/>
              <w:bottom w:val="nil"/>
              <w:right w:val="nil"/>
            </w:tcBorders>
            <w:shd w:val="clear" w:color="auto" w:fill="auto"/>
            <w:noWrap/>
            <w:vAlign w:val="center"/>
            <w:hideMark/>
          </w:tcPr>
          <w:p w14:paraId="3E57C6BF" w14:textId="77777777" w:rsidR="00196163" w:rsidRPr="009813DB" w:rsidRDefault="00196163" w:rsidP="00147966">
            <w:pPr>
              <w:jc w:val="center"/>
              <w:rPr>
                <w:sz w:val="20"/>
                <w:szCs w:val="20"/>
              </w:rPr>
            </w:pPr>
            <w:r w:rsidRPr="009813DB">
              <w:rPr>
                <w:sz w:val="20"/>
                <w:szCs w:val="20"/>
              </w:rPr>
              <w:t>1.000</w:t>
            </w:r>
          </w:p>
        </w:tc>
        <w:tc>
          <w:tcPr>
            <w:tcW w:w="1040" w:type="dxa"/>
            <w:tcBorders>
              <w:top w:val="nil"/>
              <w:left w:val="nil"/>
              <w:bottom w:val="nil"/>
              <w:right w:val="nil"/>
            </w:tcBorders>
            <w:shd w:val="clear" w:color="auto" w:fill="auto"/>
            <w:noWrap/>
            <w:vAlign w:val="center"/>
            <w:hideMark/>
          </w:tcPr>
          <w:p w14:paraId="487053AB" w14:textId="77777777" w:rsidR="00196163" w:rsidRPr="009813DB" w:rsidRDefault="00196163" w:rsidP="00147966">
            <w:pPr>
              <w:jc w:val="center"/>
              <w:rPr>
                <w:sz w:val="20"/>
                <w:szCs w:val="20"/>
              </w:rPr>
            </w:pPr>
            <w:r w:rsidRPr="009813DB">
              <w:rPr>
                <w:sz w:val="20"/>
                <w:szCs w:val="20"/>
              </w:rPr>
              <w:t>1.000</w:t>
            </w:r>
          </w:p>
        </w:tc>
        <w:tc>
          <w:tcPr>
            <w:tcW w:w="1040" w:type="dxa"/>
            <w:tcBorders>
              <w:top w:val="nil"/>
              <w:left w:val="nil"/>
              <w:bottom w:val="nil"/>
              <w:right w:val="nil"/>
            </w:tcBorders>
            <w:shd w:val="clear" w:color="auto" w:fill="auto"/>
            <w:noWrap/>
            <w:vAlign w:val="center"/>
            <w:hideMark/>
          </w:tcPr>
          <w:p w14:paraId="1846AF80" w14:textId="77777777" w:rsidR="00196163" w:rsidRPr="009813DB" w:rsidRDefault="00196163" w:rsidP="00147966">
            <w:pPr>
              <w:jc w:val="center"/>
              <w:rPr>
                <w:sz w:val="20"/>
                <w:szCs w:val="20"/>
              </w:rPr>
            </w:pPr>
            <w:r w:rsidRPr="009813DB">
              <w:rPr>
                <w:sz w:val="20"/>
                <w:szCs w:val="20"/>
              </w:rPr>
              <w:t>1.000</w:t>
            </w:r>
          </w:p>
        </w:tc>
      </w:tr>
      <w:tr w:rsidR="00196163" w:rsidRPr="006E7B5F" w14:paraId="2FE557D1" w14:textId="77777777" w:rsidTr="00147966">
        <w:trPr>
          <w:trHeight w:val="1044"/>
        </w:trPr>
        <w:tc>
          <w:tcPr>
            <w:tcW w:w="7916" w:type="dxa"/>
            <w:gridSpan w:val="6"/>
            <w:tcBorders>
              <w:top w:val="single" w:sz="8" w:space="0" w:color="auto"/>
              <w:left w:val="nil"/>
              <w:bottom w:val="nil"/>
              <w:right w:val="nil"/>
            </w:tcBorders>
            <w:shd w:val="clear" w:color="auto" w:fill="auto"/>
            <w:hideMark/>
          </w:tcPr>
          <w:p w14:paraId="0104CAD1" w14:textId="77777777" w:rsidR="00196163" w:rsidRPr="00E11C95" w:rsidRDefault="00196163" w:rsidP="00147966">
            <w:pPr>
              <w:rPr>
                <w:sz w:val="20"/>
                <w:szCs w:val="20"/>
                <w:lang w:val="en-US"/>
              </w:rPr>
            </w:pPr>
            <w:r w:rsidRPr="00E11C95">
              <w:rPr>
                <w:sz w:val="20"/>
                <w:szCs w:val="20"/>
                <w:lang w:val="en-US"/>
              </w:rPr>
              <w:t>Bold font highlights statistically significant differences. Bonferroni multiple testing correction was applied with a significant level set at 0.017.</w:t>
            </w:r>
          </w:p>
        </w:tc>
      </w:tr>
    </w:tbl>
    <w:p w14:paraId="3BCB7A4F" w14:textId="77777777" w:rsidR="009813DB" w:rsidRPr="009813DB" w:rsidRDefault="009813DB" w:rsidP="005E5993">
      <w:pPr>
        <w:rPr>
          <w:sz w:val="20"/>
          <w:szCs w:val="20"/>
          <w:lang w:val="en-US" w:eastAsia="en-GB"/>
        </w:rPr>
      </w:pPr>
    </w:p>
    <w:sectPr w:rsidR="009813DB" w:rsidRPr="009813DB" w:rsidSect="00BA3B6C">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784E0" w14:textId="77777777" w:rsidR="00351BB3" w:rsidRDefault="00351BB3" w:rsidP="006D0356">
      <w:r>
        <w:separator/>
      </w:r>
    </w:p>
  </w:endnote>
  <w:endnote w:type="continuationSeparator" w:id="0">
    <w:p w14:paraId="708F0F07" w14:textId="77777777" w:rsidR="00351BB3" w:rsidRDefault="00351BB3" w:rsidP="006D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altName w:val="﷽﷽﷽﷽﷽﷽﷽﷽M"/>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20B0604020202020204"/>
    <w:charset w:val="80"/>
    <w:family w:val="auto"/>
    <w:notTrueType/>
    <w:pitch w:val="variable"/>
    <w:sig w:usb0="00000001" w:usb1="08070000" w:usb2="00000010" w:usb3="00000000" w:csb0="00020000" w:csb1="00000000"/>
  </w:font>
  <w:font w:name="Lucida Grande">
    <w:altName w:val="﷽﷽﷽﷽﷽"/>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notTrueType/>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240AD" w14:textId="633D4FA0" w:rsidR="002B6AD8" w:rsidRDefault="002B6AD8">
    <w:pPr>
      <w:pStyle w:val="Pidipagina"/>
      <w:jc w:val="right"/>
    </w:pPr>
    <w:r>
      <w:rPr>
        <w:rStyle w:val="Numeropagina"/>
      </w:rPr>
      <w:fldChar w:fldCharType="begin"/>
    </w:r>
    <w:r>
      <w:rPr>
        <w:rStyle w:val="Numeropagina"/>
      </w:rPr>
      <w:instrText xml:space="preserve"> PAGE </w:instrText>
    </w:r>
    <w:r>
      <w:rPr>
        <w:rStyle w:val="Numeropagina"/>
      </w:rPr>
      <w:fldChar w:fldCharType="separate"/>
    </w:r>
    <w:r w:rsidR="00C861A7">
      <w:rPr>
        <w:rStyle w:val="Numeropagina"/>
        <w:noProof/>
      </w:rPr>
      <w:t>4</w:t>
    </w:r>
    <w:r>
      <w:rPr>
        <w:rStyle w:val="Numeropagina"/>
      </w:rPr>
      <w:fldChar w:fldCharType="end"/>
    </w:r>
  </w:p>
  <w:p w14:paraId="1EB7F84E" w14:textId="77777777" w:rsidR="002B6AD8" w:rsidRDefault="002B6AD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747CE3" w14:textId="77777777" w:rsidR="00351BB3" w:rsidRDefault="00351BB3" w:rsidP="006D0356">
      <w:r>
        <w:separator/>
      </w:r>
    </w:p>
  </w:footnote>
  <w:footnote w:type="continuationSeparator" w:id="0">
    <w:p w14:paraId="33F15785" w14:textId="77777777" w:rsidR="00351BB3" w:rsidRDefault="00351BB3" w:rsidP="006D03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D38F3C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D4E406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15C8A1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0DC0B8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CB48D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4F2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FE8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26F3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FE934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04A0C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D1950"/>
    <w:multiLevelType w:val="hybridMultilevel"/>
    <w:tmpl w:val="781E9794"/>
    <w:lvl w:ilvl="0" w:tplc="A6FA5086">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462011"/>
    <w:multiLevelType w:val="hybridMultilevel"/>
    <w:tmpl w:val="A702992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0B4C112E"/>
    <w:multiLevelType w:val="hybridMultilevel"/>
    <w:tmpl w:val="0C627B2C"/>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261A01"/>
    <w:multiLevelType w:val="hybridMultilevel"/>
    <w:tmpl w:val="D6FE898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3D962B2C">
      <w:numFmt w:val="bullet"/>
      <w:lvlText w:val="-"/>
      <w:lvlJc w:val="left"/>
      <w:pPr>
        <w:ind w:left="2160" w:hanging="360"/>
      </w:pPr>
      <w:rPr>
        <w:rFonts w:ascii="Arial" w:eastAsia="Times New Roman" w:hAnsi="Aria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EE1716E"/>
    <w:multiLevelType w:val="hybridMultilevel"/>
    <w:tmpl w:val="FD762ED2"/>
    <w:lvl w:ilvl="0" w:tplc="EAEC1A0E">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F40608"/>
    <w:multiLevelType w:val="hybridMultilevel"/>
    <w:tmpl w:val="08668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CF2611"/>
    <w:multiLevelType w:val="hybridMultilevel"/>
    <w:tmpl w:val="46826F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B7F04BB"/>
    <w:multiLevelType w:val="hybridMultilevel"/>
    <w:tmpl w:val="3AF6468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29A96EEE"/>
    <w:multiLevelType w:val="hybridMultilevel"/>
    <w:tmpl w:val="024A2D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A0A71D3"/>
    <w:multiLevelType w:val="hybridMultilevel"/>
    <w:tmpl w:val="150E1E3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2E8F6A13"/>
    <w:multiLevelType w:val="hybridMultilevel"/>
    <w:tmpl w:val="B7888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7A294D"/>
    <w:multiLevelType w:val="multilevel"/>
    <w:tmpl w:val="68923322"/>
    <w:lvl w:ilvl="0">
      <w:start w:val="3"/>
      <w:numFmt w:val="decimal"/>
      <w:lvlText w:val="%1"/>
      <w:lvlJc w:val="left"/>
      <w:pPr>
        <w:ind w:left="480" w:hanging="480"/>
      </w:pPr>
      <w:rPr>
        <w:rFonts w:hint="default"/>
        <w:i/>
      </w:rPr>
    </w:lvl>
    <w:lvl w:ilvl="1">
      <w:start w:val="2"/>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2" w15:restartNumberingAfterBreak="0">
    <w:nsid w:val="32A17CBE"/>
    <w:multiLevelType w:val="hybridMultilevel"/>
    <w:tmpl w:val="8B84F086"/>
    <w:lvl w:ilvl="0" w:tplc="0410000D">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3" w15:restartNumberingAfterBreak="0">
    <w:nsid w:val="332125BF"/>
    <w:multiLevelType w:val="hybridMultilevel"/>
    <w:tmpl w:val="A0880F48"/>
    <w:lvl w:ilvl="0" w:tplc="82F2E050">
      <w:start w:val="1"/>
      <w:numFmt w:val="bullet"/>
      <w:lvlText w:val=""/>
      <w:lvlJc w:val="left"/>
      <w:pPr>
        <w:tabs>
          <w:tab w:val="num" w:pos="720"/>
        </w:tabs>
        <w:ind w:left="720" w:hanging="360"/>
      </w:pPr>
      <w:rPr>
        <w:rFonts w:ascii="Wingdings" w:hAnsi="Wingdings" w:hint="default"/>
      </w:rPr>
    </w:lvl>
    <w:lvl w:ilvl="1" w:tplc="1E9CB30C" w:tentative="1">
      <w:start w:val="1"/>
      <w:numFmt w:val="bullet"/>
      <w:lvlText w:val=""/>
      <w:lvlJc w:val="left"/>
      <w:pPr>
        <w:tabs>
          <w:tab w:val="num" w:pos="1440"/>
        </w:tabs>
        <w:ind w:left="1440" w:hanging="360"/>
      </w:pPr>
      <w:rPr>
        <w:rFonts w:ascii="Wingdings" w:hAnsi="Wingdings" w:hint="default"/>
      </w:rPr>
    </w:lvl>
    <w:lvl w:ilvl="2" w:tplc="4ACE3C3E" w:tentative="1">
      <w:start w:val="1"/>
      <w:numFmt w:val="bullet"/>
      <w:lvlText w:val=""/>
      <w:lvlJc w:val="left"/>
      <w:pPr>
        <w:tabs>
          <w:tab w:val="num" w:pos="2160"/>
        </w:tabs>
        <w:ind w:left="2160" w:hanging="360"/>
      </w:pPr>
      <w:rPr>
        <w:rFonts w:ascii="Wingdings" w:hAnsi="Wingdings" w:hint="default"/>
      </w:rPr>
    </w:lvl>
    <w:lvl w:ilvl="3" w:tplc="82A0BE1E" w:tentative="1">
      <w:start w:val="1"/>
      <w:numFmt w:val="bullet"/>
      <w:lvlText w:val=""/>
      <w:lvlJc w:val="left"/>
      <w:pPr>
        <w:tabs>
          <w:tab w:val="num" w:pos="2880"/>
        </w:tabs>
        <w:ind w:left="2880" w:hanging="360"/>
      </w:pPr>
      <w:rPr>
        <w:rFonts w:ascii="Wingdings" w:hAnsi="Wingdings" w:hint="default"/>
      </w:rPr>
    </w:lvl>
    <w:lvl w:ilvl="4" w:tplc="1C82FE70" w:tentative="1">
      <w:start w:val="1"/>
      <w:numFmt w:val="bullet"/>
      <w:lvlText w:val=""/>
      <w:lvlJc w:val="left"/>
      <w:pPr>
        <w:tabs>
          <w:tab w:val="num" w:pos="3600"/>
        </w:tabs>
        <w:ind w:left="3600" w:hanging="360"/>
      </w:pPr>
      <w:rPr>
        <w:rFonts w:ascii="Wingdings" w:hAnsi="Wingdings" w:hint="default"/>
      </w:rPr>
    </w:lvl>
    <w:lvl w:ilvl="5" w:tplc="98D255F6" w:tentative="1">
      <w:start w:val="1"/>
      <w:numFmt w:val="bullet"/>
      <w:lvlText w:val=""/>
      <w:lvlJc w:val="left"/>
      <w:pPr>
        <w:tabs>
          <w:tab w:val="num" w:pos="4320"/>
        </w:tabs>
        <w:ind w:left="4320" w:hanging="360"/>
      </w:pPr>
      <w:rPr>
        <w:rFonts w:ascii="Wingdings" w:hAnsi="Wingdings" w:hint="default"/>
      </w:rPr>
    </w:lvl>
    <w:lvl w:ilvl="6" w:tplc="14EAD382" w:tentative="1">
      <w:start w:val="1"/>
      <w:numFmt w:val="bullet"/>
      <w:lvlText w:val=""/>
      <w:lvlJc w:val="left"/>
      <w:pPr>
        <w:tabs>
          <w:tab w:val="num" w:pos="5040"/>
        </w:tabs>
        <w:ind w:left="5040" w:hanging="360"/>
      </w:pPr>
      <w:rPr>
        <w:rFonts w:ascii="Wingdings" w:hAnsi="Wingdings" w:hint="default"/>
      </w:rPr>
    </w:lvl>
    <w:lvl w:ilvl="7" w:tplc="CF487766" w:tentative="1">
      <w:start w:val="1"/>
      <w:numFmt w:val="bullet"/>
      <w:lvlText w:val=""/>
      <w:lvlJc w:val="left"/>
      <w:pPr>
        <w:tabs>
          <w:tab w:val="num" w:pos="5760"/>
        </w:tabs>
        <w:ind w:left="5760" w:hanging="360"/>
      </w:pPr>
      <w:rPr>
        <w:rFonts w:ascii="Wingdings" w:hAnsi="Wingdings" w:hint="default"/>
      </w:rPr>
    </w:lvl>
    <w:lvl w:ilvl="8" w:tplc="296A225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D50B31"/>
    <w:multiLevelType w:val="multilevel"/>
    <w:tmpl w:val="054202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3F0327BA"/>
    <w:multiLevelType w:val="multilevel"/>
    <w:tmpl w:val="9A16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35146"/>
    <w:multiLevelType w:val="hybridMultilevel"/>
    <w:tmpl w:val="846E029E"/>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7" w15:restartNumberingAfterBreak="0">
    <w:nsid w:val="42AF6466"/>
    <w:multiLevelType w:val="hybridMultilevel"/>
    <w:tmpl w:val="DCF2C384"/>
    <w:lvl w:ilvl="0" w:tplc="46B877B6">
      <w:start w:val="1"/>
      <w:numFmt w:val="bullet"/>
      <w:lvlText w:val="•"/>
      <w:lvlJc w:val="left"/>
      <w:pPr>
        <w:tabs>
          <w:tab w:val="num" w:pos="720"/>
        </w:tabs>
        <w:ind w:left="720" w:hanging="360"/>
      </w:pPr>
      <w:rPr>
        <w:rFonts w:ascii="Times" w:hAnsi="Times" w:hint="default"/>
      </w:rPr>
    </w:lvl>
    <w:lvl w:ilvl="1" w:tplc="E9145642" w:tentative="1">
      <w:start w:val="1"/>
      <w:numFmt w:val="bullet"/>
      <w:lvlText w:val="•"/>
      <w:lvlJc w:val="left"/>
      <w:pPr>
        <w:tabs>
          <w:tab w:val="num" w:pos="1440"/>
        </w:tabs>
        <w:ind w:left="1440" w:hanging="360"/>
      </w:pPr>
      <w:rPr>
        <w:rFonts w:ascii="Times" w:hAnsi="Times" w:hint="default"/>
      </w:rPr>
    </w:lvl>
    <w:lvl w:ilvl="2" w:tplc="B9CAF9D2" w:tentative="1">
      <w:start w:val="1"/>
      <w:numFmt w:val="bullet"/>
      <w:lvlText w:val="•"/>
      <w:lvlJc w:val="left"/>
      <w:pPr>
        <w:tabs>
          <w:tab w:val="num" w:pos="2160"/>
        </w:tabs>
        <w:ind w:left="2160" w:hanging="360"/>
      </w:pPr>
      <w:rPr>
        <w:rFonts w:ascii="Times" w:hAnsi="Times" w:hint="default"/>
      </w:rPr>
    </w:lvl>
    <w:lvl w:ilvl="3" w:tplc="91D40E90" w:tentative="1">
      <w:start w:val="1"/>
      <w:numFmt w:val="bullet"/>
      <w:lvlText w:val="•"/>
      <w:lvlJc w:val="left"/>
      <w:pPr>
        <w:tabs>
          <w:tab w:val="num" w:pos="2880"/>
        </w:tabs>
        <w:ind w:left="2880" w:hanging="360"/>
      </w:pPr>
      <w:rPr>
        <w:rFonts w:ascii="Times" w:hAnsi="Times" w:hint="default"/>
      </w:rPr>
    </w:lvl>
    <w:lvl w:ilvl="4" w:tplc="249852B8" w:tentative="1">
      <w:start w:val="1"/>
      <w:numFmt w:val="bullet"/>
      <w:lvlText w:val="•"/>
      <w:lvlJc w:val="left"/>
      <w:pPr>
        <w:tabs>
          <w:tab w:val="num" w:pos="3600"/>
        </w:tabs>
        <w:ind w:left="3600" w:hanging="360"/>
      </w:pPr>
      <w:rPr>
        <w:rFonts w:ascii="Times" w:hAnsi="Times" w:hint="default"/>
      </w:rPr>
    </w:lvl>
    <w:lvl w:ilvl="5" w:tplc="CCE63CE8" w:tentative="1">
      <w:start w:val="1"/>
      <w:numFmt w:val="bullet"/>
      <w:lvlText w:val="•"/>
      <w:lvlJc w:val="left"/>
      <w:pPr>
        <w:tabs>
          <w:tab w:val="num" w:pos="4320"/>
        </w:tabs>
        <w:ind w:left="4320" w:hanging="360"/>
      </w:pPr>
      <w:rPr>
        <w:rFonts w:ascii="Times" w:hAnsi="Times" w:hint="default"/>
      </w:rPr>
    </w:lvl>
    <w:lvl w:ilvl="6" w:tplc="FCFE58BC" w:tentative="1">
      <w:start w:val="1"/>
      <w:numFmt w:val="bullet"/>
      <w:lvlText w:val="•"/>
      <w:lvlJc w:val="left"/>
      <w:pPr>
        <w:tabs>
          <w:tab w:val="num" w:pos="5040"/>
        </w:tabs>
        <w:ind w:left="5040" w:hanging="360"/>
      </w:pPr>
      <w:rPr>
        <w:rFonts w:ascii="Times" w:hAnsi="Times" w:hint="default"/>
      </w:rPr>
    </w:lvl>
    <w:lvl w:ilvl="7" w:tplc="948E7296" w:tentative="1">
      <w:start w:val="1"/>
      <w:numFmt w:val="bullet"/>
      <w:lvlText w:val="•"/>
      <w:lvlJc w:val="left"/>
      <w:pPr>
        <w:tabs>
          <w:tab w:val="num" w:pos="5760"/>
        </w:tabs>
        <w:ind w:left="5760" w:hanging="360"/>
      </w:pPr>
      <w:rPr>
        <w:rFonts w:ascii="Times" w:hAnsi="Times" w:hint="default"/>
      </w:rPr>
    </w:lvl>
    <w:lvl w:ilvl="8" w:tplc="50949BA8" w:tentative="1">
      <w:start w:val="1"/>
      <w:numFmt w:val="bullet"/>
      <w:lvlText w:val="•"/>
      <w:lvlJc w:val="left"/>
      <w:pPr>
        <w:tabs>
          <w:tab w:val="num" w:pos="6480"/>
        </w:tabs>
        <w:ind w:left="6480" w:hanging="360"/>
      </w:pPr>
      <w:rPr>
        <w:rFonts w:ascii="Times" w:hAnsi="Times" w:hint="default"/>
      </w:rPr>
    </w:lvl>
  </w:abstractNum>
  <w:abstractNum w:abstractNumId="28" w15:restartNumberingAfterBreak="0">
    <w:nsid w:val="43554DF5"/>
    <w:multiLevelType w:val="hybridMultilevel"/>
    <w:tmpl w:val="487E7234"/>
    <w:lvl w:ilvl="0" w:tplc="47FE6C4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7B23586"/>
    <w:multiLevelType w:val="hybridMultilevel"/>
    <w:tmpl w:val="E2C6669A"/>
    <w:lvl w:ilvl="0" w:tplc="A1C6986C">
      <w:start w:val="1"/>
      <w:numFmt w:val="decimal"/>
      <w:lvlText w:val="%1."/>
      <w:lvlJc w:val="left"/>
      <w:pPr>
        <w:tabs>
          <w:tab w:val="num" w:pos="720"/>
        </w:tabs>
        <w:ind w:left="720" w:hanging="360"/>
      </w:pPr>
      <w:rPr>
        <w:rFonts w:cs="Times New Roman" w:hint="default"/>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94949FE"/>
    <w:multiLevelType w:val="hybridMultilevel"/>
    <w:tmpl w:val="A702992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1" w15:restartNumberingAfterBreak="0">
    <w:nsid w:val="4D200725"/>
    <w:multiLevelType w:val="hybridMultilevel"/>
    <w:tmpl w:val="7EB457E2"/>
    <w:lvl w:ilvl="0" w:tplc="F78C4FB8">
      <w:start w:val="1"/>
      <w:numFmt w:val="bullet"/>
      <w:lvlText w:val=""/>
      <w:lvlJc w:val="left"/>
      <w:pPr>
        <w:tabs>
          <w:tab w:val="num" w:pos="720"/>
        </w:tabs>
        <w:ind w:left="720" w:hanging="360"/>
      </w:pPr>
      <w:rPr>
        <w:rFonts w:ascii="Wingdings" w:hAnsi="Wingdings" w:hint="default"/>
      </w:rPr>
    </w:lvl>
    <w:lvl w:ilvl="1" w:tplc="B78E5B7E" w:tentative="1">
      <w:start w:val="1"/>
      <w:numFmt w:val="bullet"/>
      <w:lvlText w:val=""/>
      <w:lvlJc w:val="left"/>
      <w:pPr>
        <w:tabs>
          <w:tab w:val="num" w:pos="1440"/>
        </w:tabs>
        <w:ind w:left="1440" w:hanging="360"/>
      </w:pPr>
      <w:rPr>
        <w:rFonts w:ascii="Wingdings" w:hAnsi="Wingdings" w:hint="default"/>
      </w:rPr>
    </w:lvl>
    <w:lvl w:ilvl="2" w:tplc="63EE2090" w:tentative="1">
      <w:start w:val="1"/>
      <w:numFmt w:val="bullet"/>
      <w:lvlText w:val=""/>
      <w:lvlJc w:val="left"/>
      <w:pPr>
        <w:tabs>
          <w:tab w:val="num" w:pos="2160"/>
        </w:tabs>
        <w:ind w:left="2160" w:hanging="360"/>
      </w:pPr>
      <w:rPr>
        <w:rFonts w:ascii="Wingdings" w:hAnsi="Wingdings" w:hint="default"/>
      </w:rPr>
    </w:lvl>
    <w:lvl w:ilvl="3" w:tplc="A91AFD62" w:tentative="1">
      <w:start w:val="1"/>
      <w:numFmt w:val="bullet"/>
      <w:lvlText w:val=""/>
      <w:lvlJc w:val="left"/>
      <w:pPr>
        <w:tabs>
          <w:tab w:val="num" w:pos="2880"/>
        </w:tabs>
        <w:ind w:left="2880" w:hanging="360"/>
      </w:pPr>
      <w:rPr>
        <w:rFonts w:ascii="Wingdings" w:hAnsi="Wingdings" w:hint="default"/>
      </w:rPr>
    </w:lvl>
    <w:lvl w:ilvl="4" w:tplc="4EAC99EC" w:tentative="1">
      <w:start w:val="1"/>
      <w:numFmt w:val="bullet"/>
      <w:lvlText w:val=""/>
      <w:lvlJc w:val="left"/>
      <w:pPr>
        <w:tabs>
          <w:tab w:val="num" w:pos="3600"/>
        </w:tabs>
        <w:ind w:left="3600" w:hanging="360"/>
      </w:pPr>
      <w:rPr>
        <w:rFonts w:ascii="Wingdings" w:hAnsi="Wingdings" w:hint="default"/>
      </w:rPr>
    </w:lvl>
    <w:lvl w:ilvl="5" w:tplc="85489BAA" w:tentative="1">
      <w:start w:val="1"/>
      <w:numFmt w:val="bullet"/>
      <w:lvlText w:val=""/>
      <w:lvlJc w:val="left"/>
      <w:pPr>
        <w:tabs>
          <w:tab w:val="num" w:pos="4320"/>
        </w:tabs>
        <w:ind w:left="4320" w:hanging="360"/>
      </w:pPr>
      <w:rPr>
        <w:rFonts w:ascii="Wingdings" w:hAnsi="Wingdings" w:hint="default"/>
      </w:rPr>
    </w:lvl>
    <w:lvl w:ilvl="6" w:tplc="674C5BB6" w:tentative="1">
      <w:start w:val="1"/>
      <w:numFmt w:val="bullet"/>
      <w:lvlText w:val=""/>
      <w:lvlJc w:val="left"/>
      <w:pPr>
        <w:tabs>
          <w:tab w:val="num" w:pos="5040"/>
        </w:tabs>
        <w:ind w:left="5040" w:hanging="360"/>
      </w:pPr>
      <w:rPr>
        <w:rFonts w:ascii="Wingdings" w:hAnsi="Wingdings" w:hint="default"/>
      </w:rPr>
    </w:lvl>
    <w:lvl w:ilvl="7" w:tplc="ABD80F40" w:tentative="1">
      <w:start w:val="1"/>
      <w:numFmt w:val="bullet"/>
      <w:lvlText w:val=""/>
      <w:lvlJc w:val="left"/>
      <w:pPr>
        <w:tabs>
          <w:tab w:val="num" w:pos="5760"/>
        </w:tabs>
        <w:ind w:left="5760" w:hanging="360"/>
      </w:pPr>
      <w:rPr>
        <w:rFonts w:ascii="Wingdings" w:hAnsi="Wingdings" w:hint="default"/>
      </w:rPr>
    </w:lvl>
    <w:lvl w:ilvl="8" w:tplc="607E4B1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7830F1"/>
    <w:multiLevelType w:val="hybridMultilevel"/>
    <w:tmpl w:val="A96AC04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EA72A4E"/>
    <w:multiLevelType w:val="hybridMultilevel"/>
    <w:tmpl w:val="609EE094"/>
    <w:lvl w:ilvl="0" w:tplc="D5D6085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4377B80"/>
    <w:multiLevelType w:val="hybridMultilevel"/>
    <w:tmpl w:val="868054DA"/>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55F602C8"/>
    <w:multiLevelType w:val="hybridMultilevel"/>
    <w:tmpl w:val="E09C42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59C51475"/>
    <w:multiLevelType w:val="hybridMultilevel"/>
    <w:tmpl w:val="EF4CF550"/>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AD56295"/>
    <w:multiLevelType w:val="hybridMultilevel"/>
    <w:tmpl w:val="82BCDF1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B005D55"/>
    <w:multiLevelType w:val="hybridMultilevel"/>
    <w:tmpl w:val="B6BE492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6101CF"/>
    <w:multiLevelType w:val="multilevel"/>
    <w:tmpl w:val="1D6AD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EA10FC4"/>
    <w:multiLevelType w:val="hybridMultilevel"/>
    <w:tmpl w:val="03AC30FC"/>
    <w:lvl w:ilvl="0" w:tplc="B128CB30">
      <w:start w:val="1"/>
      <w:numFmt w:val="bullet"/>
      <w:lvlText w:val=""/>
      <w:lvlJc w:val="left"/>
      <w:pPr>
        <w:tabs>
          <w:tab w:val="num" w:pos="720"/>
        </w:tabs>
        <w:ind w:left="720" w:hanging="360"/>
      </w:pPr>
      <w:rPr>
        <w:rFonts w:ascii="Wingdings" w:hAnsi="Wingdings" w:hint="default"/>
      </w:rPr>
    </w:lvl>
    <w:lvl w:ilvl="1" w:tplc="743EE748" w:tentative="1">
      <w:start w:val="1"/>
      <w:numFmt w:val="bullet"/>
      <w:lvlText w:val=""/>
      <w:lvlJc w:val="left"/>
      <w:pPr>
        <w:tabs>
          <w:tab w:val="num" w:pos="1440"/>
        </w:tabs>
        <w:ind w:left="1440" w:hanging="360"/>
      </w:pPr>
      <w:rPr>
        <w:rFonts w:ascii="Wingdings" w:hAnsi="Wingdings" w:hint="default"/>
      </w:rPr>
    </w:lvl>
    <w:lvl w:ilvl="2" w:tplc="4A4CDE1E" w:tentative="1">
      <w:start w:val="1"/>
      <w:numFmt w:val="bullet"/>
      <w:lvlText w:val=""/>
      <w:lvlJc w:val="left"/>
      <w:pPr>
        <w:tabs>
          <w:tab w:val="num" w:pos="2160"/>
        </w:tabs>
        <w:ind w:left="2160" w:hanging="360"/>
      </w:pPr>
      <w:rPr>
        <w:rFonts w:ascii="Wingdings" w:hAnsi="Wingdings" w:hint="default"/>
      </w:rPr>
    </w:lvl>
    <w:lvl w:ilvl="3" w:tplc="BE16E7BC" w:tentative="1">
      <w:start w:val="1"/>
      <w:numFmt w:val="bullet"/>
      <w:lvlText w:val=""/>
      <w:lvlJc w:val="left"/>
      <w:pPr>
        <w:tabs>
          <w:tab w:val="num" w:pos="2880"/>
        </w:tabs>
        <w:ind w:left="2880" w:hanging="360"/>
      </w:pPr>
      <w:rPr>
        <w:rFonts w:ascii="Wingdings" w:hAnsi="Wingdings" w:hint="default"/>
      </w:rPr>
    </w:lvl>
    <w:lvl w:ilvl="4" w:tplc="D696B306" w:tentative="1">
      <w:start w:val="1"/>
      <w:numFmt w:val="bullet"/>
      <w:lvlText w:val=""/>
      <w:lvlJc w:val="left"/>
      <w:pPr>
        <w:tabs>
          <w:tab w:val="num" w:pos="3600"/>
        </w:tabs>
        <w:ind w:left="3600" w:hanging="360"/>
      </w:pPr>
      <w:rPr>
        <w:rFonts w:ascii="Wingdings" w:hAnsi="Wingdings" w:hint="default"/>
      </w:rPr>
    </w:lvl>
    <w:lvl w:ilvl="5" w:tplc="80F82DE0" w:tentative="1">
      <w:start w:val="1"/>
      <w:numFmt w:val="bullet"/>
      <w:lvlText w:val=""/>
      <w:lvlJc w:val="left"/>
      <w:pPr>
        <w:tabs>
          <w:tab w:val="num" w:pos="4320"/>
        </w:tabs>
        <w:ind w:left="4320" w:hanging="360"/>
      </w:pPr>
      <w:rPr>
        <w:rFonts w:ascii="Wingdings" w:hAnsi="Wingdings" w:hint="default"/>
      </w:rPr>
    </w:lvl>
    <w:lvl w:ilvl="6" w:tplc="587262C4" w:tentative="1">
      <w:start w:val="1"/>
      <w:numFmt w:val="bullet"/>
      <w:lvlText w:val=""/>
      <w:lvlJc w:val="left"/>
      <w:pPr>
        <w:tabs>
          <w:tab w:val="num" w:pos="5040"/>
        </w:tabs>
        <w:ind w:left="5040" w:hanging="360"/>
      </w:pPr>
      <w:rPr>
        <w:rFonts w:ascii="Wingdings" w:hAnsi="Wingdings" w:hint="default"/>
      </w:rPr>
    </w:lvl>
    <w:lvl w:ilvl="7" w:tplc="5F967A34" w:tentative="1">
      <w:start w:val="1"/>
      <w:numFmt w:val="bullet"/>
      <w:lvlText w:val=""/>
      <w:lvlJc w:val="left"/>
      <w:pPr>
        <w:tabs>
          <w:tab w:val="num" w:pos="5760"/>
        </w:tabs>
        <w:ind w:left="5760" w:hanging="360"/>
      </w:pPr>
      <w:rPr>
        <w:rFonts w:ascii="Wingdings" w:hAnsi="Wingdings" w:hint="default"/>
      </w:rPr>
    </w:lvl>
    <w:lvl w:ilvl="8" w:tplc="95FE9BE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CA47A4"/>
    <w:multiLevelType w:val="hybridMultilevel"/>
    <w:tmpl w:val="3AD0BFB2"/>
    <w:lvl w:ilvl="0" w:tplc="A6860616">
      <w:start w:val="1"/>
      <w:numFmt w:val="bullet"/>
      <w:lvlText w:val="•"/>
      <w:lvlJc w:val="left"/>
      <w:pPr>
        <w:tabs>
          <w:tab w:val="num" w:pos="720"/>
        </w:tabs>
        <w:ind w:left="720" w:hanging="360"/>
      </w:pPr>
      <w:rPr>
        <w:rFonts w:ascii="Times" w:hAnsi="Times" w:hint="default"/>
      </w:rPr>
    </w:lvl>
    <w:lvl w:ilvl="1" w:tplc="BF965F74" w:tentative="1">
      <w:start w:val="1"/>
      <w:numFmt w:val="bullet"/>
      <w:lvlText w:val="•"/>
      <w:lvlJc w:val="left"/>
      <w:pPr>
        <w:tabs>
          <w:tab w:val="num" w:pos="1440"/>
        </w:tabs>
        <w:ind w:left="1440" w:hanging="360"/>
      </w:pPr>
      <w:rPr>
        <w:rFonts w:ascii="Times" w:hAnsi="Times" w:hint="default"/>
      </w:rPr>
    </w:lvl>
    <w:lvl w:ilvl="2" w:tplc="42307790" w:tentative="1">
      <w:start w:val="1"/>
      <w:numFmt w:val="bullet"/>
      <w:lvlText w:val="•"/>
      <w:lvlJc w:val="left"/>
      <w:pPr>
        <w:tabs>
          <w:tab w:val="num" w:pos="2160"/>
        </w:tabs>
        <w:ind w:left="2160" w:hanging="360"/>
      </w:pPr>
      <w:rPr>
        <w:rFonts w:ascii="Times" w:hAnsi="Times" w:hint="default"/>
      </w:rPr>
    </w:lvl>
    <w:lvl w:ilvl="3" w:tplc="37B8F5D6" w:tentative="1">
      <w:start w:val="1"/>
      <w:numFmt w:val="bullet"/>
      <w:lvlText w:val="•"/>
      <w:lvlJc w:val="left"/>
      <w:pPr>
        <w:tabs>
          <w:tab w:val="num" w:pos="2880"/>
        </w:tabs>
        <w:ind w:left="2880" w:hanging="360"/>
      </w:pPr>
      <w:rPr>
        <w:rFonts w:ascii="Times" w:hAnsi="Times" w:hint="default"/>
      </w:rPr>
    </w:lvl>
    <w:lvl w:ilvl="4" w:tplc="A37E916C" w:tentative="1">
      <w:start w:val="1"/>
      <w:numFmt w:val="bullet"/>
      <w:lvlText w:val="•"/>
      <w:lvlJc w:val="left"/>
      <w:pPr>
        <w:tabs>
          <w:tab w:val="num" w:pos="3600"/>
        </w:tabs>
        <w:ind w:left="3600" w:hanging="360"/>
      </w:pPr>
      <w:rPr>
        <w:rFonts w:ascii="Times" w:hAnsi="Times" w:hint="default"/>
      </w:rPr>
    </w:lvl>
    <w:lvl w:ilvl="5" w:tplc="86C48D60" w:tentative="1">
      <w:start w:val="1"/>
      <w:numFmt w:val="bullet"/>
      <w:lvlText w:val="•"/>
      <w:lvlJc w:val="left"/>
      <w:pPr>
        <w:tabs>
          <w:tab w:val="num" w:pos="4320"/>
        </w:tabs>
        <w:ind w:left="4320" w:hanging="360"/>
      </w:pPr>
      <w:rPr>
        <w:rFonts w:ascii="Times" w:hAnsi="Times" w:hint="default"/>
      </w:rPr>
    </w:lvl>
    <w:lvl w:ilvl="6" w:tplc="238E50C6" w:tentative="1">
      <w:start w:val="1"/>
      <w:numFmt w:val="bullet"/>
      <w:lvlText w:val="•"/>
      <w:lvlJc w:val="left"/>
      <w:pPr>
        <w:tabs>
          <w:tab w:val="num" w:pos="5040"/>
        </w:tabs>
        <w:ind w:left="5040" w:hanging="360"/>
      </w:pPr>
      <w:rPr>
        <w:rFonts w:ascii="Times" w:hAnsi="Times" w:hint="default"/>
      </w:rPr>
    </w:lvl>
    <w:lvl w:ilvl="7" w:tplc="19620FC2" w:tentative="1">
      <w:start w:val="1"/>
      <w:numFmt w:val="bullet"/>
      <w:lvlText w:val="•"/>
      <w:lvlJc w:val="left"/>
      <w:pPr>
        <w:tabs>
          <w:tab w:val="num" w:pos="5760"/>
        </w:tabs>
        <w:ind w:left="5760" w:hanging="360"/>
      </w:pPr>
      <w:rPr>
        <w:rFonts w:ascii="Times" w:hAnsi="Times" w:hint="default"/>
      </w:rPr>
    </w:lvl>
    <w:lvl w:ilvl="8" w:tplc="DC3C9866" w:tentative="1">
      <w:start w:val="1"/>
      <w:numFmt w:val="bullet"/>
      <w:lvlText w:val="•"/>
      <w:lvlJc w:val="left"/>
      <w:pPr>
        <w:tabs>
          <w:tab w:val="num" w:pos="6480"/>
        </w:tabs>
        <w:ind w:left="6480" w:hanging="360"/>
      </w:pPr>
      <w:rPr>
        <w:rFonts w:ascii="Times" w:hAnsi="Times" w:hint="default"/>
      </w:rPr>
    </w:lvl>
  </w:abstractNum>
  <w:abstractNum w:abstractNumId="42" w15:restartNumberingAfterBreak="0">
    <w:nsid w:val="664E032D"/>
    <w:multiLevelType w:val="hybridMultilevel"/>
    <w:tmpl w:val="6122B548"/>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403DFB"/>
    <w:multiLevelType w:val="hybridMultilevel"/>
    <w:tmpl w:val="33E07A94"/>
    <w:lvl w:ilvl="0" w:tplc="E946C384">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962CF4"/>
    <w:multiLevelType w:val="hybridMultilevel"/>
    <w:tmpl w:val="FB441DEE"/>
    <w:lvl w:ilvl="0" w:tplc="48A09210">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A71888"/>
    <w:multiLevelType w:val="hybridMultilevel"/>
    <w:tmpl w:val="C37613B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6" w15:restartNumberingAfterBreak="0">
    <w:nsid w:val="7406577F"/>
    <w:multiLevelType w:val="hybridMultilevel"/>
    <w:tmpl w:val="8B1E7E4C"/>
    <w:lvl w:ilvl="0" w:tplc="C69CDE5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B86AD7"/>
    <w:multiLevelType w:val="hybridMultilevel"/>
    <w:tmpl w:val="A702992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8" w15:restartNumberingAfterBreak="0">
    <w:nsid w:val="7B610ABA"/>
    <w:multiLevelType w:val="multilevel"/>
    <w:tmpl w:val="54F6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4"/>
  </w:num>
  <w:num w:numId="3">
    <w:abstractNumId w:val="35"/>
  </w:num>
  <w:num w:numId="4">
    <w:abstractNumId w:val="34"/>
  </w:num>
  <w:num w:numId="5">
    <w:abstractNumId w:val="13"/>
  </w:num>
  <w:num w:numId="6">
    <w:abstractNumId w:val="17"/>
  </w:num>
  <w:num w:numId="7">
    <w:abstractNumId w:val="37"/>
  </w:num>
  <w:num w:numId="8">
    <w:abstractNumId w:val="39"/>
  </w:num>
  <w:num w:numId="9">
    <w:abstractNumId w:val="18"/>
  </w:num>
  <w:num w:numId="10">
    <w:abstractNumId w:val="45"/>
  </w:num>
  <w:num w:numId="11">
    <w:abstractNumId w:val="19"/>
  </w:num>
  <w:num w:numId="12">
    <w:abstractNumId w:val="23"/>
  </w:num>
  <w:num w:numId="13">
    <w:abstractNumId w:val="40"/>
  </w:num>
  <w:num w:numId="14">
    <w:abstractNumId w:val="27"/>
  </w:num>
  <w:num w:numId="15">
    <w:abstractNumId w:val="41"/>
  </w:num>
  <w:num w:numId="16">
    <w:abstractNumId w:val="31"/>
  </w:num>
  <w:num w:numId="17">
    <w:abstractNumId w:val="16"/>
  </w:num>
  <w:num w:numId="18">
    <w:abstractNumId w:val="38"/>
  </w:num>
  <w:num w:numId="19">
    <w:abstractNumId w:val="22"/>
  </w:num>
  <w:num w:numId="20">
    <w:abstractNumId w:val="32"/>
  </w:num>
  <w:num w:numId="21">
    <w:abstractNumId w:val="30"/>
  </w:num>
  <w:num w:numId="22">
    <w:abstractNumId w:val="11"/>
  </w:num>
  <w:num w:numId="23">
    <w:abstractNumId w:val="47"/>
  </w:num>
  <w:num w:numId="24">
    <w:abstractNumId w:val="36"/>
  </w:num>
  <w:num w:numId="25">
    <w:abstractNumId w:val="29"/>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25"/>
  </w:num>
  <w:num w:numId="37">
    <w:abstractNumId w:val="14"/>
  </w:num>
  <w:num w:numId="38">
    <w:abstractNumId w:val="46"/>
  </w:num>
  <w:num w:numId="39">
    <w:abstractNumId w:val="43"/>
  </w:num>
  <w:num w:numId="40">
    <w:abstractNumId w:val="15"/>
  </w:num>
  <w:num w:numId="41">
    <w:abstractNumId w:val="20"/>
  </w:num>
  <w:num w:numId="42">
    <w:abstractNumId w:val="10"/>
  </w:num>
  <w:num w:numId="43">
    <w:abstractNumId w:val="21"/>
  </w:num>
  <w:num w:numId="44">
    <w:abstractNumId w:val="28"/>
  </w:num>
  <w:num w:numId="45">
    <w:abstractNumId w:val="33"/>
  </w:num>
  <w:num w:numId="46">
    <w:abstractNumId w:val="44"/>
  </w:num>
  <w:num w:numId="47">
    <w:abstractNumId w:val="12"/>
  </w:num>
  <w:num w:numId="48">
    <w:abstractNumId w:val="42"/>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de-DE"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11F"/>
    <w:rsid w:val="00000448"/>
    <w:rsid w:val="00001621"/>
    <w:rsid w:val="00003205"/>
    <w:rsid w:val="00004FE8"/>
    <w:rsid w:val="00005229"/>
    <w:rsid w:val="00005A41"/>
    <w:rsid w:val="00005D39"/>
    <w:rsid w:val="00005F2D"/>
    <w:rsid w:val="0000621B"/>
    <w:rsid w:val="000064D9"/>
    <w:rsid w:val="00007B41"/>
    <w:rsid w:val="00007C15"/>
    <w:rsid w:val="000100DB"/>
    <w:rsid w:val="00010268"/>
    <w:rsid w:val="0001029A"/>
    <w:rsid w:val="00010572"/>
    <w:rsid w:val="00010776"/>
    <w:rsid w:val="00011AEA"/>
    <w:rsid w:val="00011CB2"/>
    <w:rsid w:val="00012BF3"/>
    <w:rsid w:val="00013C71"/>
    <w:rsid w:val="000146EE"/>
    <w:rsid w:val="000146F5"/>
    <w:rsid w:val="0001477A"/>
    <w:rsid w:val="00014BB8"/>
    <w:rsid w:val="00015014"/>
    <w:rsid w:val="00015A64"/>
    <w:rsid w:val="000166F8"/>
    <w:rsid w:val="00016920"/>
    <w:rsid w:val="00020088"/>
    <w:rsid w:val="00020410"/>
    <w:rsid w:val="000207EC"/>
    <w:rsid w:val="000223DD"/>
    <w:rsid w:val="00022464"/>
    <w:rsid w:val="00022F4B"/>
    <w:rsid w:val="00023DB7"/>
    <w:rsid w:val="00024E2D"/>
    <w:rsid w:val="00025370"/>
    <w:rsid w:val="000256AB"/>
    <w:rsid w:val="000262C1"/>
    <w:rsid w:val="000267E0"/>
    <w:rsid w:val="00026AB0"/>
    <w:rsid w:val="000279F7"/>
    <w:rsid w:val="00030CFA"/>
    <w:rsid w:val="0003194C"/>
    <w:rsid w:val="00032FE0"/>
    <w:rsid w:val="0003377A"/>
    <w:rsid w:val="00033BC6"/>
    <w:rsid w:val="00033CC1"/>
    <w:rsid w:val="00034CA8"/>
    <w:rsid w:val="0003510D"/>
    <w:rsid w:val="000355FB"/>
    <w:rsid w:val="00035C03"/>
    <w:rsid w:val="00035EBC"/>
    <w:rsid w:val="00040172"/>
    <w:rsid w:val="0004043B"/>
    <w:rsid w:val="000411B2"/>
    <w:rsid w:val="00042484"/>
    <w:rsid w:val="000427F1"/>
    <w:rsid w:val="0004321D"/>
    <w:rsid w:val="00044E84"/>
    <w:rsid w:val="00045232"/>
    <w:rsid w:val="000453DF"/>
    <w:rsid w:val="0004602B"/>
    <w:rsid w:val="00046240"/>
    <w:rsid w:val="0004679F"/>
    <w:rsid w:val="000471FE"/>
    <w:rsid w:val="00047492"/>
    <w:rsid w:val="000517C8"/>
    <w:rsid w:val="000533FF"/>
    <w:rsid w:val="000542F0"/>
    <w:rsid w:val="00054372"/>
    <w:rsid w:val="000543A5"/>
    <w:rsid w:val="00054BEE"/>
    <w:rsid w:val="00054F0A"/>
    <w:rsid w:val="00055F80"/>
    <w:rsid w:val="00056CEB"/>
    <w:rsid w:val="000570C7"/>
    <w:rsid w:val="000576D5"/>
    <w:rsid w:val="000578FA"/>
    <w:rsid w:val="00060023"/>
    <w:rsid w:val="0006038A"/>
    <w:rsid w:val="000603CD"/>
    <w:rsid w:val="00060996"/>
    <w:rsid w:val="00060FE7"/>
    <w:rsid w:val="00062715"/>
    <w:rsid w:val="00063318"/>
    <w:rsid w:val="00063E49"/>
    <w:rsid w:val="0006434D"/>
    <w:rsid w:val="00064C4C"/>
    <w:rsid w:val="00065212"/>
    <w:rsid w:val="00066BFC"/>
    <w:rsid w:val="00067080"/>
    <w:rsid w:val="00067129"/>
    <w:rsid w:val="00067A78"/>
    <w:rsid w:val="00071A2F"/>
    <w:rsid w:val="000727F2"/>
    <w:rsid w:val="0007288C"/>
    <w:rsid w:val="00072F5A"/>
    <w:rsid w:val="00073202"/>
    <w:rsid w:val="00074AD3"/>
    <w:rsid w:val="00074E8A"/>
    <w:rsid w:val="00074E8E"/>
    <w:rsid w:val="00074F85"/>
    <w:rsid w:val="000754EF"/>
    <w:rsid w:val="00075E61"/>
    <w:rsid w:val="00076027"/>
    <w:rsid w:val="000766A3"/>
    <w:rsid w:val="00076C51"/>
    <w:rsid w:val="00076CEF"/>
    <w:rsid w:val="00076DF4"/>
    <w:rsid w:val="00077E33"/>
    <w:rsid w:val="000804E4"/>
    <w:rsid w:val="00080805"/>
    <w:rsid w:val="000808FB"/>
    <w:rsid w:val="00080CA8"/>
    <w:rsid w:val="00081C76"/>
    <w:rsid w:val="00082553"/>
    <w:rsid w:val="00082FE0"/>
    <w:rsid w:val="00083283"/>
    <w:rsid w:val="00083EA9"/>
    <w:rsid w:val="00084205"/>
    <w:rsid w:val="00084F76"/>
    <w:rsid w:val="00085274"/>
    <w:rsid w:val="00085341"/>
    <w:rsid w:val="00085979"/>
    <w:rsid w:val="00085EE0"/>
    <w:rsid w:val="00086386"/>
    <w:rsid w:val="00086597"/>
    <w:rsid w:val="00086AEB"/>
    <w:rsid w:val="000873A8"/>
    <w:rsid w:val="00090483"/>
    <w:rsid w:val="000904D6"/>
    <w:rsid w:val="00090FFD"/>
    <w:rsid w:val="00091414"/>
    <w:rsid w:val="00091597"/>
    <w:rsid w:val="00092783"/>
    <w:rsid w:val="00092B31"/>
    <w:rsid w:val="00092C54"/>
    <w:rsid w:val="00094759"/>
    <w:rsid w:val="00096315"/>
    <w:rsid w:val="0009637F"/>
    <w:rsid w:val="0009646A"/>
    <w:rsid w:val="000964CA"/>
    <w:rsid w:val="00096AF8"/>
    <w:rsid w:val="00096D5F"/>
    <w:rsid w:val="00097757"/>
    <w:rsid w:val="0009791F"/>
    <w:rsid w:val="00097D94"/>
    <w:rsid w:val="000A0D6F"/>
    <w:rsid w:val="000A163F"/>
    <w:rsid w:val="000A1F67"/>
    <w:rsid w:val="000A2049"/>
    <w:rsid w:val="000A2163"/>
    <w:rsid w:val="000A2C74"/>
    <w:rsid w:val="000A2F6F"/>
    <w:rsid w:val="000A382D"/>
    <w:rsid w:val="000A3BD1"/>
    <w:rsid w:val="000A45F9"/>
    <w:rsid w:val="000A49D2"/>
    <w:rsid w:val="000A4A2E"/>
    <w:rsid w:val="000A4EE5"/>
    <w:rsid w:val="000A5139"/>
    <w:rsid w:val="000A539E"/>
    <w:rsid w:val="000A56B7"/>
    <w:rsid w:val="000A5EE8"/>
    <w:rsid w:val="000A63B6"/>
    <w:rsid w:val="000A65FD"/>
    <w:rsid w:val="000A68E7"/>
    <w:rsid w:val="000A7120"/>
    <w:rsid w:val="000A7420"/>
    <w:rsid w:val="000A7480"/>
    <w:rsid w:val="000A7913"/>
    <w:rsid w:val="000A7A55"/>
    <w:rsid w:val="000A7DF7"/>
    <w:rsid w:val="000B06DE"/>
    <w:rsid w:val="000B0C77"/>
    <w:rsid w:val="000B0FB2"/>
    <w:rsid w:val="000B108F"/>
    <w:rsid w:val="000B1113"/>
    <w:rsid w:val="000B1B92"/>
    <w:rsid w:val="000B2A83"/>
    <w:rsid w:val="000B2FEC"/>
    <w:rsid w:val="000B3B1F"/>
    <w:rsid w:val="000B448B"/>
    <w:rsid w:val="000B46FE"/>
    <w:rsid w:val="000B4917"/>
    <w:rsid w:val="000B50CF"/>
    <w:rsid w:val="000B58F4"/>
    <w:rsid w:val="000B6222"/>
    <w:rsid w:val="000B7469"/>
    <w:rsid w:val="000B7485"/>
    <w:rsid w:val="000C092D"/>
    <w:rsid w:val="000C1050"/>
    <w:rsid w:val="000C1F13"/>
    <w:rsid w:val="000C2320"/>
    <w:rsid w:val="000C2329"/>
    <w:rsid w:val="000C2428"/>
    <w:rsid w:val="000C3157"/>
    <w:rsid w:val="000C3203"/>
    <w:rsid w:val="000C368D"/>
    <w:rsid w:val="000C4E64"/>
    <w:rsid w:val="000C4F7B"/>
    <w:rsid w:val="000C5305"/>
    <w:rsid w:val="000C57ED"/>
    <w:rsid w:val="000C5F5C"/>
    <w:rsid w:val="000C63F7"/>
    <w:rsid w:val="000C6769"/>
    <w:rsid w:val="000C6A54"/>
    <w:rsid w:val="000C6BC7"/>
    <w:rsid w:val="000C6E48"/>
    <w:rsid w:val="000C7455"/>
    <w:rsid w:val="000C7B68"/>
    <w:rsid w:val="000D003F"/>
    <w:rsid w:val="000D0821"/>
    <w:rsid w:val="000D0CDA"/>
    <w:rsid w:val="000D0F3F"/>
    <w:rsid w:val="000D24FD"/>
    <w:rsid w:val="000D311D"/>
    <w:rsid w:val="000D591E"/>
    <w:rsid w:val="000D6E76"/>
    <w:rsid w:val="000D753B"/>
    <w:rsid w:val="000E0CF5"/>
    <w:rsid w:val="000E1EA5"/>
    <w:rsid w:val="000E20BE"/>
    <w:rsid w:val="000E22EB"/>
    <w:rsid w:val="000E290A"/>
    <w:rsid w:val="000E39FA"/>
    <w:rsid w:val="000E3EA9"/>
    <w:rsid w:val="000E4302"/>
    <w:rsid w:val="000E45B8"/>
    <w:rsid w:val="000E5D2A"/>
    <w:rsid w:val="000E6B55"/>
    <w:rsid w:val="000E732A"/>
    <w:rsid w:val="000E7AD1"/>
    <w:rsid w:val="000F09ED"/>
    <w:rsid w:val="000F09F1"/>
    <w:rsid w:val="000F1267"/>
    <w:rsid w:val="000F15E9"/>
    <w:rsid w:val="000F18FE"/>
    <w:rsid w:val="000F2830"/>
    <w:rsid w:val="000F2B37"/>
    <w:rsid w:val="000F300A"/>
    <w:rsid w:val="000F37A7"/>
    <w:rsid w:val="000F4349"/>
    <w:rsid w:val="000F4AC5"/>
    <w:rsid w:val="000F5149"/>
    <w:rsid w:val="000F5189"/>
    <w:rsid w:val="000F54B3"/>
    <w:rsid w:val="000F5A11"/>
    <w:rsid w:val="000F69EB"/>
    <w:rsid w:val="000F6A29"/>
    <w:rsid w:val="000F78A9"/>
    <w:rsid w:val="000F78DE"/>
    <w:rsid w:val="000F7FE1"/>
    <w:rsid w:val="0010021E"/>
    <w:rsid w:val="00100629"/>
    <w:rsid w:val="00100F8D"/>
    <w:rsid w:val="00101897"/>
    <w:rsid w:val="0010203D"/>
    <w:rsid w:val="001026C3"/>
    <w:rsid w:val="001028D6"/>
    <w:rsid w:val="00102992"/>
    <w:rsid w:val="00102B1C"/>
    <w:rsid w:val="00102F09"/>
    <w:rsid w:val="0010355A"/>
    <w:rsid w:val="00103EA2"/>
    <w:rsid w:val="001043B1"/>
    <w:rsid w:val="00105367"/>
    <w:rsid w:val="0010560B"/>
    <w:rsid w:val="00105EB5"/>
    <w:rsid w:val="001061EB"/>
    <w:rsid w:val="00106E9A"/>
    <w:rsid w:val="00106F4F"/>
    <w:rsid w:val="0010736C"/>
    <w:rsid w:val="00107B7B"/>
    <w:rsid w:val="00107E28"/>
    <w:rsid w:val="00107E5B"/>
    <w:rsid w:val="001121BD"/>
    <w:rsid w:val="001124BD"/>
    <w:rsid w:val="001127AA"/>
    <w:rsid w:val="0011353A"/>
    <w:rsid w:val="00113F30"/>
    <w:rsid w:val="0011405E"/>
    <w:rsid w:val="001143F3"/>
    <w:rsid w:val="00114663"/>
    <w:rsid w:val="0011573A"/>
    <w:rsid w:val="001158C4"/>
    <w:rsid w:val="001161BE"/>
    <w:rsid w:val="0011636B"/>
    <w:rsid w:val="00116DA8"/>
    <w:rsid w:val="00117939"/>
    <w:rsid w:val="001209C6"/>
    <w:rsid w:val="0012151A"/>
    <w:rsid w:val="00121EC8"/>
    <w:rsid w:val="00122246"/>
    <w:rsid w:val="00122AD4"/>
    <w:rsid w:val="00123B2D"/>
    <w:rsid w:val="00123D30"/>
    <w:rsid w:val="001242B7"/>
    <w:rsid w:val="00124636"/>
    <w:rsid w:val="001248F1"/>
    <w:rsid w:val="00124992"/>
    <w:rsid w:val="0012518A"/>
    <w:rsid w:val="00125370"/>
    <w:rsid w:val="00126E7F"/>
    <w:rsid w:val="0012739B"/>
    <w:rsid w:val="001304D7"/>
    <w:rsid w:val="0013070F"/>
    <w:rsid w:val="0013072C"/>
    <w:rsid w:val="00130AC2"/>
    <w:rsid w:val="00130C3C"/>
    <w:rsid w:val="00130D42"/>
    <w:rsid w:val="00131103"/>
    <w:rsid w:val="00131BD1"/>
    <w:rsid w:val="0013231A"/>
    <w:rsid w:val="0013248C"/>
    <w:rsid w:val="00132591"/>
    <w:rsid w:val="001325CE"/>
    <w:rsid w:val="00132FE1"/>
    <w:rsid w:val="0013357B"/>
    <w:rsid w:val="001337F3"/>
    <w:rsid w:val="001357C6"/>
    <w:rsid w:val="00135E05"/>
    <w:rsid w:val="00137343"/>
    <w:rsid w:val="00137C2A"/>
    <w:rsid w:val="00137C76"/>
    <w:rsid w:val="00137DED"/>
    <w:rsid w:val="0014059E"/>
    <w:rsid w:val="00140952"/>
    <w:rsid w:val="00142166"/>
    <w:rsid w:val="001433AE"/>
    <w:rsid w:val="00143FB1"/>
    <w:rsid w:val="0014407C"/>
    <w:rsid w:val="00144BAF"/>
    <w:rsid w:val="00144FEB"/>
    <w:rsid w:val="001453BD"/>
    <w:rsid w:val="0014555F"/>
    <w:rsid w:val="00145C4C"/>
    <w:rsid w:val="001467DA"/>
    <w:rsid w:val="001469B0"/>
    <w:rsid w:val="00146ADD"/>
    <w:rsid w:val="0014765C"/>
    <w:rsid w:val="00147B2F"/>
    <w:rsid w:val="00150630"/>
    <w:rsid w:val="00151964"/>
    <w:rsid w:val="00152119"/>
    <w:rsid w:val="00152121"/>
    <w:rsid w:val="001549CE"/>
    <w:rsid w:val="00154E10"/>
    <w:rsid w:val="001558ED"/>
    <w:rsid w:val="001569DD"/>
    <w:rsid w:val="00157B32"/>
    <w:rsid w:val="001603BC"/>
    <w:rsid w:val="00160A4F"/>
    <w:rsid w:val="001617A1"/>
    <w:rsid w:val="00161BD3"/>
    <w:rsid w:val="00161FA2"/>
    <w:rsid w:val="001625A9"/>
    <w:rsid w:val="0016294A"/>
    <w:rsid w:val="00164AFF"/>
    <w:rsid w:val="001653A5"/>
    <w:rsid w:val="00166106"/>
    <w:rsid w:val="00166C08"/>
    <w:rsid w:val="00166C0C"/>
    <w:rsid w:val="001678EE"/>
    <w:rsid w:val="0016796B"/>
    <w:rsid w:val="001701C7"/>
    <w:rsid w:val="00170CFD"/>
    <w:rsid w:val="00170E94"/>
    <w:rsid w:val="0017141E"/>
    <w:rsid w:val="00171474"/>
    <w:rsid w:val="0017198C"/>
    <w:rsid w:val="00172D33"/>
    <w:rsid w:val="00172DA2"/>
    <w:rsid w:val="001732B3"/>
    <w:rsid w:val="001738B1"/>
    <w:rsid w:val="00173B52"/>
    <w:rsid w:val="001743DB"/>
    <w:rsid w:val="00175511"/>
    <w:rsid w:val="00175697"/>
    <w:rsid w:val="001759FD"/>
    <w:rsid w:val="00175ED4"/>
    <w:rsid w:val="00176B98"/>
    <w:rsid w:val="00176E6F"/>
    <w:rsid w:val="00177639"/>
    <w:rsid w:val="0017785B"/>
    <w:rsid w:val="00180015"/>
    <w:rsid w:val="0018040C"/>
    <w:rsid w:val="0018100E"/>
    <w:rsid w:val="001810BB"/>
    <w:rsid w:val="00181C98"/>
    <w:rsid w:val="00181E4D"/>
    <w:rsid w:val="00182067"/>
    <w:rsid w:val="001827FC"/>
    <w:rsid w:val="00182AE8"/>
    <w:rsid w:val="00182CD4"/>
    <w:rsid w:val="001834A4"/>
    <w:rsid w:val="001835E5"/>
    <w:rsid w:val="0018597F"/>
    <w:rsid w:val="00187742"/>
    <w:rsid w:val="0019012C"/>
    <w:rsid w:val="00190FE1"/>
    <w:rsid w:val="0019250F"/>
    <w:rsid w:val="00192DEE"/>
    <w:rsid w:val="00192E85"/>
    <w:rsid w:val="00195748"/>
    <w:rsid w:val="00195D83"/>
    <w:rsid w:val="00196163"/>
    <w:rsid w:val="00197A6B"/>
    <w:rsid w:val="001A0145"/>
    <w:rsid w:val="001A06B9"/>
    <w:rsid w:val="001A0E98"/>
    <w:rsid w:val="001A36DB"/>
    <w:rsid w:val="001A42C6"/>
    <w:rsid w:val="001A431A"/>
    <w:rsid w:val="001A462F"/>
    <w:rsid w:val="001A527D"/>
    <w:rsid w:val="001A5C88"/>
    <w:rsid w:val="001A76EC"/>
    <w:rsid w:val="001A7D0F"/>
    <w:rsid w:val="001A7E65"/>
    <w:rsid w:val="001B06F4"/>
    <w:rsid w:val="001B0832"/>
    <w:rsid w:val="001B105A"/>
    <w:rsid w:val="001B1F9B"/>
    <w:rsid w:val="001B39D0"/>
    <w:rsid w:val="001B44EF"/>
    <w:rsid w:val="001B530B"/>
    <w:rsid w:val="001B59FF"/>
    <w:rsid w:val="001B5E59"/>
    <w:rsid w:val="001B69BC"/>
    <w:rsid w:val="001B75EF"/>
    <w:rsid w:val="001B75F7"/>
    <w:rsid w:val="001B7F36"/>
    <w:rsid w:val="001C005E"/>
    <w:rsid w:val="001C014E"/>
    <w:rsid w:val="001C0282"/>
    <w:rsid w:val="001C0E30"/>
    <w:rsid w:val="001C253A"/>
    <w:rsid w:val="001C34BC"/>
    <w:rsid w:val="001C43D4"/>
    <w:rsid w:val="001C4619"/>
    <w:rsid w:val="001C501A"/>
    <w:rsid w:val="001C5F2D"/>
    <w:rsid w:val="001C6E4C"/>
    <w:rsid w:val="001C77F9"/>
    <w:rsid w:val="001C7F6C"/>
    <w:rsid w:val="001C7FCE"/>
    <w:rsid w:val="001D1B3F"/>
    <w:rsid w:val="001D2030"/>
    <w:rsid w:val="001D2397"/>
    <w:rsid w:val="001D41D4"/>
    <w:rsid w:val="001D4556"/>
    <w:rsid w:val="001D4A68"/>
    <w:rsid w:val="001D4FC5"/>
    <w:rsid w:val="001D546A"/>
    <w:rsid w:val="001D6401"/>
    <w:rsid w:val="001D7E5F"/>
    <w:rsid w:val="001E0200"/>
    <w:rsid w:val="001E035D"/>
    <w:rsid w:val="001E0A0C"/>
    <w:rsid w:val="001E12A0"/>
    <w:rsid w:val="001E1342"/>
    <w:rsid w:val="001E1460"/>
    <w:rsid w:val="001E2598"/>
    <w:rsid w:val="001E4044"/>
    <w:rsid w:val="001E4E63"/>
    <w:rsid w:val="001E54A6"/>
    <w:rsid w:val="001E56F6"/>
    <w:rsid w:val="001E5B8A"/>
    <w:rsid w:val="001E6985"/>
    <w:rsid w:val="001E783E"/>
    <w:rsid w:val="001E7AFD"/>
    <w:rsid w:val="001F0606"/>
    <w:rsid w:val="001F143A"/>
    <w:rsid w:val="001F169E"/>
    <w:rsid w:val="001F18DF"/>
    <w:rsid w:val="001F20F9"/>
    <w:rsid w:val="001F2145"/>
    <w:rsid w:val="001F22A1"/>
    <w:rsid w:val="001F2555"/>
    <w:rsid w:val="001F2917"/>
    <w:rsid w:val="001F37C4"/>
    <w:rsid w:val="001F49D8"/>
    <w:rsid w:val="001F5AB6"/>
    <w:rsid w:val="001F6A68"/>
    <w:rsid w:val="001F7A8E"/>
    <w:rsid w:val="001F7F1F"/>
    <w:rsid w:val="0020032C"/>
    <w:rsid w:val="002004FD"/>
    <w:rsid w:val="002008BA"/>
    <w:rsid w:val="00201321"/>
    <w:rsid w:val="0020184B"/>
    <w:rsid w:val="00202205"/>
    <w:rsid w:val="0020228D"/>
    <w:rsid w:val="00203A88"/>
    <w:rsid w:val="00203AE7"/>
    <w:rsid w:val="00204591"/>
    <w:rsid w:val="00204F1B"/>
    <w:rsid w:val="00206A09"/>
    <w:rsid w:val="00207CDC"/>
    <w:rsid w:val="00207ED0"/>
    <w:rsid w:val="00207F11"/>
    <w:rsid w:val="0021031E"/>
    <w:rsid w:val="00210325"/>
    <w:rsid w:val="002116FD"/>
    <w:rsid w:val="002124C7"/>
    <w:rsid w:val="00212C7B"/>
    <w:rsid w:val="00212F8B"/>
    <w:rsid w:val="00212FCD"/>
    <w:rsid w:val="00213433"/>
    <w:rsid w:val="002138DB"/>
    <w:rsid w:val="00213B44"/>
    <w:rsid w:val="00213D68"/>
    <w:rsid w:val="00214BBF"/>
    <w:rsid w:val="00215B83"/>
    <w:rsid w:val="00215ECC"/>
    <w:rsid w:val="00216727"/>
    <w:rsid w:val="00216A2F"/>
    <w:rsid w:val="00217721"/>
    <w:rsid w:val="00217A29"/>
    <w:rsid w:val="00220CC8"/>
    <w:rsid w:val="00221868"/>
    <w:rsid w:val="00221D12"/>
    <w:rsid w:val="00221D20"/>
    <w:rsid w:val="00222F6D"/>
    <w:rsid w:val="002230C4"/>
    <w:rsid w:val="0022359D"/>
    <w:rsid w:val="00223B71"/>
    <w:rsid w:val="00224B6C"/>
    <w:rsid w:val="00225611"/>
    <w:rsid w:val="00225AB9"/>
    <w:rsid w:val="00225CC4"/>
    <w:rsid w:val="00226B00"/>
    <w:rsid w:val="00227F8A"/>
    <w:rsid w:val="002302F9"/>
    <w:rsid w:val="00231679"/>
    <w:rsid w:val="0023203A"/>
    <w:rsid w:val="0023249A"/>
    <w:rsid w:val="00232744"/>
    <w:rsid w:val="00233DEE"/>
    <w:rsid w:val="002340FB"/>
    <w:rsid w:val="00234B59"/>
    <w:rsid w:val="00235D89"/>
    <w:rsid w:val="00236C2D"/>
    <w:rsid w:val="00236DAE"/>
    <w:rsid w:val="002371CE"/>
    <w:rsid w:val="002374C0"/>
    <w:rsid w:val="00237637"/>
    <w:rsid w:val="00237E24"/>
    <w:rsid w:val="002405CE"/>
    <w:rsid w:val="00240794"/>
    <w:rsid w:val="002407AB"/>
    <w:rsid w:val="0024154F"/>
    <w:rsid w:val="00242193"/>
    <w:rsid w:val="00242B1A"/>
    <w:rsid w:val="00242D85"/>
    <w:rsid w:val="00243AF1"/>
    <w:rsid w:val="002443F2"/>
    <w:rsid w:val="00244B91"/>
    <w:rsid w:val="00245234"/>
    <w:rsid w:val="0024524A"/>
    <w:rsid w:val="00245754"/>
    <w:rsid w:val="002462F6"/>
    <w:rsid w:val="00250422"/>
    <w:rsid w:val="00251583"/>
    <w:rsid w:val="00252903"/>
    <w:rsid w:val="00252BFB"/>
    <w:rsid w:val="00252DCA"/>
    <w:rsid w:val="002548EA"/>
    <w:rsid w:val="0025604B"/>
    <w:rsid w:val="00256CBD"/>
    <w:rsid w:val="00256CDB"/>
    <w:rsid w:val="00256F84"/>
    <w:rsid w:val="00257813"/>
    <w:rsid w:val="002600FF"/>
    <w:rsid w:val="002608F5"/>
    <w:rsid w:val="00260AF1"/>
    <w:rsid w:val="00260D40"/>
    <w:rsid w:val="00261975"/>
    <w:rsid w:val="00262352"/>
    <w:rsid w:val="002623E6"/>
    <w:rsid w:val="00262D91"/>
    <w:rsid w:val="00263089"/>
    <w:rsid w:val="002633F0"/>
    <w:rsid w:val="002638C4"/>
    <w:rsid w:val="00264D35"/>
    <w:rsid w:val="002668C4"/>
    <w:rsid w:val="00267A5D"/>
    <w:rsid w:val="00270FE2"/>
    <w:rsid w:val="002712B2"/>
    <w:rsid w:val="00272476"/>
    <w:rsid w:val="00272F36"/>
    <w:rsid w:val="002730AE"/>
    <w:rsid w:val="002734D3"/>
    <w:rsid w:val="00273736"/>
    <w:rsid w:val="00273E22"/>
    <w:rsid w:val="002746ED"/>
    <w:rsid w:val="00274938"/>
    <w:rsid w:val="00274C49"/>
    <w:rsid w:val="00274D8E"/>
    <w:rsid w:val="00274F99"/>
    <w:rsid w:val="0027508E"/>
    <w:rsid w:val="00275148"/>
    <w:rsid w:val="002752D9"/>
    <w:rsid w:val="00275541"/>
    <w:rsid w:val="002756ED"/>
    <w:rsid w:val="00276805"/>
    <w:rsid w:val="0027688E"/>
    <w:rsid w:val="00276D19"/>
    <w:rsid w:val="00277604"/>
    <w:rsid w:val="0027773E"/>
    <w:rsid w:val="00280D70"/>
    <w:rsid w:val="00280EE5"/>
    <w:rsid w:val="002812DD"/>
    <w:rsid w:val="00281858"/>
    <w:rsid w:val="00282170"/>
    <w:rsid w:val="002821C5"/>
    <w:rsid w:val="00283884"/>
    <w:rsid w:val="00284BB7"/>
    <w:rsid w:val="00285C87"/>
    <w:rsid w:val="00286E3A"/>
    <w:rsid w:val="002870EE"/>
    <w:rsid w:val="002877EC"/>
    <w:rsid w:val="00287878"/>
    <w:rsid w:val="00290B03"/>
    <w:rsid w:val="00291100"/>
    <w:rsid w:val="00291386"/>
    <w:rsid w:val="00293419"/>
    <w:rsid w:val="00294671"/>
    <w:rsid w:val="002949E9"/>
    <w:rsid w:val="002949EC"/>
    <w:rsid w:val="00294D84"/>
    <w:rsid w:val="00295A51"/>
    <w:rsid w:val="00295C6A"/>
    <w:rsid w:val="002968ED"/>
    <w:rsid w:val="00296EEF"/>
    <w:rsid w:val="00297684"/>
    <w:rsid w:val="00297D05"/>
    <w:rsid w:val="002A0840"/>
    <w:rsid w:val="002A1263"/>
    <w:rsid w:val="002A3BAA"/>
    <w:rsid w:val="002A3EAD"/>
    <w:rsid w:val="002A417F"/>
    <w:rsid w:val="002A4CBB"/>
    <w:rsid w:val="002A55A3"/>
    <w:rsid w:val="002A7A74"/>
    <w:rsid w:val="002B0BFC"/>
    <w:rsid w:val="002B1517"/>
    <w:rsid w:val="002B2047"/>
    <w:rsid w:val="002B27BA"/>
    <w:rsid w:val="002B2841"/>
    <w:rsid w:val="002B2FB6"/>
    <w:rsid w:val="002B3130"/>
    <w:rsid w:val="002B31A4"/>
    <w:rsid w:val="002B31A8"/>
    <w:rsid w:val="002B47F5"/>
    <w:rsid w:val="002B4C87"/>
    <w:rsid w:val="002B4FF4"/>
    <w:rsid w:val="002B5933"/>
    <w:rsid w:val="002B651E"/>
    <w:rsid w:val="002B6AD8"/>
    <w:rsid w:val="002B74DA"/>
    <w:rsid w:val="002B7F28"/>
    <w:rsid w:val="002C00A1"/>
    <w:rsid w:val="002C0DB9"/>
    <w:rsid w:val="002C1C07"/>
    <w:rsid w:val="002C29DF"/>
    <w:rsid w:val="002C3715"/>
    <w:rsid w:val="002C3D4B"/>
    <w:rsid w:val="002C3F82"/>
    <w:rsid w:val="002C43B1"/>
    <w:rsid w:val="002C793D"/>
    <w:rsid w:val="002D0253"/>
    <w:rsid w:val="002D05A2"/>
    <w:rsid w:val="002D05C0"/>
    <w:rsid w:val="002D1E8C"/>
    <w:rsid w:val="002D222C"/>
    <w:rsid w:val="002D2D78"/>
    <w:rsid w:val="002D3199"/>
    <w:rsid w:val="002D3234"/>
    <w:rsid w:val="002D3525"/>
    <w:rsid w:val="002D3FB4"/>
    <w:rsid w:val="002D5130"/>
    <w:rsid w:val="002D5606"/>
    <w:rsid w:val="002D5F2C"/>
    <w:rsid w:val="002D64BD"/>
    <w:rsid w:val="002D662C"/>
    <w:rsid w:val="002D70BF"/>
    <w:rsid w:val="002D75BB"/>
    <w:rsid w:val="002D7A19"/>
    <w:rsid w:val="002E0943"/>
    <w:rsid w:val="002E1A3B"/>
    <w:rsid w:val="002E1C93"/>
    <w:rsid w:val="002E204C"/>
    <w:rsid w:val="002E295A"/>
    <w:rsid w:val="002E30A2"/>
    <w:rsid w:val="002E312F"/>
    <w:rsid w:val="002E32F2"/>
    <w:rsid w:val="002E4DCD"/>
    <w:rsid w:val="002E54D5"/>
    <w:rsid w:val="002E6AAB"/>
    <w:rsid w:val="002E750E"/>
    <w:rsid w:val="002F0965"/>
    <w:rsid w:val="002F10D7"/>
    <w:rsid w:val="002F114C"/>
    <w:rsid w:val="002F121B"/>
    <w:rsid w:val="002F13C6"/>
    <w:rsid w:val="002F1658"/>
    <w:rsid w:val="002F1A49"/>
    <w:rsid w:val="002F29E5"/>
    <w:rsid w:val="002F322E"/>
    <w:rsid w:val="002F3C3C"/>
    <w:rsid w:val="002F40FA"/>
    <w:rsid w:val="002F433B"/>
    <w:rsid w:val="002F4885"/>
    <w:rsid w:val="002F4BCA"/>
    <w:rsid w:val="002F51B5"/>
    <w:rsid w:val="002F56D9"/>
    <w:rsid w:val="002F574A"/>
    <w:rsid w:val="002F5934"/>
    <w:rsid w:val="002F5E55"/>
    <w:rsid w:val="002F6367"/>
    <w:rsid w:val="002F6D8C"/>
    <w:rsid w:val="002F719C"/>
    <w:rsid w:val="002F74EC"/>
    <w:rsid w:val="002F7821"/>
    <w:rsid w:val="002F7F4A"/>
    <w:rsid w:val="003002B0"/>
    <w:rsid w:val="0030104D"/>
    <w:rsid w:val="003017AD"/>
    <w:rsid w:val="00301E14"/>
    <w:rsid w:val="00301EF1"/>
    <w:rsid w:val="00302511"/>
    <w:rsid w:val="00303122"/>
    <w:rsid w:val="003044B7"/>
    <w:rsid w:val="00305471"/>
    <w:rsid w:val="003055DE"/>
    <w:rsid w:val="00306F74"/>
    <w:rsid w:val="00307EF4"/>
    <w:rsid w:val="00310006"/>
    <w:rsid w:val="003104A7"/>
    <w:rsid w:val="003104E2"/>
    <w:rsid w:val="0031112A"/>
    <w:rsid w:val="00311283"/>
    <w:rsid w:val="0031141F"/>
    <w:rsid w:val="003140F7"/>
    <w:rsid w:val="0031684F"/>
    <w:rsid w:val="00317179"/>
    <w:rsid w:val="00320907"/>
    <w:rsid w:val="003225FD"/>
    <w:rsid w:val="00323245"/>
    <w:rsid w:val="0032377E"/>
    <w:rsid w:val="00324020"/>
    <w:rsid w:val="00324328"/>
    <w:rsid w:val="003249CB"/>
    <w:rsid w:val="00325642"/>
    <w:rsid w:val="00325C17"/>
    <w:rsid w:val="0032640D"/>
    <w:rsid w:val="0032650E"/>
    <w:rsid w:val="00326B6E"/>
    <w:rsid w:val="00331E18"/>
    <w:rsid w:val="003321C2"/>
    <w:rsid w:val="00332772"/>
    <w:rsid w:val="00332B3A"/>
    <w:rsid w:val="00333A1C"/>
    <w:rsid w:val="0033478D"/>
    <w:rsid w:val="00334D33"/>
    <w:rsid w:val="00335822"/>
    <w:rsid w:val="00335861"/>
    <w:rsid w:val="003374FF"/>
    <w:rsid w:val="00337CD7"/>
    <w:rsid w:val="003408B9"/>
    <w:rsid w:val="00340D37"/>
    <w:rsid w:val="00341933"/>
    <w:rsid w:val="00341BE0"/>
    <w:rsid w:val="00341BF9"/>
    <w:rsid w:val="003424A2"/>
    <w:rsid w:val="00342B1A"/>
    <w:rsid w:val="003430B4"/>
    <w:rsid w:val="00346008"/>
    <w:rsid w:val="0034640C"/>
    <w:rsid w:val="00347B53"/>
    <w:rsid w:val="00347C87"/>
    <w:rsid w:val="003506C1"/>
    <w:rsid w:val="00350804"/>
    <w:rsid w:val="00351450"/>
    <w:rsid w:val="0035147B"/>
    <w:rsid w:val="003519E6"/>
    <w:rsid w:val="00351BB3"/>
    <w:rsid w:val="00351E4E"/>
    <w:rsid w:val="0035416B"/>
    <w:rsid w:val="0035417F"/>
    <w:rsid w:val="00354EC1"/>
    <w:rsid w:val="00355380"/>
    <w:rsid w:val="00355963"/>
    <w:rsid w:val="0035651B"/>
    <w:rsid w:val="003565F4"/>
    <w:rsid w:val="0035748A"/>
    <w:rsid w:val="00357573"/>
    <w:rsid w:val="0035762C"/>
    <w:rsid w:val="003600E5"/>
    <w:rsid w:val="00361E6C"/>
    <w:rsid w:val="00361FD8"/>
    <w:rsid w:val="00362180"/>
    <w:rsid w:val="00362427"/>
    <w:rsid w:val="00362990"/>
    <w:rsid w:val="00363A4E"/>
    <w:rsid w:val="003645D4"/>
    <w:rsid w:val="00364C25"/>
    <w:rsid w:val="0036557E"/>
    <w:rsid w:val="00366828"/>
    <w:rsid w:val="00367510"/>
    <w:rsid w:val="00367AFA"/>
    <w:rsid w:val="00367CBB"/>
    <w:rsid w:val="003710FF"/>
    <w:rsid w:val="0037169B"/>
    <w:rsid w:val="00371BF1"/>
    <w:rsid w:val="00372189"/>
    <w:rsid w:val="00372925"/>
    <w:rsid w:val="00372CC7"/>
    <w:rsid w:val="0037320E"/>
    <w:rsid w:val="003737F9"/>
    <w:rsid w:val="00373908"/>
    <w:rsid w:val="00374042"/>
    <w:rsid w:val="0037452E"/>
    <w:rsid w:val="00374A71"/>
    <w:rsid w:val="003751A8"/>
    <w:rsid w:val="003758AE"/>
    <w:rsid w:val="00375BE2"/>
    <w:rsid w:val="00376036"/>
    <w:rsid w:val="00376F7A"/>
    <w:rsid w:val="00377CDA"/>
    <w:rsid w:val="00380B45"/>
    <w:rsid w:val="00380CD3"/>
    <w:rsid w:val="00382195"/>
    <w:rsid w:val="003826C1"/>
    <w:rsid w:val="00383567"/>
    <w:rsid w:val="00383993"/>
    <w:rsid w:val="00385194"/>
    <w:rsid w:val="0038529A"/>
    <w:rsid w:val="003852DE"/>
    <w:rsid w:val="00385DD2"/>
    <w:rsid w:val="00385E2D"/>
    <w:rsid w:val="00386266"/>
    <w:rsid w:val="00386668"/>
    <w:rsid w:val="00386C68"/>
    <w:rsid w:val="00387D3F"/>
    <w:rsid w:val="0039041B"/>
    <w:rsid w:val="00391861"/>
    <w:rsid w:val="0039282F"/>
    <w:rsid w:val="003929F4"/>
    <w:rsid w:val="00393D4A"/>
    <w:rsid w:val="00393E1E"/>
    <w:rsid w:val="00393F11"/>
    <w:rsid w:val="003953BE"/>
    <w:rsid w:val="003955E8"/>
    <w:rsid w:val="00395AE7"/>
    <w:rsid w:val="003961F8"/>
    <w:rsid w:val="003A1828"/>
    <w:rsid w:val="003A2124"/>
    <w:rsid w:val="003A2557"/>
    <w:rsid w:val="003A2564"/>
    <w:rsid w:val="003A3234"/>
    <w:rsid w:val="003A39C2"/>
    <w:rsid w:val="003A457A"/>
    <w:rsid w:val="003A4F01"/>
    <w:rsid w:val="003A553B"/>
    <w:rsid w:val="003A6124"/>
    <w:rsid w:val="003A69BF"/>
    <w:rsid w:val="003A6D81"/>
    <w:rsid w:val="003A6E99"/>
    <w:rsid w:val="003A725F"/>
    <w:rsid w:val="003A7A78"/>
    <w:rsid w:val="003B02E5"/>
    <w:rsid w:val="003B0E5B"/>
    <w:rsid w:val="003B1003"/>
    <w:rsid w:val="003B1166"/>
    <w:rsid w:val="003B1305"/>
    <w:rsid w:val="003B167C"/>
    <w:rsid w:val="003B2A5C"/>
    <w:rsid w:val="003B3519"/>
    <w:rsid w:val="003B351B"/>
    <w:rsid w:val="003B3536"/>
    <w:rsid w:val="003B4B28"/>
    <w:rsid w:val="003B509C"/>
    <w:rsid w:val="003B614F"/>
    <w:rsid w:val="003B6B58"/>
    <w:rsid w:val="003B7FFE"/>
    <w:rsid w:val="003C00EA"/>
    <w:rsid w:val="003C0592"/>
    <w:rsid w:val="003C07FA"/>
    <w:rsid w:val="003C16AE"/>
    <w:rsid w:val="003C181B"/>
    <w:rsid w:val="003C3989"/>
    <w:rsid w:val="003C4235"/>
    <w:rsid w:val="003C47D2"/>
    <w:rsid w:val="003C4F82"/>
    <w:rsid w:val="003C6228"/>
    <w:rsid w:val="003C6246"/>
    <w:rsid w:val="003C68A6"/>
    <w:rsid w:val="003C68F3"/>
    <w:rsid w:val="003C7369"/>
    <w:rsid w:val="003C7384"/>
    <w:rsid w:val="003D0224"/>
    <w:rsid w:val="003D068A"/>
    <w:rsid w:val="003D10B2"/>
    <w:rsid w:val="003D152C"/>
    <w:rsid w:val="003D2CD7"/>
    <w:rsid w:val="003D2D84"/>
    <w:rsid w:val="003D3126"/>
    <w:rsid w:val="003D36EB"/>
    <w:rsid w:val="003D4AD6"/>
    <w:rsid w:val="003D5034"/>
    <w:rsid w:val="003D6930"/>
    <w:rsid w:val="003D713D"/>
    <w:rsid w:val="003D7391"/>
    <w:rsid w:val="003E015C"/>
    <w:rsid w:val="003E0312"/>
    <w:rsid w:val="003E0F42"/>
    <w:rsid w:val="003E19D6"/>
    <w:rsid w:val="003E2F8B"/>
    <w:rsid w:val="003E384E"/>
    <w:rsid w:val="003E3C9A"/>
    <w:rsid w:val="003E5148"/>
    <w:rsid w:val="003E6760"/>
    <w:rsid w:val="003E6FFC"/>
    <w:rsid w:val="003E7F66"/>
    <w:rsid w:val="003F39D1"/>
    <w:rsid w:val="003F41E5"/>
    <w:rsid w:val="003F4B34"/>
    <w:rsid w:val="003F6B5A"/>
    <w:rsid w:val="003F7990"/>
    <w:rsid w:val="00400695"/>
    <w:rsid w:val="00400E5A"/>
    <w:rsid w:val="00400FC5"/>
    <w:rsid w:val="00401197"/>
    <w:rsid w:val="004025A0"/>
    <w:rsid w:val="004027FF"/>
    <w:rsid w:val="00402898"/>
    <w:rsid w:val="0040359D"/>
    <w:rsid w:val="0040424B"/>
    <w:rsid w:val="00404A2B"/>
    <w:rsid w:val="00404AE5"/>
    <w:rsid w:val="004054EC"/>
    <w:rsid w:val="00405662"/>
    <w:rsid w:val="00405B35"/>
    <w:rsid w:val="00406DFA"/>
    <w:rsid w:val="00407683"/>
    <w:rsid w:val="00410213"/>
    <w:rsid w:val="0041089A"/>
    <w:rsid w:val="00410A66"/>
    <w:rsid w:val="00410F7C"/>
    <w:rsid w:val="0041129A"/>
    <w:rsid w:val="004117D5"/>
    <w:rsid w:val="0041237D"/>
    <w:rsid w:val="00412528"/>
    <w:rsid w:val="00412F95"/>
    <w:rsid w:val="00413084"/>
    <w:rsid w:val="00413352"/>
    <w:rsid w:val="004137B5"/>
    <w:rsid w:val="00415060"/>
    <w:rsid w:val="00415781"/>
    <w:rsid w:val="00415C3C"/>
    <w:rsid w:val="004164E3"/>
    <w:rsid w:val="00416715"/>
    <w:rsid w:val="00416EA2"/>
    <w:rsid w:val="00417581"/>
    <w:rsid w:val="004210C8"/>
    <w:rsid w:val="00421DB2"/>
    <w:rsid w:val="00423419"/>
    <w:rsid w:val="0042374A"/>
    <w:rsid w:val="004248DB"/>
    <w:rsid w:val="00424F67"/>
    <w:rsid w:val="0042542D"/>
    <w:rsid w:val="004258ED"/>
    <w:rsid w:val="00425960"/>
    <w:rsid w:val="00426093"/>
    <w:rsid w:val="004261D8"/>
    <w:rsid w:val="00426305"/>
    <w:rsid w:val="0042630D"/>
    <w:rsid w:val="00426540"/>
    <w:rsid w:val="00427B6A"/>
    <w:rsid w:val="004313AF"/>
    <w:rsid w:val="00433A5E"/>
    <w:rsid w:val="00433AE2"/>
    <w:rsid w:val="00433C09"/>
    <w:rsid w:val="0043558D"/>
    <w:rsid w:val="00435F1E"/>
    <w:rsid w:val="00435F7D"/>
    <w:rsid w:val="00436319"/>
    <w:rsid w:val="0043702C"/>
    <w:rsid w:val="0044003F"/>
    <w:rsid w:val="004413BE"/>
    <w:rsid w:val="0044167E"/>
    <w:rsid w:val="00441A05"/>
    <w:rsid w:val="00441B82"/>
    <w:rsid w:val="00442A5C"/>
    <w:rsid w:val="00442B63"/>
    <w:rsid w:val="00442BE3"/>
    <w:rsid w:val="00443D83"/>
    <w:rsid w:val="00443EF4"/>
    <w:rsid w:val="00444A70"/>
    <w:rsid w:val="004450B6"/>
    <w:rsid w:val="00445D4B"/>
    <w:rsid w:val="004473B7"/>
    <w:rsid w:val="004476E6"/>
    <w:rsid w:val="0044787E"/>
    <w:rsid w:val="004514F6"/>
    <w:rsid w:val="0045301E"/>
    <w:rsid w:val="00453609"/>
    <w:rsid w:val="00453D3A"/>
    <w:rsid w:val="00454398"/>
    <w:rsid w:val="004543DA"/>
    <w:rsid w:val="00454935"/>
    <w:rsid w:val="0045537F"/>
    <w:rsid w:val="00455F5E"/>
    <w:rsid w:val="00456555"/>
    <w:rsid w:val="0045697F"/>
    <w:rsid w:val="00456BF0"/>
    <w:rsid w:val="00457186"/>
    <w:rsid w:val="00457CE2"/>
    <w:rsid w:val="00460A9B"/>
    <w:rsid w:val="00461654"/>
    <w:rsid w:val="00461657"/>
    <w:rsid w:val="00461692"/>
    <w:rsid w:val="004619C4"/>
    <w:rsid w:val="00463E80"/>
    <w:rsid w:val="00464808"/>
    <w:rsid w:val="00464A03"/>
    <w:rsid w:val="00465540"/>
    <w:rsid w:val="004656D1"/>
    <w:rsid w:val="00466F12"/>
    <w:rsid w:val="00467ADB"/>
    <w:rsid w:val="00467C60"/>
    <w:rsid w:val="00467D3C"/>
    <w:rsid w:val="004701BD"/>
    <w:rsid w:val="00471ED3"/>
    <w:rsid w:val="004722CC"/>
    <w:rsid w:val="00472788"/>
    <w:rsid w:val="00472C05"/>
    <w:rsid w:val="00475D3B"/>
    <w:rsid w:val="00475EE5"/>
    <w:rsid w:val="0047626A"/>
    <w:rsid w:val="00476538"/>
    <w:rsid w:val="004769B9"/>
    <w:rsid w:val="00477068"/>
    <w:rsid w:val="0048025E"/>
    <w:rsid w:val="004806BD"/>
    <w:rsid w:val="00480A64"/>
    <w:rsid w:val="00480AC3"/>
    <w:rsid w:val="004819A6"/>
    <w:rsid w:val="00482448"/>
    <w:rsid w:val="00482EF7"/>
    <w:rsid w:val="00483C39"/>
    <w:rsid w:val="00483CF2"/>
    <w:rsid w:val="00483F70"/>
    <w:rsid w:val="004847A8"/>
    <w:rsid w:val="00484BF8"/>
    <w:rsid w:val="00485AC1"/>
    <w:rsid w:val="00485EA0"/>
    <w:rsid w:val="004866A5"/>
    <w:rsid w:val="004867FE"/>
    <w:rsid w:val="004870F9"/>
    <w:rsid w:val="00487503"/>
    <w:rsid w:val="00487AB2"/>
    <w:rsid w:val="00487ABA"/>
    <w:rsid w:val="00487C8E"/>
    <w:rsid w:val="00490525"/>
    <w:rsid w:val="004907AC"/>
    <w:rsid w:val="00490924"/>
    <w:rsid w:val="004931CB"/>
    <w:rsid w:val="00493CEB"/>
    <w:rsid w:val="00494380"/>
    <w:rsid w:val="00494FD7"/>
    <w:rsid w:val="00496BEC"/>
    <w:rsid w:val="00496C81"/>
    <w:rsid w:val="00496D1D"/>
    <w:rsid w:val="004A064F"/>
    <w:rsid w:val="004A0D43"/>
    <w:rsid w:val="004A1A23"/>
    <w:rsid w:val="004A2942"/>
    <w:rsid w:val="004A2E09"/>
    <w:rsid w:val="004A46A5"/>
    <w:rsid w:val="004A4F99"/>
    <w:rsid w:val="004A512C"/>
    <w:rsid w:val="004A583C"/>
    <w:rsid w:val="004A58AD"/>
    <w:rsid w:val="004A6519"/>
    <w:rsid w:val="004A6F90"/>
    <w:rsid w:val="004A708E"/>
    <w:rsid w:val="004A7A05"/>
    <w:rsid w:val="004A7AE8"/>
    <w:rsid w:val="004B0109"/>
    <w:rsid w:val="004B0D1E"/>
    <w:rsid w:val="004B1488"/>
    <w:rsid w:val="004B1590"/>
    <w:rsid w:val="004B1E7B"/>
    <w:rsid w:val="004B2D82"/>
    <w:rsid w:val="004B3405"/>
    <w:rsid w:val="004B3D82"/>
    <w:rsid w:val="004B3F8D"/>
    <w:rsid w:val="004B4CE0"/>
    <w:rsid w:val="004B4DFE"/>
    <w:rsid w:val="004B6939"/>
    <w:rsid w:val="004B76BE"/>
    <w:rsid w:val="004C09BC"/>
    <w:rsid w:val="004C0DDA"/>
    <w:rsid w:val="004C0F3D"/>
    <w:rsid w:val="004C10B8"/>
    <w:rsid w:val="004C112B"/>
    <w:rsid w:val="004C114B"/>
    <w:rsid w:val="004C1D80"/>
    <w:rsid w:val="004C2320"/>
    <w:rsid w:val="004C36FF"/>
    <w:rsid w:val="004C388B"/>
    <w:rsid w:val="004C400C"/>
    <w:rsid w:val="004C4758"/>
    <w:rsid w:val="004C4C74"/>
    <w:rsid w:val="004C5140"/>
    <w:rsid w:val="004C55D8"/>
    <w:rsid w:val="004C5A1D"/>
    <w:rsid w:val="004C660C"/>
    <w:rsid w:val="004C6D1B"/>
    <w:rsid w:val="004C73F8"/>
    <w:rsid w:val="004C77D3"/>
    <w:rsid w:val="004C7B40"/>
    <w:rsid w:val="004D09A4"/>
    <w:rsid w:val="004D0CB1"/>
    <w:rsid w:val="004D190E"/>
    <w:rsid w:val="004D1B71"/>
    <w:rsid w:val="004D268F"/>
    <w:rsid w:val="004D359F"/>
    <w:rsid w:val="004D3C9F"/>
    <w:rsid w:val="004D3F2B"/>
    <w:rsid w:val="004D3FF7"/>
    <w:rsid w:val="004D4132"/>
    <w:rsid w:val="004D44D3"/>
    <w:rsid w:val="004D5645"/>
    <w:rsid w:val="004D56DD"/>
    <w:rsid w:val="004D6859"/>
    <w:rsid w:val="004D71F4"/>
    <w:rsid w:val="004E0A55"/>
    <w:rsid w:val="004E0D70"/>
    <w:rsid w:val="004E1E95"/>
    <w:rsid w:val="004E22EB"/>
    <w:rsid w:val="004E29D0"/>
    <w:rsid w:val="004E3CEF"/>
    <w:rsid w:val="004E419E"/>
    <w:rsid w:val="004E45C4"/>
    <w:rsid w:val="004E63CC"/>
    <w:rsid w:val="004E7058"/>
    <w:rsid w:val="004E7E47"/>
    <w:rsid w:val="004F0425"/>
    <w:rsid w:val="004F05F3"/>
    <w:rsid w:val="004F1A54"/>
    <w:rsid w:val="004F1BD0"/>
    <w:rsid w:val="004F25D8"/>
    <w:rsid w:val="004F3408"/>
    <w:rsid w:val="004F3452"/>
    <w:rsid w:val="004F3A9C"/>
    <w:rsid w:val="004F3E2C"/>
    <w:rsid w:val="004F4CEB"/>
    <w:rsid w:val="004F4D8B"/>
    <w:rsid w:val="004F570C"/>
    <w:rsid w:val="004F6404"/>
    <w:rsid w:val="004F6DDF"/>
    <w:rsid w:val="004F6F8A"/>
    <w:rsid w:val="004F7770"/>
    <w:rsid w:val="004F7C10"/>
    <w:rsid w:val="005000F3"/>
    <w:rsid w:val="00500792"/>
    <w:rsid w:val="00500A55"/>
    <w:rsid w:val="005010D4"/>
    <w:rsid w:val="0050144A"/>
    <w:rsid w:val="005014BF"/>
    <w:rsid w:val="00501D5B"/>
    <w:rsid w:val="0050212F"/>
    <w:rsid w:val="00502C86"/>
    <w:rsid w:val="00502CD5"/>
    <w:rsid w:val="00503100"/>
    <w:rsid w:val="00503C43"/>
    <w:rsid w:val="00503D3B"/>
    <w:rsid w:val="005040F2"/>
    <w:rsid w:val="0050411F"/>
    <w:rsid w:val="00504366"/>
    <w:rsid w:val="00504480"/>
    <w:rsid w:val="00504947"/>
    <w:rsid w:val="0050596E"/>
    <w:rsid w:val="005075B9"/>
    <w:rsid w:val="0050785D"/>
    <w:rsid w:val="00507B05"/>
    <w:rsid w:val="00507BF8"/>
    <w:rsid w:val="00510142"/>
    <w:rsid w:val="00510C3C"/>
    <w:rsid w:val="00510F9A"/>
    <w:rsid w:val="00512D38"/>
    <w:rsid w:val="005133E0"/>
    <w:rsid w:val="00514B5C"/>
    <w:rsid w:val="00514B71"/>
    <w:rsid w:val="00516742"/>
    <w:rsid w:val="00516A93"/>
    <w:rsid w:val="005204A7"/>
    <w:rsid w:val="005208EB"/>
    <w:rsid w:val="00521CC5"/>
    <w:rsid w:val="00521D3D"/>
    <w:rsid w:val="0052331C"/>
    <w:rsid w:val="00523940"/>
    <w:rsid w:val="00524C94"/>
    <w:rsid w:val="0052571B"/>
    <w:rsid w:val="005266B7"/>
    <w:rsid w:val="00527FBE"/>
    <w:rsid w:val="00530005"/>
    <w:rsid w:val="00530537"/>
    <w:rsid w:val="0053079D"/>
    <w:rsid w:val="0053149D"/>
    <w:rsid w:val="00531E61"/>
    <w:rsid w:val="005329EA"/>
    <w:rsid w:val="0053368A"/>
    <w:rsid w:val="0053376E"/>
    <w:rsid w:val="005338A7"/>
    <w:rsid w:val="005338C6"/>
    <w:rsid w:val="00535073"/>
    <w:rsid w:val="00535442"/>
    <w:rsid w:val="0053552D"/>
    <w:rsid w:val="00535F30"/>
    <w:rsid w:val="00536003"/>
    <w:rsid w:val="0054034C"/>
    <w:rsid w:val="005404DF"/>
    <w:rsid w:val="00540686"/>
    <w:rsid w:val="00541246"/>
    <w:rsid w:val="0054145C"/>
    <w:rsid w:val="00541558"/>
    <w:rsid w:val="00541614"/>
    <w:rsid w:val="00541E89"/>
    <w:rsid w:val="00543849"/>
    <w:rsid w:val="0054469C"/>
    <w:rsid w:val="0054520D"/>
    <w:rsid w:val="0054523E"/>
    <w:rsid w:val="00545821"/>
    <w:rsid w:val="00546438"/>
    <w:rsid w:val="005466D9"/>
    <w:rsid w:val="00546B07"/>
    <w:rsid w:val="005474CA"/>
    <w:rsid w:val="00550F39"/>
    <w:rsid w:val="005510B0"/>
    <w:rsid w:val="005512A5"/>
    <w:rsid w:val="00551846"/>
    <w:rsid w:val="0055198B"/>
    <w:rsid w:val="00551D23"/>
    <w:rsid w:val="005522F1"/>
    <w:rsid w:val="00553065"/>
    <w:rsid w:val="00553277"/>
    <w:rsid w:val="0055366D"/>
    <w:rsid w:val="00553A94"/>
    <w:rsid w:val="00553B27"/>
    <w:rsid w:val="00554192"/>
    <w:rsid w:val="00554416"/>
    <w:rsid w:val="00554549"/>
    <w:rsid w:val="005555A7"/>
    <w:rsid w:val="00560837"/>
    <w:rsid w:val="005608D4"/>
    <w:rsid w:val="00560C58"/>
    <w:rsid w:val="00560D85"/>
    <w:rsid w:val="00561233"/>
    <w:rsid w:val="00561841"/>
    <w:rsid w:val="00561853"/>
    <w:rsid w:val="00561C07"/>
    <w:rsid w:val="00561CE9"/>
    <w:rsid w:val="005621E1"/>
    <w:rsid w:val="0056339E"/>
    <w:rsid w:val="005637FB"/>
    <w:rsid w:val="0056485F"/>
    <w:rsid w:val="005649DB"/>
    <w:rsid w:val="00565179"/>
    <w:rsid w:val="00565217"/>
    <w:rsid w:val="0056543A"/>
    <w:rsid w:val="00565A5C"/>
    <w:rsid w:val="00565B6B"/>
    <w:rsid w:val="00566206"/>
    <w:rsid w:val="00566963"/>
    <w:rsid w:val="005671CB"/>
    <w:rsid w:val="00567F0D"/>
    <w:rsid w:val="00570174"/>
    <w:rsid w:val="0057043A"/>
    <w:rsid w:val="00570AB6"/>
    <w:rsid w:val="00570BCB"/>
    <w:rsid w:val="0057158B"/>
    <w:rsid w:val="00571821"/>
    <w:rsid w:val="0057184A"/>
    <w:rsid w:val="00571ACF"/>
    <w:rsid w:val="00571BD4"/>
    <w:rsid w:val="005732FF"/>
    <w:rsid w:val="0057350B"/>
    <w:rsid w:val="00574E23"/>
    <w:rsid w:val="00576177"/>
    <w:rsid w:val="005762D1"/>
    <w:rsid w:val="005763B2"/>
    <w:rsid w:val="00576A4A"/>
    <w:rsid w:val="00577C34"/>
    <w:rsid w:val="00583074"/>
    <w:rsid w:val="00583348"/>
    <w:rsid w:val="0058426A"/>
    <w:rsid w:val="005853DB"/>
    <w:rsid w:val="00585D3A"/>
    <w:rsid w:val="00585D70"/>
    <w:rsid w:val="00585D73"/>
    <w:rsid w:val="00586BBC"/>
    <w:rsid w:val="00587732"/>
    <w:rsid w:val="0059091E"/>
    <w:rsid w:val="00590A0E"/>
    <w:rsid w:val="00590FDD"/>
    <w:rsid w:val="00591273"/>
    <w:rsid w:val="005917B6"/>
    <w:rsid w:val="00591A08"/>
    <w:rsid w:val="005927D4"/>
    <w:rsid w:val="00594B3D"/>
    <w:rsid w:val="00596357"/>
    <w:rsid w:val="0059664F"/>
    <w:rsid w:val="0059788F"/>
    <w:rsid w:val="005A2DFF"/>
    <w:rsid w:val="005A323B"/>
    <w:rsid w:val="005A33C5"/>
    <w:rsid w:val="005A3695"/>
    <w:rsid w:val="005A410E"/>
    <w:rsid w:val="005A4B8F"/>
    <w:rsid w:val="005A4F5F"/>
    <w:rsid w:val="005A62D6"/>
    <w:rsid w:val="005A6AC0"/>
    <w:rsid w:val="005A6D56"/>
    <w:rsid w:val="005A702F"/>
    <w:rsid w:val="005A7750"/>
    <w:rsid w:val="005A776C"/>
    <w:rsid w:val="005A7D17"/>
    <w:rsid w:val="005B1C91"/>
    <w:rsid w:val="005B30A3"/>
    <w:rsid w:val="005B323E"/>
    <w:rsid w:val="005B4667"/>
    <w:rsid w:val="005B4D16"/>
    <w:rsid w:val="005B5667"/>
    <w:rsid w:val="005B5AAA"/>
    <w:rsid w:val="005B6065"/>
    <w:rsid w:val="005B75A4"/>
    <w:rsid w:val="005B7A25"/>
    <w:rsid w:val="005C0881"/>
    <w:rsid w:val="005C1000"/>
    <w:rsid w:val="005C1057"/>
    <w:rsid w:val="005C105C"/>
    <w:rsid w:val="005C155E"/>
    <w:rsid w:val="005C1EA6"/>
    <w:rsid w:val="005C1F2B"/>
    <w:rsid w:val="005C2739"/>
    <w:rsid w:val="005C2D65"/>
    <w:rsid w:val="005C34C2"/>
    <w:rsid w:val="005C38AA"/>
    <w:rsid w:val="005C47BF"/>
    <w:rsid w:val="005C4E4A"/>
    <w:rsid w:val="005C5323"/>
    <w:rsid w:val="005C6DDA"/>
    <w:rsid w:val="005C751B"/>
    <w:rsid w:val="005D0673"/>
    <w:rsid w:val="005D080E"/>
    <w:rsid w:val="005D0DA0"/>
    <w:rsid w:val="005D1251"/>
    <w:rsid w:val="005D27E8"/>
    <w:rsid w:val="005D2D8F"/>
    <w:rsid w:val="005D37D4"/>
    <w:rsid w:val="005D38B4"/>
    <w:rsid w:val="005D3FA3"/>
    <w:rsid w:val="005D45A8"/>
    <w:rsid w:val="005D50AB"/>
    <w:rsid w:val="005D525A"/>
    <w:rsid w:val="005D5263"/>
    <w:rsid w:val="005D6675"/>
    <w:rsid w:val="005D6F36"/>
    <w:rsid w:val="005D7503"/>
    <w:rsid w:val="005E08AA"/>
    <w:rsid w:val="005E12BE"/>
    <w:rsid w:val="005E1C7F"/>
    <w:rsid w:val="005E1EF9"/>
    <w:rsid w:val="005E2461"/>
    <w:rsid w:val="005E3FB2"/>
    <w:rsid w:val="005E4215"/>
    <w:rsid w:val="005E4C02"/>
    <w:rsid w:val="005E4F4F"/>
    <w:rsid w:val="005E50AE"/>
    <w:rsid w:val="005E5535"/>
    <w:rsid w:val="005E5993"/>
    <w:rsid w:val="005E5CC6"/>
    <w:rsid w:val="005E624B"/>
    <w:rsid w:val="005E7AB3"/>
    <w:rsid w:val="005E7BAC"/>
    <w:rsid w:val="005F0D23"/>
    <w:rsid w:val="005F1EC4"/>
    <w:rsid w:val="005F3A06"/>
    <w:rsid w:val="005F4D99"/>
    <w:rsid w:val="005F5D93"/>
    <w:rsid w:val="005F7C98"/>
    <w:rsid w:val="00600080"/>
    <w:rsid w:val="0060101B"/>
    <w:rsid w:val="00601A16"/>
    <w:rsid w:val="006027D3"/>
    <w:rsid w:val="006035CC"/>
    <w:rsid w:val="00603F6C"/>
    <w:rsid w:val="00604344"/>
    <w:rsid w:val="006055F9"/>
    <w:rsid w:val="006063E5"/>
    <w:rsid w:val="006069B8"/>
    <w:rsid w:val="00606AE0"/>
    <w:rsid w:val="00606B9C"/>
    <w:rsid w:val="00607B27"/>
    <w:rsid w:val="00607E06"/>
    <w:rsid w:val="00607FD8"/>
    <w:rsid w:val="00610398"/>
    <w:rsid w:val="00610650"/>
    <w:rsid w:val="0061174D"/>
    <w:rsid w:val="00612281"/>
    <w:rsid w:val="006124BA"/>
    <w:rsid w:val="00612ED1"/>
    <w:rsid w:val="0061372B"/>
    <w:rsid w:val="00613D92"/>
    <w:rsid w:val="0061446B"/>
    <w:rsid w:val="006146D0"/>
    <w:rsid w:val="00614834"/>
    <w:rsid w:val="00614DB2"/>
    <w:rsid w:val="0061588B"/>
    <w:rsid w:val="006158D1"/>
    <w:rsid w:val="00616245"/>
    <w:rsid w:val="0061676D"/>
    <w:rsid w:val="00617ED8"/>
    <w:rsid w:val="0062005A"/>
    <w:rsid w:val="00620B77"/>
    <w:rsid w:val="00620FE3"/>
    <w:rsid w:val="006210B8"/>
    <w:rsid w:val="006213A7"/>
    <w:rsid w:val="00621502"/>
    <w:rsid w:val="006215F9"/>
    <w:rsid w:val="006216FB"/>
    <w:rsid w:val="006217BB"/>
    <w:rsid w:val="00621F63"/>
    <w:rsid w:val="0062274A"/>
    <w:rsid w:val="00623027"/>
    <w:rsid w:val="00623132"/>
    <w:rsid w:val="006234AE"/>
    <w:rsid w:val="006242F1"/>
    <w:rsid w:val="006244DE"/>
    <w:rsid w:val="00626A17"/>
    <w:rsid w:val="0062742B"/>
    <w:rsid w:val="00627839"/>
    <w:rsid w:val="00630D75"/>
    <w:rsid w:val="00631077"/>
    <w:rsid w:val="00631335"/>
    <w:rsid w:val="00631580"/>
    <w:rsid w:val="00631F6A"/>
    <w:rsid w:val="006321A0"/>
    <w:rsid w:val="00632B5D"/>
    <w:rsid w:val="00632BD9"/>
    <w:rsid w:val="0063320F"/>
    <w:rsid w:val="00633520"/>
    <w:rsid w:val="00634BB8"/>
    <w:rsid w:val="00634DD3"/>
    <w:rsid w:val="006351E6"/>
    <w:rsid w:val="006357C7"/>
    <w:rsid w:val="00636171"/>
    <w:rsid w:val="00636686"/>
    <w:rsid w:val="00636C05"/>
    <w:rsid w:val="00641D11"/>
    <w:rsid w:val="00643334"/>
    <w:rsid w:val="00643FC4"/>
    <w:rsid w:val="006447BC"/>
    <w:rsid w:val="006469AF"/>
    <w:rsid w:val="00646AAB"/>
    <w:rsid w:val="00647459"/>
    <w:rsid w:val="0064776D"/>
    <w:rsid w:val="00647FE6"/>
    <w:rsid w:val="00650351"/>
    <w:rsid w:val="0065047D"/>
    <w:rsid w:val="00650494"/>
    <w:rsid w:val="00650976"/>
    <w:rsid w:val="006515D1"/>
    <w:rsid w:val="00652387"/>
    <w:rsid w:val="00652CB4"/>
    <w:rsid w:val="00652FDE"/>
    <w:rsid w:val="006531C5"/>
    <w:rsid w:val="0065393B"/>
    <w:rsid w:val="006539F5"/>
    <w:rsid w:val="006542EB"/>
    <w:rsid w:val="00654634"/>
    <w:rsid w:val="00655038"/>
    <w:rsid w:val="00655460"/>
    <w:rsid w:val="00655733"/>
    <w:rsid w:val="00655A23"/>
    <w:rsid w:val="00655AAD"/>
    <w:rsid w:val="00655CC2"/>
    <w:rsid w:val="00656DCB"/>
    <w:rsid w:val="00660726"/>
    <w:rsid w:val="00661018"/>
    <w:rsid w:val="00661709"/>
    <w:rsid w:val="006619AE"/>
    <w:rsid w:val="00662021"/>
    <w:rsid w:val="00662356"/>
    <w:rsid w:val="00663C9A"/>
    <w:rsid w:val="00663D42"/>
    <w:rsid w:val="00664565"/>
    <w:rsid w:val="006645BE"/>
    <w:rsid w:val="00665107"/>
    <w:rsid w:val="00665DEF"/>
    <w:rsid w:val="0066706E"/>
    <w:rsid w:val="00667722"/>
    <w:rsid w:val="0066780D"/>
    <w:rsid w:val="00670A80"/>
    <w:rsid w:val="00670AF0"/>
    <w:rsid w:val="006732D1"/>
    <w:rsid w:val="00673CBB"/>
    <w:rsid w:val="006748AA"/>
    <w:rsid w:val="00674909"/>
    <w:rsid w:val="00674F03"/>
    <w:rsid w:val="0067529B"/>
    <w:rsid w:val="0067596A"/>
    <w:rsid w:val="00675E03"/>
    <w:rsid w:val="00675E8E"/>
    <w:rsid w:val="006767D5"/>
    <w:rsid w:val="006771E2"/>
    <w:rsid w:val="00680430"/>
    <w:rsid w:val="00680E5A"/>
    <w:rsid w:val="00680F65"/>
    <w:rsid w:val="00680F98"/>
    <w:rsid w:val="006813BD"/>
    <w:rsid w:val="00681FDA"/>
    <w:rsid w:val="00682ED2"/>
    <w:rsid w:val="0068303F"/>
    <w:rsid w:val="006833A2"/>
    <w:rsid w:val="006835DA"/>
    <w:rsid w:val="00683743"/>
    <w:rsid w:val="00684151"/>
    <w:rsid w:val="00684258"/>
    <w:rsid w:val="00684A77"/>
    <w:rsid w:val="00684CAB"/>
    <w:rsid w:val="00685935"/>
    <w:rsid w:val="006863FF"/>
    <w:rsid w:val="00686C20"/>
    <w:rsid w:val="006875D3"/>
    <w:rsid w:val="00691097"/>
    <w:rsid w:val="0069122A"/>
    <w:rsid w:val="006917AA"/>
    <w:rsid w:val="006919D9"/>
    <w:rsid w:val="00692120"/>
    <w:rsid w:val="00692125"/>
    <w:rsid w:val="00695361"/>
    <w:rsid w:val="0069574C"/>
    <w:rsid w:val="00695C28"/>
    <w:rsid w:val="00695CE1"/>
    <w:rsid w:val="006965E7"/>
    <w:rsid w:val="0069705B"/>
    <w:rsid w:val="00697D29"/>
    <w:rsid w:val="006A087D"/>
    <w:rsid w:val="006A0CB7"/>
    <w:rsid w:val="006A1367"/>
    <w:rsid w:val="006A3147"/>
    <w:rsid w:val="006A3DFC"/>
    <w:rsid w:val="006A5D93"/>
    <w:rsid w:val="006A6497"/>
    <w:rsid w:val="006A66CF"/>
    <w:rsid w:val="006A6B02"/>
    <w:rsid w:val="006A6B6B"/>
    <w:rsid w:val="006A72DB"/>
    <w:rsid w:val="006A7320"/>
    <w:rsid w:val="006A7796"/>
    <w:rsid w:val="006A781F"/>
    <w:rsid w:val="006A7B0E"/>
    <w:rsid w:val="006B00EA"/>
    <w:rsid w:val="006B149F"/>
    <w:rsid w:val="006B14A5"/>
    <w:rsid w:val="006B153C"/>
    <w:rsid w:val="006B1FB4"/>
    <w:rsid w:val="006B21A0"/>
    <w:rsid w:val="006B2687"/>
    <w:rsid w:val="006B317B"/>
    <w:rsid w:val="006B4ECB"/>
    <w:rsid w:val="006B608C"/>
    <w:rsid w:val="006B651C"/>
    <w:rsid w:val="006C026E"/>
    <w:rsid w:val="006C037D"/>
    <w:rsid w:val="006C11D0"/>
    <w:rsid w:val="006C1A15"/>
    <w:rsid w:val="006C1DE1"/>
    <w:rsid w:val="006C2AFE"/>
    <w:rsid w:val="006C3911"/>
    <w:rsid w:val="006C4387"/>
    <w:rsid w:val="006C45BF"/>
    <w:rsid w:val="006C4F51"/>
    <w:rsid w:val="006C4FAC"/>
    <w:rsid w:val="006C571C"/>
    <w:rsid w:val="006C6902"/>
    <w:rsid w:val="006C722A"/>
    <w:rsid w:val="006C748C"/>
    <w:rsid w:val="006D024D"/>
    <w:rsid w:val="006D02B3"/>
    <w:rsid w:val="006D0356"/>
    <w:rsid w:val="006D190F"/>
    <w:rsid w:val="006D20B0"/>
    <w:rsid w:val="006D2F4E"/>
    <w:rsid w:val="006D3182"/>
    <w:rsid w:val="006D3556"/>
    <w:rsid w:val="006D370A"/>
    <w:rsid w:val="006D375A"/>
    <w:rsid w:val="006D4DF7"/>
    <w:rsid w:val="006D4F57"/>
    <w:rsid w:val="006D5B54"/>
    <w:rsid w:val="006D680C"/>
    <w:rsid w:val="006D6BFC"/>
    <w:rsid w:val="006D70BE"/>
    <w:rsid w:val="006E08E0"/>
    <w:rsid w:val="006E0965"/>
    <w:rsid w:val="006E1482"/>
    <w:rsid w:val="006E3A6A"/>
    <w:rsid w:val="006E3F8B"/>
    <w:rsid w:val="006E4A74"/>
    <w:rsid w:val="006E5168"/>
    <w:rsid w:val="006E5C48"/>
    <w:rsid w:val="006E5FD2"/>
    <w:rsid w:val="006E6A8C"/>
    <w:rsid w:val="006E6ECA"/>
    <w:rsid w:val="006E7B3F"/>
    <w:rsid w:val="006E7B5F"/>
    <w:rsid w:val="006F006D"/>
    <w:rsid w:val="006F21A8"/>
    <w:rsid w:val="006F229A"/>
    <w:rsid w:val="006F23F4"/>
    <w:rsid w:val="006F26EA"/>
    <w:rsid w:val="006F3224"/>
    <w:rsid w:val="006F468B"/>
    <w:rsid w:val="006F5871"/>
    <w:rsid w:val="006F5E5E"/>
    <w:rsid w:val="006F6F30"/>
    <w:rsid w:val="006F7751"/>
    <w:rsid w:val="006F7B57"/>
    <w:rsid w:val="006F7E4C"/>
    <w:rsid w:val="007001C6"/>
    <w:rsid w:val="007009A9"/>
    <w:rsid w:val="00701521"/>
    <w:rsid w:val="0070203F"/>
    <w:rsid w:val="00702895"/>
    <w:rsid w:val="00703145"/>
    <w:rsid w:val="007039F2"/>
    <w:rsid w:val="00703F60"/>
    <w:rsid w:val="00705358"/>
    <w:rsid w:val="0070565C"/>
    <w:rsid w:val="00705C67"/>
    <w:rsid w:val="00705F6B"/>
    <w:rsid w:val="00706D25"/>
    <w:rsid w:val="00706EAA"/>
    <w:rsid w:val="00706FBF"/>
    <w:rsid w:val="0071043F"/>
    <w:rsid w:val="0071069C"/>
    <w:rsid w:val="00711101"/>
    <w:rsid w:val="007119BB"/>
    <w:rsid w:val="00711AF7"/>
    <w:rsid w:val="00711DF0"/>
    <w:rsid w:val="0071317E"/>
    <w:rsid w:val="00713240"/>
    <w:rsid w:val="0071398B"/>
    <w:rsid w:val="00713998"/>
    <w:rsid w:val="00713F6A"/>
    <w:rsid w:val="00715167"/>
    <w:rsid w:val="00716761"/>
    <w:rsid w:val="007202F8"/>
    <w:rsid w:val="00721806"/>
    <w:rsid w:val="0072214F"/>
    <w:rsid w:val="007228D5"/>
    <w:rsid w:val="007228DA"/>
    <w:rsid w:val="00722E5F"/>
    <w:rsid w:val="00723B04"/>
    <w:rsid w:val="007249F4"/>
    <w:rsid w:val="007254FE"/>
    <w:rsid w:val="00725C53"/>
    <w:rsid w:val="00726245"/>
    <w:rsid w:val="0072633D"/>
    <w:rsid w:val="00726AEC"/>
    <w:rsid w:val="00726BF0"/>
    <w:rsid w:val="00727C42"/>
    <w:rsid w:val="0073053D"/>
    <w:rsid w:val="007315A9"/>
    <w:rsid w:val="00731C54"/>
    <w:rsid w:val="00732091"/>
    <w:rsid w:val="00732495"/>
    <w:rsid w:val="00732DA1"/>
    <w:rsid w:val="00732E14"/>
    <w:rsid w:val="00732F92"/>
    <w:rsid w:val="00734F6C"/>
    <w:rsid w:val="0073528E"/>
    <w:rsid w:val="0073594C"/>
    <w:rsid w:val="00736591"/>
    <w:rsid w:val="00736860"/>
    <w:rsid w:val="00737069"/>
    <w:rsid w:val="00737985"/>
    <w:rsid w:val="00737A0D"/>
    <w:rsid w:val="00737A86"/>
    <w:rsid w:val="00740075"/>
    <w:rsid w:val="00740099"/>
    <w:rsid w:val="007405E3"/>
    <w:rsid w:val="00741DD1"/>
    <w:rsid w:val="00744B75"/>
    <w:rsid w:val="00744C5A"/>
    <w:rsid w:val="00746192"/>
    <w:rsid w:val="007469FA"/>
    <w:rsid w:val="00746B72"/>
    <w:rsid w:val="00746FFF"/>
    <w:rsid w:val="00747AA7"/>
    <w:rsid w:val="00750675"/>
    <w:rsid w:val="007509EC"/>
    <w:rsid w:val="00750FF9"/>
    <w:rsid w:val="007512A1"/>
    <w:rsid w:val="00751C1E"/>
    <w:rsid w:val="00751D83"/>
    <w:rsid w:val="00751F05"/>
    <w:rsid w:val="00752321"/>
    <w:rsid w:val="00752B36"/>
    <w:rsid w:val="00752C15"/>
    <w:rsid w:val="00752D10"/>
    <w:rsid w:val="007531BF"/>
    <w:rsid w:val="00754267"/>
    <w:rsid w:val="007546A0"/>
    <w:rsid w:val="007552CA"/>
    <w:rsid w:val="00755F63"/>
    <w:rsid w:val="00756C8D"/>
    <w:rsid w:val="00757422"/>
    <w:rsid w:val="00757559"/>
    <w:rsid w:val="007577AB"/>
    <w:rsid w:val="00757EEF"/>
    <w:rsid w:val="00760249"/>
    <w:rsid w:val="00760E15"/>
    <w:rsid w:val="00761679"/>
    <w:rsid w:val="00761731"/>
    <w:rsid w:val="00761791"/>
    <w:rsid w:val="00762887"/>
    <w:rsid w:val="0076297E"/>
    <w:rsid w:val="007631C7"/>
    <w:rsid w:val="00763E1E"/>
    <w:rsid w:val="00764508"/>
    <w:rsid w:val="007648F3"/>
    <w:rsid w:val="00766216"/>
    <w:rsid w:val="00766C20"/>
    <w:rsid w:val="007677C8"/>
    <w:rsid w:val="00770293"/>
    <w:rsid w:val="0077096B"/>
    <w:rsid w:val="00771690"/>
    <w:rsid w:val="00772EF0"/>
    <w:rsid w:val="00773332"/>
    <w:rsid w:val="00773723"/>
    <w:rsid w:val="00773E45"/>
    <w:rsid w:val="007769D0"/>
    <w:rsid w:val="00780071"/>
    <w:rsid w:val="007801EB"/>
    <w:rsid w:val="00780349"/>
    <w:rsid w:val="0078035A"/>
    <w:rsid w:val="00780562"/>
    <w:rsid w:val="00781323"/>
    <w:rsid w:val="0078171C"/>
    <w:rsid w:val="007818C5"/>
    <w:rsid w:val="0078220D"/>
    <w:rsid w:val="007825F5"/>
    <w:rsid w:val="00783248"/>
    <w:rsid w:val="00783256"/>
    <w:rsid w:val="00783572"/>
    <w:rsid w:val="007843D1"/>
    <w:rsid w:val="007858D4"/>
    <w:rsid w:val="007868F0"/>
    <w:rsid w:val="0078712A"/>
    <w:rsid w:val="0078793B"/>
    <w:rsid w:val="007902F3"/>
    <w:rsid w:val="00790302"/>
    <w:rsid w:val="0079355B"/>
    <w:rsid w:val="00793E8B"/>
    <w:rsid w:val="00794009"/>
    <w:rsid w:val="007945BE"/>
    <w:rsid w:val="00795065"/>
    <w:rsid w:val="007957F0"/>
    <w:rsid w:val="0079644B"/>
    <w:rsid w:val="00797092"/>
    <w:rsid w:val="0079735F"/>
    <w:rsid w:val="007973CA"/>
    <w:rsid w:val="007A06C7"/>
    <w:rsid w:val="007A19A2"/>
    <w:rsid w:val="007A1A70"/>
    <w:rsid w:val="007A2058"/>
    <w:rsid w:val="007A23DE"/>
    <w:rsid w:val="007A272A"/>
    <w:rsid w:val="007A3075"/>
    <w:rsid w:val="007A31AD"/>
    <w:rsid w:val="007A38F2"/>
    <w:rsid w:val="007A391E"/>
    <w:rsid w:val="007A3B3D"/>
    <w:rsid w:val="007A3C28"/>
    <w:rsid w:val="007A47A6"/>
    <w:rsid w:val="007A500E"/>
    <w:rsid w:val="007A67CE"/>
    <w:rsid w:val="007A6A17"/>
    <w:rsid w:val="007A6C2E"/>
    <w:rsid w:val="007A6CEB"/>
    <w:rsid w:val="007A7876"/>
    <w:rsid w:val="007A7D75"/>
    <w:rsid w:val="007B01FE"/>
    <w:rsid w:val="007B1693"/>
    <w:rsid w:val="007B252C"/>
    <w:rsid w:val="007B2882"/>
    <w:rsid w:val="007B3080"/>
    <w:rsid w:val="007B3178"/>
    <w:rsid w:val="007B3180"/>
    <w:rsid w:val="007B3B24"/>
    <w:rsid w:val="007B42D0"/>
    <w:rsid w:val="007B45CF"/>
    <w:rsid w:val="007B4DBC"/>
    <w:rsid w:val="007B5796"/>
    <w:rsid w:val="007B5D49"/>
    <w:rsid w:val="007B5E68"/>
    <w:rsid w:val="007C0A9F"/>
    <w:rsid w:val="007C10D7"/>
    <w:rsid w:val="007C13E6"/>
    <w:rsid w:val="007C1C3C"/>
    <w:rsid w:val="007C269E"/>
    <w:rsid w:val="007C3DED"/>
    <w:rsid w:val="007C42CC"/>
    <w:rsid w:val="007C42DC"/>
    <w:rsid w:val="007C4B63"/>
    <w:rsid w:val="007C4BA6"/>
    <w:rsid w:val="007C5F4A"/>
    <w:rsid w:val="007C6273"/>
    <w:rsid w:val="007C637F"/>
    <w:rsid w:val="007C74A7"/>
    <w:rsid w:val="007D01E6"/>
    <w:rsid w:val="007D06EC"/>
    <w:rsid w:val="007D20A1"/>
    <w:rsid w:val="007D2BC1"/>
    <w:rsid w:val="007D2C2F"/>
    <w:rsid w:val="007D2C39"/>
    <w:rsid w:val="007D37BA"/>
    <w:rsid w:val="007D3B3D"/>
    <w:rsid w:val="007D3C01"/>
    <w:rsid w:val="007D46B8"/>
    <w:rsid w:val="007D5833"/>
    <w:rsid w:val="007D6CAB"/>
    <w:rsid w:val="007D78D2"/>
    <w:rsid w:val="007E004A"/>
    <w:rsid w:val="007E04CE"/>
    <w:rsid w:val="007E1B6B"/>
    <w:rsid w:val="007E1E8F"/>
    <w:rsid w:val="007E2BC5"/>
    <w:rsid w:val="007E3FFD"/>
    <w:rsid w:val="007E440D"/>
    <w:rsid w:val="007E4985"/>
    <w:rsid w:val="007E536E"/>
    <w:rsid w:val="007E5B93"/>
    <w:rsid w:val="007E5C52"/>
    <w:rsid w:val="007E61F6"/>
    <w:rsid w:val="007E6AEC"/>
    <w:rsid w:val="007E739B"/>
    <w:rsid w:val="007E7D5A"/>
    <w:rsid w:val="007F0DDF"/>
    <w:rsid w:val="007F13AF"/>
    <w:rsid w:val="007F293E"/>
    <w:rsid w:val="007F2FE4"/>
    <w:rsid w:val="007F36EF"/>
    <w:rsid w:val="007F37FB"/>
    <w:rsid w:val="007F3988"/>
    <w:rsid w:val="007F434B"/>
    <w:rsid w:val="007F440B"/>
    <w:rsid w:val="007F5E46"/>
    <w:rsid w:val="007F64B2"/>
    <w:rsid w:val="007F68BB"/>
    <w:rsid w:val="007F6CDC"/>
    <w:rsid w:val="008000A1"/>
    <w:rsid w:val="008000B9"/>
    <w:rsid w:val="008000C6"/>
    <w:rsid w:val="008000ED"/>
    <w:rsid w:val="008003E9"/>
    <w:rsid w:val="008013F4"/>
    <w:rsid w:val="00802E46"/>
    <w:rsid w:val="00802F56"/>
    <w:rsid w:val="00804210"/>
    <w:rsid w:val="0080486E"/>
    <w:rsid w:val="00805785"/>
    <w:rsid w:val="00805F46"/>
    <w:rsid w:val="00806990"/>
    <w:rsid w:val="008069F4"/>
    <w:rsid w:val="008071A8"/>
    <w:rsid w:val="008073A1"/>
    <w:rsid w:val="00807BCE"/>
    <w:rsid w:val="00811A21"/>
    <w:rsid w:val="00812C1A"/>
    <w:rsid w:val="008133A6"/>
    <w:rsid w:val="0081469C"/>
    <w:rsid w:val="00814F37"/>
    <w:rsid w:val="00815293"/>
    <w:rsid w:val="008158C0"/>
    <w:rsid w:val="008159B5"/>
    <w:rsid w:val="00816461"/>
    <w:rsid w:val="00816A6E"/>
    <w:rsid w:val="00817C11"/>
    <w:rsid w:val="00817E94"/>
    <w:rsid w:val="008206C5"/>
    <w:rsid w:val="008208A3"/>
    <w:rsid w:val="0082093B"/>
    <w:rsid w:val="00821123"/>
    <w:rsid w:val="0082230D"/>
    <w:rsid w:val="00822571"/>
    <w:rsid w:val="00823637"/>
    <w:rsid w:val="0082445D"/>
    <w:rsid w:val="008266DD"/>
    <w:rsid w:val="00827C3B"/>
    <w:rsid w:val="00827D34"/>
    <w:rsid w:val="00827F1B"/>
    <w:rsid w:val="00830304"/>
    <w:rsid w:val="00831281"/>
    <w:rsid w:val="0083190A"/>
    <w:rsid w:val="00831CFA"/>
    <w:rsid w:val="00831FF6"/>
    <w:rsid w:val="00832D93"/>
    <w:rsid w:val="00833FC6"/>
    <w:rsid w:val="00834C0E"/>
    <w:rsid w:val="00835133"/>
    <w:rsid w:val="00835A6B"/>
    <w:rsid w:val="008360F5"/>
    <w:rsid w:val="008366DD"/>
    <w:rsid w:val="0083734B"/>
    <w:rsid w:val="00837898"/>
    <w:rsid w:val="008378FA"/>
    <w:rsid w:val="00840CA9"/>
    <w:rsid w:val="008412A2"/>
    <w:rsid w:val="00841A0F"/>
    <w:rsid w:val="00841C02"/>
    <w:rsid w:val="00841EFE"/>
    <w:rsid w:val="00842047"/>
    <w:rsid w:val="00842484"/>
    <w:rsid w:val="00842820"/>
    <w:rsid w:val="00843017"/>
    <w:rsid w:val="00844289"/>
    <w:rsid w:val="00844327"/>
    <w:rsid w:val="00844598"/>
    <w:rsid w:val="00844F1E"/>
    <w:rsid w:val="00845E18"/>
    <w:rsid w:val="00846F47"/>
    <w:rsid w:val="008476D6"/>
    <w:rsid w:val="00847E7A"/>
    <w:rsid w:val="00851B29"/>
    <w:rsid w:val="00852373"/>
    <w:rsid w:val="00852A0C"/>
    <w:rsid w:val="008532A3"/>
    <w:rsid w:val="0085344B"/>
    <w:rsid w:val="008534F3"/>
    <w:rsid w:val="00853750"/>
    <w:rsid w:val="00853846"/>
    <w:rsid w:val="00853BCC"/>
    <w:rsid w:val="00854406"/>
    <w:rsid w:val="008544D6"/>
    <w:rsid w:val="00854D66"/>
    <w:rsid w:val="00855A01"/>
    <w:rsid w:val="00856B73"/>
    <w:rsid w:val="00857D6E"/>
    <w:rsid w:val="00857E70"/>
    <w:rsid w:val="00864467"/>
    <w:rsid w:val="008647D0"/>
    <w:rsid w:val="00865058"/>
    <w:rsid w:val="00865456"/>
    <w:rsid w:val="00866CDF"/>
    <w:rsid w:val="00870B39"/>
    <w:rsid w:val="00870D29"/>
    <w:rsid w:val="00870DCC"/>
    <w:rsid w:val="008710FC"/>
    <w:rsid w:val="0087216C"/>
    <w:rsid w:val="00873A08"/>
    <w:rsid w:val="0087411E"/>
    <w:rsid w:val="0087446E"/>
    <w:rsid w:val="00875120"/>
    <w:rsid w:val="008759F7"/>
    <w:rsid w:val="00875D2C"/>
    <w:rsid w:val="00875E7D"/>
    <w:rsid w:val="00876E0C"/>
    <w:rsid w:val="0087720A"/>
    <w:rsid w:val="008778D5"/>
    <w:rsid w:val="00877DAC"/>
    <w:rsid w:val="0088032C"/>
    <w:rsid w:val="008813C8"/>
    <w:rsid w:val="008844F5"/>
    <w:rsid w:val="00884522"/>
    <w:rsid w:val="008857E3"/>
    <w:rsid w:val="00885DDA"/>
    <w:rsid w:val="00886C29"/>
    <w:rsid w:val="0088721A"/>
    <w:rsid w:val="00887C60"/>
    <w:rsid w:val="008919C7"/>
    <w:rsid w:val="00891C29"/>
    <w:rsid w:val="0089239D"/>
    <w:rsid w:val="008924A6"/>
    <w:rsid w:val="008927A8"/>
    <w:rsid w:val="00892AC2"/>
    <w:rsid w:val="00892EE6"/>
    <w:rsid w:val="008933C3"/>
    <w:rsid w:val="00894352"/>
    <w:rsid w:val="00894A64"/>
    <w:rsid w:val="00894D06"/>
    <w:rsid w:val="00895657"/>
    <w:rsid w:val="00895B56"/>
    <w:rsid w:val="00895D1D"/>
    <w:rsid w:val="00896611"/>
    <w:rsid w:val="008971CD"/>
    <w:rsid w:val="00897381"/>
    <w:rsid w:val="008A197E"/>
    <w:rsid w:val="008A19C4"/>
    <w:rsid w:val="008A19D4"/>
    <w:rsid w:val="008A1F0D"/>
    <w:rsid w:val="008A2768"/>
    <w:rsid w:val="008A342C"/>
    <w:rsid w:val="008A5C46"/>
    <w:rsid w:val="008A641B"/>
    <w:rsid w:val="008A7CA8"/>
    <w:rsid w:val="008B0072"/>
    <w:rsid w:val="008B0CBD"/>
    <w:rsid w:val="008B1057"/>
    <w:rsid w:val="008B256C"/>
    <w:rsid w:val="008B2BB7"/>
    <w:rsid w:val="008B2C7D"/>
    <w:rsid w:val="008B2EEE"/>
    <w:rsid w:val="008B4007"/>
    <w:rsid w:val="008B5468"/>
    <w:rsid w:val="008B5520"/>
    <w:rsid w:val="008B7770"/>
    <w:rsid w:val="008C0637"/>
    <w:rsid w:val="008C06FD"/>
    <w:rsid w:val="008C07BD"/>
    <w:rsid w:val="008C2A1B"/>
    <w:rsid w:val="008C2DDB"/>
    <w:rsid w:val="008C37C0"/>
    <w:rsid w:val="008C39B3"/>
    <w:rsid w:val="008C39E2"/>
    <w:rsid w:val="008C3A37"/>
    <w:rsid w:val="008C4328"/>
    <w:rsid w:val="008C45C2"/>
    <w:rsid w:val="008C57E2"/>
    <w:rsid w:val="008C7208"/>
    <w:rsid w:val="008C7B96"/>
    <w:rsid w:val="008C7D30"/>
    <w:rsid w:val="008D0095"/>
    <w:rsid w:val="008D01BF"/>
    <w:rsid w:val="008D050B"/>
    <w:rsid w:val="008D06BB"/>
    <w:rsid w:val="008D154F"/>
    <w:rsid w:val="008D29B0"/>
    <w:rsid w:val="008D2FCC"/>
    <w:rsid w:val="008D3FDB"/>
    <w:rsid w:val="008D4054"/>
    <w:rsid w:val="008D467F"/>
    <w:rsid w:val="008D47C4"/>
    <w:rsid w:val="008D4ED8"/>
    <w:rsid w:val="008D542D"/>
    <w:rsid w:val="008D56AA"/>
    <w:rsid w:val="008D5762"/>
    <w:rsid w:val="008D5D36"/>
    <w:rsid w:val="008D66A1"/>
    <w:rsid w:val="008D66C3"/>
    <w:rsid w:val="008D67A7"/>
    <w:rsid w:val="008D680C"/>
    <w:rsid w:val="008D6B5C"/>
    <w:rsid w:val="008D7986"/>
    <w:rsid w:val="008D7C94"/>
    <w:rsid w:val="008E06A5"/>
    <w:rsid w:val="008E09E0"/>
    <w:rsid w:val="008E1BA9"/>
    <w:rsid w:val="008E1EC9"/>
    <w:rsid w:val="008E2B6B"/>
    <w:rsid w:val="008E3C32"/>
    <w:rsid w:val="008E3E18"/>
    <w:rsid w:val="008E4CB9"/>
    <w:rsid w:val="008E57CC"/>
    <w:rsid w:val="008E628B"/>
    <w:rsid w:val="008E7FD9"/>
    <w:rsid w:val="008F0580"/>
    <w:rsid w:val="008F097A"/>
    <w:rsid w:val="008F0FA8"/>
    <w:rsid w:val="008F16F0"/>
    <w:rsid w:val="008F1954"/>
    <w:rsid w:val="008F1C3C"/>
    <w:rsid w:val="008F3226"/>
    <w:rsid w:val="008F4361"/>
    <w:rsid w:val="008F4855"/>
    <w:rsid w:val="008F4AE5"/>
    <w:rsid w:val="008F5208"/>
    <w:rsid w:val="008F54B5"/>
    <w:rsid w:val="008F5723"/>
    <w:rsid w:val="008F572A"/>
    <w:rsid w:val="008F5EF8"/>
    <w:rsid w:val="008F69DD"/>
    <w:rsid w:val="008F6A4A"/>
    <w:rsid w:val="008F765D"/>
    <w:rsid w:val="009014B8"/>
    <w:rsid w:val="009038E0"/>
    <w:rsid w:val="00903D71"/>
    <w:rsid w:val="00905FA3"/>
    <w:rsid w:val="00906068"/>
    <w:rsid w:val="0090637E"/>
    <w:rsid w:val="00906FF9"/>
    <w:rsid w:val="0090701A"/>
    <w:rsid w:val="00907DC3"/>
    <w:rsid w:val="009106D8"/>
    <w:rsid w:val="00910AF4"/>
    <w:rsid w:val="00911591"/>
    <w:rsid w:val="0091189C"/>
    <w:rsid w:val="00911A95"/>
    <w:rsid w:val="0091325E"/>
    <w:rsid w:val="00913606"/>
    <w:rsid w:val="0091396C"/>
    <w:rsid w:val="0091399C"/>
    <w:rsid w:val="00914446"/>
    <w:rsid w:val="00914697"/>
    <w:rsid w:val="00914910"/>
    <w:rsid w:val="00914DC7"/>
    <w:rsid w:val="00915658"/>
    <w:rsid w:val="00915B59"/>
    <w:rsid w:val="009160C9"/>
    <w:rsid w:val="00916193"/>
    <w:rsid w:val="0091666B"/>
    <w:rsid w:val="00920646"/>
    <w:rsid w:val="009211D2"/>
    <w:rsid w:val="00921692"/>
    <w:rsid w:val="00921D5F"/>
    <w:rsid w:val="00922E81"/>
    <w:rsid w:val="009235C3"/>
    <w:rsid w:val="00923E1A"/>
    <w:rsid w:val="009243F3"/>
    <w:rsid w:val="009245D2"/>
    <w:rsid w:val="00924CED"/>
    <w:rsid w:val="00925D23"/>
    <w:rsid w:val="00925DDF"/>
    <w:rsid w:val="009266F6"/>
    <w:rsid w:val="00930F61"/>
    <w:rsid w:val="00931F9D"/>
    <w:rsid w:val="0093208E"/>
    <w:rsid w:val="00932FDF"/>
    <w:rsid w:val="0093331E"/>
    <w:rsid w:val="009335EF"/>
    <w:rsid w:val="00933A3B"/>
    <w:rsid w:val="00934AEF"/>
    <w:rsid w:val="0093637C"/>
    <w:rsid w:val="0093638D"/>
    <w:rsid w:val="009373A7"/>
    <w:rsid w:val="009373F9"/>
    <w:rsid w:val="009378EE"/>
    <w:rsid w:val="0094017B"/>
    <w:rsid w:val="009401D9"/>
    <w:rsid w:val="009404E3"/>
    <w:rsid w:val="00940BA8"/>
    <w:rsid w:val="00941331"/>
    <w:rsid w:val="00941F0D"/>
    <w:rsid w:val="0094236F"/>
    <w:rsid w:val="009433B6"/>
    <w:rsid w:val="0094378B"/>
    <w:rsid w:val="00943802"/>
    <w:rsid w:val="00943BCC"/>
    <w:rsid w:val="00944D4B"/>
    <w:rsid w:val="00945330"/>
    <w:rsid w:val="00945A47"/>
    <w:rsid w:val="00945F6E"/>
    <w:rsid w:val="00946252"/>
    <w:rsid w:val="00947413"/>
    <w:rsid w:val="0094754D"/>
    <w:rsid w:val="00950D07"/>
    <w:rsid w:val="00950E3E"/>
    <w:rsid w:val="009527D3"/>
    <w:rsid w:val="00952999"/>
    <w:rsid w:val="00952F0E"/>
    <w:rsid w:val="009531CA"/>
    <w:rsid w:val="00954E03"/>
    <w:rsid w:val="009550F5"/>
    <w:rsid w:val="00956170"/>
    <w:rsid w:val="009565AB"/>
    <w:rsid w:val="009567A8"/>
    <w:rsid w:val="00957051"/>
    <w:rsid w:val="00957606"/>
    <w:rsid w:val="009602F4"/>
    <w:rsid w:val="00960325"/>
    <w:rsid w:val="009603FC"/>
    <w:rsid w:val="0096151E"/>
    <w:rsid w:val="00962F2C"/>
    <w:rsid w:val="0096384B"/>
    <w:rsid w:val="009653AB"/>
    <w:rsid w:val="00965A6B"/>
    <w:rsid w:val="0096602E"/>
    <w:rsid w:val="0096661D"/>
    <w:rsid w:val="00966B9F"/>
    <w:rsid w:val="009700B4"/>
    <w:rsid w:val="00970C7F"/>
    <w:rsid w:val="00971F44"/>
    <w:rsid w:val="00973EA4"/>
    <w:rsid w:val="0097403D"/>
    <w:rsid w:val="00974119"/>
    <w:rsid w:val="00974212"/>
    <w:rsid w:val="00974711"/>
    <w:rsid w:val="009749C0"/>
    <w:rsid w:val="0097597A"/>
    <w:rsid w:val="00975E10"/>
    <w:rsid w:val="00975FFA"/>
    <w:rsid w:val="00976B6C"/>
    <w:rsid w:val="00980A90"/>
    <w:rsid w:val="009813DB"/>
    <w:rsid w:val="00982323"/>
    <w:rsid w:val="00982DCE"/>
    <w:rsid w:val="00982FD6"/>
    <w:rsid w:val="00984E89"/>
    <w:rsid w:val="009857AA"/>
    <w:rsid w:val="00985B84"/>
    <w:rsid w:val="00987B3C"/>
    <w:rsid w:val="00987B76"/>
    <w:rsid w:val="00990951"/>
    <w:rsid w:val="009925F4"/>
    <w:rsid w:val="00992E61"/>
    <w:rsid w:val="00992EB6"/>
    <w:rsid w:val="00993975"/>
    <w:rsid w:val="009939E1"/>
    <w:rsid w:val="00994484"/>
    <w:rsid w:val="0099599C"/>
    <w:rsid w:val="009967BE"/>
    <w:rsid w:val="00996FD4"/>
    <w:rsid w:val="00997782"/>
    <w:rsid w:val="009A06B2"/>
    <w:rsid w:val="009A0F3A"/>
    <w:rsid w:val="009A1123"/>
    <w:rsid w:val="009A1289"/>
    <w:rsid w:val="009A13BD"/>
    <w:rsid w:val="009A1C81"/>
    <w:rsid w:val="009A1FAF"/>
    <w:rsid w:val="009A2A76"/>
    <w:rsid w:val="009A2C72"/>
    <w:rsid w:val="009A2C84"/>
    <w:rsid w:val="009A3002"/>
    <w:rsid w:val="009A4083"/>
    <w:rsid w:val="009A4302"/>
    <w:rsid w:val="009A544D"/>
    <w:rsid w:val="009A56C3"/>
    <w:rsid w:val="009A6EC7"/>
    <w:rsid w:val="009A7D0D"/>
    <w:rsid w:val="009A7FDC"/>
    <w:rsid w:val="009B1A2E"/>
    <w:rsid w:val="009B1D10"/>
    <w:rsid w:val="009B1F41"/>
    <w:rsid w:val="009B23FD"/>
    <w:rsid w:val="009B276F"/>
    <w:rsid w:val="009B387F"/>
    <w:rsid w:val="009B47EE"/>
    <w:rsid w:val="009B4D77"/>
    <w:rsid w:val="009B4F66"/>
    <w:rsid w:val="009B5223"/>
    <w:rsid w:val="009B5F89"/>
    <w:rsid w:val="009B67FE"/>
    <w:rsid w:val="009B7D73"/>
    <w:rsid w:val="009B7E57"/>
    <w:rsid w:val="009C0133"/>
    <w:rsid w:val="009C183B"/>
    <w:rsid w:val="009C1CF3"/>
    <w:rsid w:val="009C20EC"/>
    <w:rsid w:val="009C2270"/>
    <w:rsid w:val="009C297B"/>
    <w:rsid w:val="009C2CFB"/>
    <w:rsid w:val="009C4116"/>
    <w:rsid w:val="009C421F"/>
    <w:rsid w:val="009C47F2"/>
    <w:rsid w:val="009C4A70"/>
    <w:rsid w:val="009C4FC2"/>
    <w:rsid w:val="009C59CB"/>
    <w:rsid w:val="009C65DC"/>
    <w:rsid w:val="009C6E78"/>
    <w:rsid w:val="009C7C53"/>
    <w:rsid w:val="009D0B0F"/>
    <w:rsid w:val="009D0F17"/>
    <w:rsid w:val="009D15BE"/>
    <w:rsid w:val="009D193D"/>
    <w:rsid w:val="009D1E6D"/>
    <w:rsid w:val="009D2638"/>
    <w:rsid w:val="009D307C"/>
    <w:rsid w:val="009D4276"/>
    <w:rsid w:val="009D475E"/>
    <w:rsid w:val="009D4D80"/>
    <w:rsid w:val="009D4DFE"/>
    <w:rsid w:val="009D5191"/>
    <w:rsid w:val="009D55B1"/>
    <w:rsid w:val="009D620A"/>
    <w:rsid w:val="009D63B7"/>
    <w:rsid w:val="009D6EFE"/>
    <w:rsid w:val="009D7739"/>
    <w:rsid w:val="009E0224"/>
    <w:rsid w:val="009E0486"/>
    <w:rsid w:val="009E08A5"/>
    <w:rsid w:val="009E1386"/>
    <w:rsid w:val="009E140B"/>
    <w:rsid w:val="009E24EE"/>
    <w:rsid w:val="009E26C9"/>
    <w:rsid w:val="009E35DD"/>
    <w:rsid w:val="009E40EC"/>
    <w:rsid w:val="009E46A3"/>
    <w:rsid w:val="009E4A5B"/>
    <w:rsid w:val="009E4C02"/>
    <w:rsid w:val="009E55D1"/>
    <w:rsid w:val="009E5912"/>
    <w:rsid w:val="009E624E"/>
    <w:rsid w:val="009E6D22"/>
    <w:rsid w:val="009E72F0"/>
    <w:rsid w:val="009E7B6B"/>
    <w:rsid w:val="009E7C17"/>
    <w:rsid w:val="009E7F2A"/>
    <w:rsid w:val="009F004C"/>
    <w:rsid w:val="009F3034"/>
    <w:rsid w:val="009F30F5"/>
    <w:rsid w:val="009F3105"/>
    <w:rsid w:val="009F36DB"/>
    <w:rsid w:val="009F3880"/>
    <w:rsid w:val="009F3FF2"/>
    <w:rsid w:val="009F49D0"/>
    <w:rsid w:val="009F4CEC"/>
    <w:rsid w:val="009F5025"/>
    <w:rsid w:val="009F5F41"/>
    <w:rsid w:val="009F6508"/>
    <w:rsid w:val="009F664E"/>
    <w:rsid w:val="009F6765"/>
    <w:rsid w:val="00A00942"/>
    <w:rsid w:val="00A01502"/>
    <w:rsid w:val="00A01641"/>
    <w:rsid w:val="00A02104"/>
    <w:rsid w:val="00A03101"/>
    <w:rsid w:val="00A04670"/>
    <w:rsid w:val="00A0498F"/>
    <w:rsid w:val="00A04D66"/>
    <w:rsid w:val="00A0552B"/>
    <w:rsid w:val="00A066A7"/>
    <w:rsid w:val="00A06BE2"/>
    <w:rsid w:val="00A07269"/>
    <w:rsid w:val="00A07472"/>
    <w:rsid w:val="00A0776D"/>
    <w:rsid w:val="00A07F10"/>
    <w:rsid w:val="00A07F72"/>
    <w:rsid w:val="00A105DF"/>
    <w:rsid w:val="00A10A6B"/>
    <w:rsid w:val="00A110EC"/>
    <w:rsid w:val="00A11873"/>
    <w:rsid w:val="00A11CEA"/>
    <w:rsid w:val="00A128C9"/>
    <w:rsid w:val="00A138C0"/>
    <w:rsid w:val="00A13B0F"/>
    <w:rsid w:val="00A14108"/>
    <w:rsid w:val="00A1474E"/>
    <w:rsid w:val="00A14F15"/>
    <w:rsid w:val="00A17AF6"/>
    <w:rsid w:val="00A17CA5"/>
    <w:rsid w:val="00A2104E"/>
    <w:rsid w:val="00A216F6"/>
    <w:rsid w:val="00A21AB9"/>
    <w:rsid w:val="00A21B1E"/>
    <w:rsid w:val="00A22C1C"/>
    <w:rsid w:val="00A23EE7"/>
    <w:rsid w:val="00A2457A"/>
    <w:rsid w:val="00A247BD"/>
    <w:rsid w:val="00A25ACE"/>
    <w:rsid w:val="00A25B84"/>
    <w:rsid w:val="00A26833"/>
    <w:rsid w:val="00A26EDD"/>
    <w:rsid w:val="00A274F1"/>
    <w:rsid w:val="00A27F0C"/>
    <w:rsid w:val="00A30364"/>
    <w:rsid w:val="00A30D32"/>
    <w:rsid w:val="00A30DBE"/>
    <w:rsid w:val="00A31722"/>
    <w:rsid w:val="00A32B6C"/>
    <w:rsid w:val="00A33223"/>
    <w:rsid w:val="00A33244"/>
    <w:rsid w:val="00A33EE9"/>
    <w:rsid w:val="00A34171"/>
    <w:rsid w:val="00A35780"/>
    <w:rsid w:val="00A35944"/>
    <w:rsid w:val="00A35A6D"/>
    <w:rsid w:val="00A35C2A"/>
    <w:rsid w:val="00A35E12"/>
    <w:rsid w:val="00A37E67"/>
    <w:rsid w:val="00A37EDB"/>
    <w:rsid w:val="00A406E8"/>
    <w:rsid w:val="00A41527"/>
    <w:rsid w:val="00A4152F"/>
    <w:rsid w:val="00A43255"/>
    <w:rsid w:val="00A43639"/>
    <w:rsid w:val="00A4417C"/>
    <w:rsid w:val="00A44404"/>
    <w:rsid w:val="00A4468F"/>
    <w:rsid w:val="00A449D4"/>
    <w:rsid w:val="00A44C68"/>
    <w:rsid w:val="00A45A83"/>
    <w:rsid w:val="00A45AC7"/>
    <w:rsid w:val="00A462FF"/>
    <w:rsid w:val="00A4636C"/>
    <w:rsid w:val="00A46949"/>
    <w:rsid w:val="00A46A30"/>
    <w:rsid w:val="00A47A7B"/>
    <w:rsid w:val="00A50886"/>
    <w:rsid w:val="00A50F72"/>
    <w:rsid w:val="00A5185D"/>
    <w:rsid w:val="00A52293"/>
    <w:rsid w:val="00A52CE1"/>
    <w:rsid w:val="00A5397D"/>
    <w:rsid w:val="00A53C20"/>
    <w:rsid w:val="00A54D54"/>
    <w:rsid w:val="00A553BB"/>
    <w:rsid w:val="00A558F5"/>
    <w:rsid w:val="00A57813"/>
    <w:rsid w:val="00A57ABA"/>
    <w:rsid w:val="00A60844"/>
    <w:rsid w:val="00A60AD5"/>
    <w:rsid w:val="00A60F24"/>
    <w:rsid w:val="00A60F97"/>
    <w:rsid w:val="00A60FE1"/>
    <w:rsid w:val="00A6120C"/>
    <w:rsid w:val="00A61AAE"/>
    <w:rsid w:val="00A62FF8"/>
    <w:rsid w:val="00A64C61"/>
    <w:rsid w:val="00A65771"/>
    <w:rsid w:val="00A65DA4"/>
    <w:rsid w:val="00A65F23"/>
    <w:rsid w:val="00A660C1"/>
    <w:rsid w:val="00A666A7"/>
    <w:rsid w:val="00A66F7D"/>
    <w:rsid w:val="00A71486"/>
    <w:rsid w:val="00A717B6"/>
    <w:rsid w:val="00A71868"/>
    <w:rsid w:val="00A723C8"/>
    <w:rsid w:val="00A72DD9"/>
    <w:rsid w:val="00A73584"/>
    <w:rsid w:val="00A74287"/>
    <w:rsid w:val="00A75224"/>
    <w:rsid w:val="00A75D62"/>
    <w:rsid w:val="00A7691C"/>
    <w:rsid w:val="00A76FF0"/>
    <w:rsid w:val="00A77DCD"/>
    <w:rsid w:val="00A80828"/>
    <w:rsid w:val="00A80E81"/>
    <w:rsid w:val="00A80F8C"/>
    <w:rsid w:val="00A828F9"/>
    <w:rsid w:val="00A83045"/>
    <w:rsid w:val="00A83224"/>
    <w:rsid w:val="00A8347E"/>
    <w:rsid w:val="00A83CC6"/>
    <w:rsid w:val="00A83FCC"/>
    <w:rsid w:val="00A84080"/>
    <w:rsid w:val="00A84579"/>
    <w:rsid w:val="00A84602"/>
    <w:rsid w:val="00A847BB"/>
    <w:rsid w:val="00A8538A"/>
    <w:rsid w:val="00A85CED"/>
    <w:rsid w:val="00A86046"/>
    <w:rsid w:val="00A9013A"/>
    <w:rsid w:val="00A90B58"/>
    <w:rsid w:val="00A910CB"/>
    <w:rsid w:val="00A912DA"/>
    <w:rsid w:val="00A913AA"/>
    <w:rsid w:val="00A926CA"/>
    <w:rsid w:val="00A9301A"/>
    <w:rsid w:val="00A94719"/>
    <w:rsid w:val="00A956DC"/>
    <w:rsid w:val="00A95B48"/>
    <w:rsid w:val="00A95CAA"/>
    <w:rsid w:val="00A97B25"/>
    <w:rsid w:val="00AA078F"/>
    <w:rsid w:val="00AA07EB"/>
    <w:rsid w:val="00AA244F"/>
    <w:rsid w:val="00AA2C5B"/>
    <w:rsid w:val="00AA32D4"/>
    <w:rsid w:val="00AA3A25"/>
    <w:rsid w:val="00AA4A81"/>
    <w:rsid w:val="00AA55C9"/>
    <w:rsid w:val="00AA6CE6"/>
    <w:rsid w:val="00AA70EA"/>
    <w:rsid w:val="00AA71EE"/>
    <w:rsid w:val="00AB0D2E"/>
    <w:rsid w:val="00AB2142"/>
    <w:rsid w:val="00AB3C1F"/>
    <w:rsid w:val="00AB40A8"/>
    <w:rsid w:val="00AB41B9"/>
    <w:rsid w:val="00AB4711"/>
    <w:rsid w:val="00AB48E8"/>
    <w:rsid w:val="00AB4CFF"/>
    <w:rsid w:val="00AB4F17"/>
    <w:rsid w:val="00AB50CD"/>
    <w:rsid w:val="00AB5658"/>
    <w:rsid w:val="00AB5F71"/>
    <w:rsid w:val="00AB6930"/>
    <w:rsid w:val="00AB75A6"/>
    <w:rsid w:val="00AB76ED"/>
    <w:rsid w:val="00AC1B45"/>
    <w:rsid w:val="00AC2118"/>
    <w:rsid w:val="00AC24DF"/>
    <w:rsid w:val="00AC2B1C"/>
    <w:rsid w:val="00AC2F77"/>
    <w:rsid w:val="00AC2F81"/>
    <w:rsid w:val="00AC3B2D"/>
    <w:rsid w:val="00AC5219"/>
    <w:rsid w:val="00AC52F1"/>
    <w:rsid w:val="00AC543F"/>
    <w:rsid w:val="00AC64D4"/>
    <w:rsid w:val="00AD0AB2"/>
    <w:rsid w:val="00AD2856"/>
    <w:rsid w:val="00AD2A06"/>
    <w:rsid w:val="00AD2DD5"/>
    <w:rsid w:val="00AD2FDA"/>
    <w:rsid w:val="00AD36C0"/>
    <w:rsid w:val="00AD4AA7"/>
    <w:rsid w:val="00AD5713"/>
    <w:rsid w:val="00AD58B2"/>
    <w:rsid w:val="00AD5905"/>
    <w:rsid w:val="00AD5D03"/>
    <w:rsid w:val="00AD60EE"/>
    <w:rsid w:val="00AD6481"/>
    <w:rsid w:val="00AD6514"/>
    <w:rsid w:val="00AD6B99"/>
    <w:rsid w:val="00AD6F08"/>
    <w:rsid w:val="00AE0533"/>
    <w:rsid w:val="00AE1463"/>
    <w:rsid w:val="00AE1540"/>
    <w:rsid w:val="00AE19E6"/>
    <w:rsid w:val="00AE1B77"/>
    <w:rsid w:val="00AE1C72"/>
    <w:rsid w:val="00AE2175"/>
    <w:rsid w:val="00AE2BEB"/>
    <w:rsid w:val="00AE371C"/>
    <w:rsid w:val="00AE3958"/>
    <w:rsid w:val="00AE3F94"/>
    <w:rsid w:val="00AE488D"/>
    <w:rsid w:val="00AE5F19"/>
    <w:rsid w:val="00AE6B47"/>
    <w:rsid w:val="00AE6E58"/>
    <w:rsid w:val="00AE7036"/>
    <w:rsid w:val="00AE706F"/>
    <w:rsid w:val="00AE70FF"/>
    <w:rsid w:val="00AE7207"/>
    <w:rsid w:val="00AE734A"/>
    <w:rsid w:val="00AE7B10"/>
    <w:rsid w:val="00AF1B41"/>
    <w:rsid w:val="00AF1C7F"/>
    <w:rsid w:val="00AF2841"/>
    <w:rsid w:val="00AF2F7D"/>
    <w:rsid w:val="00AF3E07"/>
    <w:rsid w:val="00AF4850"/>
    <w:rsid w:val="00AF4CA9"/>
    <w:rsid w:val="00AF4F5A"/>
    <w:rsid w:val="00AF5FF3"/>
    <w:rsid w:val="00AF6A88"/>
    <w:rsid w:val="00AF72D3"/>
    <w:rsid w:val="00AF72FC"/>
    <w:rsid w:val="00AF752F"/>
    <w:rsid w:val="00B0067E"/>
    <w:rsid w:val="00B01D35"/>
    <w:rsid w:val="00B020A3"/>
    <w:rsid w:val="00B0233E"/>
    <w:rsid w:val="00B03241"/>
    <w:rsid w:val="00B03360"/>
    <w:rsid w:val="00B036B0"/>
    <w:rsid w:val="00B03733"/>
    <w:rsid w:val="00B03F97"/>
    <w:rsid w:val="00B05336"/>
    <w:rsid w:val="00B05409"/>
    <w:rsid w:val="00B058B2"/>
    <w:rsid w:val="00B05D04"/>
    <w:rsid w:val="00B061F2"/>
    <w:rsid w:val="00B078F2"/>
    <w:rsid w:val="00B07E2C"/>
    <w:rsid w:val="00B107E2"/>
    <w:rsid w:val="00B11D36"/>
    <w:rsid w:val="00B11FF9"/>
    <w:rsid w:val="00B127FC"/>
    <w:rsid w:val="00B12B7A"/>
    <w:rsid w:val="00B1372B"/>
    <w:rsid w:val="00B142A5"/>
    <w:rsid w:val="00B1450F"/>
    <w:rsid w:val="00B1464B"/>
    <w:rsid w:val="00B149D1"/>
    <w:rsid w:val="00B150A3"/>
    <w:rsid w:val="00B152C2"/>
    <w:rsid w:val="00B16447"/>
    <w:rsid w:val="00B169B4"/>
    <w:rsid w:val="00B174BA"/>
    <w:rsid w:val="00B207FC"/>
    <w:rsid w:val="00B21795"/>
    <w:rsid w:val="00B239A4"/>
    <w:rsid w:val="00B251B9"/>
    <w:rsid w:val="00B25FD4"/>
    <w:rsid w:val="00B26E9C"/>
    <w:rsid w:val="00B2707A"/>
    <w:rsid w:val="00B27C5B"/>
    <w:rsid w:val="00B27CD0"/>
    <w:rsid w:val="00B27F5E"/>
    <w:rsid w:val="00B302E0"/>
    <w:rsid w:val="00B307C0"/>
    <w:rsid w:val="00B30997"/>
    <w:rsid w:val="00B30A3C"/>
    <w:rsid w:val="00B31424"/>
    <w:rsid w:val="00B31ECC"/>
    <w:rsid w:val="00B330D5"/>
    <w:rsid w:val="00B33169"/>
    <w:rsid w:val="00B34591"/>
    <w:rsid w:val="00B34D10"/>
    <w:rsid w:val="00B35174"/>
    <w:rsid w:val="00B35AFF"/>
    <w:rsid w:val="00B36497"/>
    <w:rsid w:val="00B3795E"/>
    <w:rsid w:val="00B37D60"/>
    <w:rsid w:val="00B40241"/>
    <w:rsid w:val="00B4077B"/>
    <w:rsid w:val="00B41A33"/>
    <w:rsid w:val="00B41F86"/>
    <w:rsid w:val="00B423A7"/>
    <w:rsid w:val="00B42A5E"/>
    <w:rsid w:val="00B42E3D"/>
    <w:rsid w:val="00B43081"/>
    <w:rsid w:val="00B43A80"/>
    <w:rsid w:val="00B44BB7"/>
    <w:rsid w:val="00B44FAA"/>
    <w:rsid w:val="00B4502D"/>
    <w:rsid w:val="00B451C7"/>
    <w:rsid w:val="00B45963"/>
    <w:rsid w:val="00B469F7"/>
    <w:rsid w:val="00B47542"/>
    <w:rsid w:val="00B478EA"/>
    <w:rsid w:val="00B47ED0"/>
    <w:rsid w:val="00B5032E"/>
    <w:rsid w:val="00B50362"/>
    <w:rsid w:val="00B525D8"/>
    <w:rsid w:val="00B541A7"/>
    <w:rsid w:val="00B544E3"/>
    <w:rsid w:val="00B555A3"/>
    <w:rsid w:val="00B56189"/>
    <w:rsid w:val="00B56802"/>
    <w:rsid w:val="00B56A61"/>
    <w:rsid w:val="00B601FC"/>
    <w:rsid w:val="00B607C2"/>
    <w:rsid w:val="00B620C6"/>
    <w:rsid w:val="00B62E4A"/>
    <w:rsid w:val="00B6321A"/>
    <w:rsid w:val="00B64E08"/>
    <w:rsid w:val="00B65932"/>
    <w:rsid w:val="00B660C3"/>
    <w:rsid w:val="00B706A8"/>
    <w:rsid w:val="00B70DD5"/>
    <w:rsid w:val="00B70E16"/>
    <w:rsid w:val="00B7120D"/>
    <w:rsid w:val="00B71504"/>
    <w:rsid w:val="00B72283"/>
    <w:rsid w:val="00B72940"/>
    <w:rsid w:val="00B72D9B"/>
    <w:rsid w:val="00B73021"/>
    <w:rsid w:val="00B73531"/>
    <w:rsid w:val="00B74A9A"/>
    <w:rsid w:val="00B75030"/>
    <w:rsid w:val="00B752D8"/>
    <w:rsid w:val="00B759BD"/>
    <w:rsid w:val="00B76B3B"/>
    <w:rsid w:val="00B77825"/>
    <w:rsid w:val="00B77C4C"/>
    <w:rsid w:val="00B8023F"/>
    <w:rsid w:val="00B80592"/>
    <w:rsid w:val="00B81277"/>
    <w:rsid w:val="00B81D83"/>
    <w:rsid w:val="00B820AB"/>
    <w:rsid w:val="00B82885"/>
    <w:rsid w:val="00B82EF9"/>
    <w:rsid w:val="00B83C46"/>
    <w:rsid w:val="00B846B1"/>
    <w:rsid w:val="00B84C86"/>
    <w:rsid w:val="00B85256"/>
    <w:rsid w:val="00B858D8"/>
    <w:rsid w:val="00B862CD"/>
    <w:rsid w:val="00B87561"/>
    <w:rsid w:val="00B90023"/>
    <w:rsid w:val="00B90110"/>
    <w:rsid w:val="00B90DB4"/>
    <w:rsid w:val="00B91460"/>
    <w:rsid w:val="00B936AA"/>
    <w:rsid w:val="00B93832"/>
    <w:rsid w:val="00B93900"/>
    <w:rsid w:val="00B9485D"/>
    <w:rsid w:val="00B94DEF"/>
    <w:rsid w:val="00B953D5"/>
    <w:rsid w:val="00B953F1"/>
    <w:rsid w:val="00B95715"/>
    <w:rsid w:val="00B95CAC"/>
    <w:rsid w:val="00B95E0A"/>
    <w:rsid w:val="00B95F15"/>
    <w:rsid w:val="00B978BD"/>
    <w:rsid w:val="00BA0BD6"/>
    <w:rsid w:val="00BA1286"/>
    <w:rsid w:val="00BA1D88"/>
    <w:rsid w:val="00BA254C"/>
    <w:rsid w:val="00BA2E24"/>
    <w:rsid w:val="00BA2F55"/>
    <w:rsid w:val="00BA3B6C"/>
    <w:rsid w:val="00BA3C7E"/>
    <w:rsid w:val="00BA3D49"/>
    <w:rsid w:val="00BA6C12"/>
    <w:rsid w:val="00BB14A1"/>
    <w:rsid w:val="00BB2947"/>
    <w:rsid w:val="00BB46D7"/>
    <w:rsid w:val="00BB5ECD"/>
    <w:rsid w:val="00BB643B"/>
    <w:rsid w:val="00BB65DE"/>
    <w:rsid w:val="00BB6615"/>
    <w:rsid w:val="00BB73D1"/>
    <w:rsid w:val="00BB7D0D"/>
    <w:rsid w:val="00BC05B5"/>
    <w:rsid w:val="00BC0978"/>
    <w:rsid w:val="00BC17D8"/>
    <w:rsid w:val="00BC22DB"/>
    <w:rsid w:val="00BC247A"/>
    <w:rsid w:val="00BC3AF2"/>
    <w:rsid w:val="00BC452E"/>
    <w:rsid w:val="00BC69CA"/>
    <w:rsid w:val="00BC6A98"/>
    <w:rsid w:val="00BC6BAE"/>
    <w:rsid w:val="00BC735A"/>
    <w:rsid w:val="00BC7530"/>
    <w:rsid w:val="00BD14D3"/>
    <w:rsid w:val="00BD173C"/>
    <w:rsid w:val="00BD23B8"/>
    <w:rsid w:val="00BD275A"/>
    <w:rsid w:val="00BD3897"/>
    <w:rsid w:val="00BD4831"/>
    <w:rsid w:val="00BD4D63"/>
    <w:rsid w:val="00BD5042"/>
    <w:rsid w:val="00BD5937"/>
    <w:rsid w:val="00BD72BB"/>
    <w:rsid w:val="00BD7585"/>
    <w:rsid w:val="00BE00D4"/>
    <w:rsid w:val="00BE087E"/>
    <w:rsid w:val="00BE0B5E"/>
    <w:rsid w:val="00BE297C"/>
    <w:rsid w:val="00BE3309"/>
    <w:rsid w:val="00BE33E8"/>
    <w:rsid w:val="00BE351B"/>
    <w:rsid w:val="00BE3947"/>
    <w:rsid w:val="00BE3FBA"/>
    <w:rsid w:val="00BE41F0"/>
    <w:rsid w:val="00BE534C"/>
    <w:rsid w:val="00BE5565"/>
    <w:rsid w:val="00BE5CDC"/>
    <w:rsid w:val="00BE5F61"/>
    <w:rsid w:val="00BE5FE1"/>
    <w:rsid w:val="00BE611F"/>
    <w:rsid w:val="00BE6494"/>
    <w:rsid w:val="00BE7137"/>
    <w:rsid w:val="00BE7729"/>
    <w:rsid w:val="00BE7BC3"/>
    <w:rsid w:val="00BE7C4C"/>
    <w:rsid w:val="00BF01E9"/>
    <w:rsid w:val="00BF0607"/>
    <w:rsid w:val="00BF2293"/>
    <w:rsid w:val="00BF35A8"/>
    <w:rsid w:val="00BF39C4"/>
    <w:rsid w:val="00BF3E8A"/>
    <w:rsid w:val="00BF45B3"/>
    <w:rsid w:val="00BF4DE0"/>
    <w:rsid w:val="00BF62FD"/>
    <w:rsid w:val="00BF6732"/>
    <w:rsid w:val="00BF78A5"/>
    <w:rsid w:val="00C00A0C"/>
    <w:rsid w:val="00C00EFB"/>
    <w:rsid w:val="00C01F86"/>
    <w:rsid w:val="00C02354"/>
    <w:rsid w:val="00C02AA2"/>
    <w:rsid w:val="00C02B8B"/>
    <w:rsid w:val="00C047EB"/>
    <w:rsid w:val="00C05444"/>
    <w:rsid w:val="00C0574E"/>
    <w:rsid w:val="00C06B0E"/>
    <w:rsid w:val="00C06BD8"/>
    <w:rsid w:val="00C07736"/>
    <w:rsid w:val="00C07BD4"/>
    <w:rsid w:val="00C1137B"/>
    <w:rsid w:val="00C12414"/>
    <w:rsid w:val="00C12481"/>
    <w:rsid w:val="00C141D6"/>
    <w:rsid w:val="00C1496E"/>
    <w:rsid w:val="00C14E6E"/>
    <w:rsid w:val="00C16291"/>
    <w:rsid w:val="00C16E5D"/>
    <w:rsid w:val="00C17637"/>
    <w:rsid w:val="00C1ABDF"/>
    <w:rsid w:val="00C203B1"/>
    <w:rsid w:val="00C20B7B"/>
    <w:rsid w:val="00C217D1"/>
    <w:rsid w:val="00C21ADE"/>
    <w:rsid w:val="00C21C52"/>
    <w:rsid w:val="00C228C0"/>
    <w:rsid w:val="00C230FF"/>
    <w:rsid w:val="00C2310C"/>
    <w:rsid w:val="00C2353C"/>
    <w:rsid w:val="00C23C05"/>
    <w:rsid w:val="00C23DC4"/>
    <w:rsid w:val="00C245FF"/>
    <w:rsid w:val="00C25AE7"/>
    <w:rsid w:val="00C265F3"/>
    <w:rsid w:val="00C27D36"/>
    <w:rsid w:val="00C27EEF"/>
    <w:rsid w:val="00C30EA4"/>
    <w:rsid w:val="00C329CF"/>
    <w:rsid w:val="00C34F73"/>
    <w:rsid w:val="00C360F4"/>
    <w:rsid w:val="00C362CC"/>
    <w:rsid w:val="00C363EA"/>
    <w:rsid w:val="00C36406"/>
    <w:rsid w:val="00C365C8"/>
    <w:rsid w:val="00C36C77"/>
    <w:rsid w:val="00C37162"/>
    <w:rsid w:val="00C37972"/>
    <w:rsid w:val="00C37C92"/>
    <w:rsid w:val="00C40346"/>
    <w:rsid w:val="00C40DFF"/>
    <w:rsid w:val="00C41115"/>
    <w:rsid w:val="00C41572"/>
    <w:rsid w:val="00C41719"/>
    <w:rsid w:val="00C41C5B"/>
    <w:rsid w:val="00C42291"/>
    <w:rsid w:val="00C43638"/>
    <w:rsid w:val="00C437F2"/>
    <w:rsid w:val="00C43CF0"/>
    <w:rsid w:val="00C445B2"/>
    <w:rsid w:val="00C445DD"/>
    <w:rsid w:val="00C448E5"/>
    <w:rsid w:val="00C44A5C"/>
    <w:rsid w:val="00C44BDC"/>
    <w:rsid w:val="00C44CFF"/>
    <w:rsid w:val="00C451AA"/>
    <w:rsid w:val="00C45ED9"/>
    <w:rsid w:val="00C46623"/>
    <w:rsid w:val="00C47302"/>
    <w:rsid w:val="00C473AA"/>
    <w:rsid w:val="00C47B6C"/>
    <w:rsid w:val="00C50441"/>
    <w:rsid w:val="00C50D60"/>
    <w:rsid w:val="00C51926"/>
    <w:rsid w:val="00C5231C"/>
    <w:rsid w:val="00C5278D"/>
    <w:rsid w:val="00C528D9"/>
    <w:rsid w:val="00C532FC"/>
    <w:rsid w:val="00C54304"/>
    <w:rsid w:val="00C54366"/>
    <w:rsid w:val="00C55566"/>
    <w:rsid w:val="00C55654"/>
    <w:rsid w:val="00C55B1A"/>
    <w:rsid w:val="00C570CE"/>
    <w:rsid w:val="00C57298"/>
    <w:rsid w:val="00C60BFB"/>
    <w:rsid w:val="00C60D8B"/>
    <w:rsid w:val="00C61496"/>
    <w:rsid w:val="00C61ABE"/>
    <w:rsid w:val="00C630A5"/>
    <w:rsid w:val="00C634FF"/>
    <w:rsid w:val="00C63B24"/>
    <w:rsid w:val="00C6439E"/>
    <w:rsid w:val="00C65CDB"/>
    <w:rsid w:val="00C66528"/>
    <w:rsid w:val="00C67713"/>
    <w:rsid w:val="00C70A09"/>
    <w:rsid w:val="00C717ED"/>
    <w:rsid w:val="00C71919"/>
    <w:rsid w:val="00C74BE6"/>
    <w:rsid w:val="00C74D0C"/>
    <w:rsid w:val="00C757C9"/>
    <w:rsid w:val="00C7588E"/>
    <w:rsid w:val="00C759E1"/>
    <w:rsid w:val="00C764EE"/>
    <w:rsid w:val="00C7698C"/>
    <w:rsid w:val="00C76FBB"/>
    <w:rsid w:val="00C77132"/>
    <w:rsid w:val="00C80563"/>
    <w:rsid w:val="00C805D8"/>
    <w:rsid w:val="00C814E8"/>
    <w:rsid w:val="00C821DE"/>
    <w:rsid w:val="00C8346C"/>
    <w:rsid w:val="00C83A23"/>
    <w:rsid w:val="00C84006"/>
    <w:rsid w:val="00C8449B"/>
    <w:rsid w:val="00C85992"/>
    <w:rsid w:val="00C86087"/>
    <w:rsid w:val="00C861A7"/>
    <w:rsid w:val="00C864B9"/>
    <w:rsid w:val="00C87D80"/>
    <w:rsid w:val="00C90C5E"/>
    <w:rsid w:val="00C913DA"/>
    <w:rsid w:val="00C91465"/>
    <w:rsid w:val="00C91577"/>
    <w:rsid w:val="00C91EC2"/>
    <w:rsid w:val="00C91F35"/>
    <w:rsid w:val="00C939CE"/>
    <w:rsid w:val="00C942E8"/>
    <w:rsid w:val="00C946EC"/>
    <w:rsid w:val="00C95624"/>
    <w:rsid w:val="00C95829"/>
    <w:rsid w:val="00C95A8C"/>
    <w:rsid w:val="00C960FA"/>
    <w:rsid w:val="00C963DE"/>
    <w:rsid w:val="00C9668A"/>
    <w:rsid w:val="00C96CF2"/>
    <w:rsid w:val="00C96FCF"/>
    <w:rsid w:val="00C978A0"/>
    <w:rsid w:val="00C97A08"/>
    <w:rsid w:val="00C97A49"/>
    <w:rsid w:val="00C97C89"/>
    <w:rsid w:val="00CA0672"/>
    <w:rsid w:val="00CA0A86"/>
    <w:rsid w:val="00CA101D"/>
    <w:rsid w:val="00CA148C"/>
    <w:rsid w:val="00CA151D"/>
    <w:rsid w:val="00CA1532"/>
    <w:rsid w:val="00CA1B5A"/>
    <w:rsid w:val="00CA1B75"/>
    <w:rsid w:val="00CA1EE3"/>
    <w:rsid w:val="00CA2060"/>
    <w:rsid w:val="00CA293B"/>
    <w:rsid w:val="00CA2B9D"/>
    <w:rsid w:val="00CA3039"/>
    <w:rsid w:val="00CA353D"/>
    <w:rsid w:val="00CA403C"/>
    <w:rsid w:val="00CA5439"/>
    <w:rsid w:val="00CA5F9C"/>
    <w:rsid w:val="00CA67DD"/>
    <w:rsid w:val="00CA6A5F"/>
    <w:rsid w:val="00CA6C1D"/>
    <w:rsid w:val="00CA70D6"/>
    <w:rsid w:val="00CA72E1"/>
    <w:rsid w:val="00CA7B74"/>
    <w:rsid w:val="00CB078E"/>
    <w:rsid w:val="00CB1358"/>
    <w:rsid w:val="00CB1558"/>
    <w:rsid w:val="00CB169B"/>
    <w:rsid w:val="00CB2D4F"/>
    <w:rsid w:val="00CB387C"/>
    <w:rsid w:val="00CB480C"/>
    <w:rsid w:val="00CB4ED1"/>
    <w:rsid w:val="00CB5340"/>
    <w:rsid w:val="00CB5E61"/>
    <w:rsid w:val="00CB6661"/>
    <w:rsid w:val="00CB69FA"/>
    <w:rsid w:val="00CB7CCE"/>
    <w:rsid w:val="00CB7D49"/>
    <w:rsid w:val="00CC04DE"/>
    <w:rsid w:val="00CC0A68"/>
    <w:rsid w:val="00CC10DE"/>
    <w:rsid w:val="00CC1690"/>
    <w:rsid w:val="00CC485D"/>
    <w:rsid w:val="00CC4EDF"/>
    <w:rsid w:val="00CC5942"/>
    <w:rsid w:val="00CC5E57"/>
    <w:rsid w:val="00CC5EBA"/>
    <w:rsid w:val="00CC615F"/>
    <w:rsid w:val="00CC6B66"/>
    <w:rsid w:val="00CC6C0F"/>
    <w:rsid w:val="00CC74F7"/>
    <w:rsid w:val="00CC7AE5"/>
    <w:rsid w:val="00CD0CA7"/>
    <w:rsid w:val="00CD1872"/>
    <w:rsid w:val="00CD1C2B"/>
    <w:rsid w:val="00CD22CE"/>
    <w:rsid w:val="00CD2A06"/>
    <w:rsid w:val="00CD3403"/>
    <w:rsid w:val="00CD3544"/>
    <w:rsid w:val="00CD43E2"/>
    <w:rsid w:val="00CD4A63"/>
    <w:rsid w:val="00CD5224"/>
    <w:rsid w:val="00CD62FC"/>
    <w:rsid w:val="00CD68AD"/>
    <w:rsid w:val="00CD7649"/>
    <w:rsid w:val="00CD76FC"/>
    <w:rsid w:val="00CE0029"/>
    <w:rsid w:val="00CE07EB"/>
    <w:rsid w:val="00CE0BD6"/>
    <w:rsid w:val="00CE18E7"/>
    <w:rsid w:val="00CE29A2"/>
    <w:rsid w:val="00CE32F2"/>
    <w:rsid w:val="00CE3E0F"/>
    <w:rsid w:val="00CE544E"/>
    <w:rsid w:val="00CE5EE6"/>
    <w:rsid w:val="00CE64D0"/>
    <w:rsid w:val="00CE6514"/>
    <w:rsid w:val="00CE7E5E"/>
    <w:rsid w:val="00CF0C5C"/>
    <w:rsid w:val="00CF1837"/>
    <w:rsid w:val="00CF1EBA"/>
    <w:rsid w:val="00CF216D"/>
    <w:rsid w:val="00CF28E9"/>
    <w:rsid w:val="00CF2D48"/>
    <w:rsid w:val="00CF35CE"/>
    <w:rsid w:val="00CF397D"/>
    <w:rsid w:val="00CF5743"/>
    <w:rsid w:val="00CF5B65"/>
    <w:rsid w:val="00CF61A3"/>
    <w:rsid w:val="00CF66DE"/>
    <w:rsid w:val="00CF6776"/>
    <w:rsid w:val="00CF6AA4"/>
    <w:rsid w:val="00CF6ABC"/>
    <w:rsid w:val="00CF7620"/>
    <w:rsid w:val="00D002A4"/>
    <w:rsid w:val="00D0096A"/>
    <w:rsid w:val="00D00FA9"/>
    <w:rsid w:val="00D01175"/>
    <w:rsid w:val="00D0149F"/>
    <w:rsid w:val="00D014A7"/>
    <w:rsid w:val="00D014FC"/>
    <w:rsid w:val="00D0184E"/>
    <w:rsid w:val="00D0301B"/>
    <w:rsid w:val="00D03974"/>
    <w:rsid w:val="00D03FC2"/>
    <w:rsid w:val="00D04551"/>
    <w:rsid w:val="00D045BA"/>
    <w:rsid w:val="00D0495C"/>
    <w:rsid w:val="00D04BF8"/>
    <w:rsid w:val="00D05152"/>
    <w:rsid w:val="00D06986"/>
    <w:rsid w:val="00D0708D"/>
    <w:rsid w:val="00D1049E"/>
    <w:rsid w:val="00D104C1"/>
    <w:rsid w:val="00D1178A"/>
    <w:rsid w:val="00D12544"/>
    <w:rsid w:val="00D12C19"/>
    <w:rsid w:val="00D12D21"/>
    <w:rsid w:val="00D13382"/>
    <w:rsid w:val="00D14039"/>
    <w:rsid w:val="00D14BAC"/>
    <w:rsid w:val="00D15A54"/>
    <w:rsid w:val="00D16363"/>
    <w:rsid w:val="00D177F8"/>
    <w:rsid w:val="00D204C9"/>
    <w:rsid w:val="00D21302"/>
    <w:rsid w:val="00D21938"/>
    <w:rsid w:val="00D21DBF"/>
    <w:rsid w:val="00D22115"/>
    <w:rsid w:val="00D225F8"/>
    <w:rsid w:val="00D23018"/>
    <w:rsid w:val="00D23A0B"/>
    <w:rsid w:val="00D23AD3"/>
    <w:rsid w:val="00D24A40"/>
    <w:rsid w:val="00D25CD6"/>
    <w:rsid w:val="00D278A8"/>
    <w:rsid w:val="00D3086D"/>
    <w:rsid w:val="00D30F91"/>
    <w:rsid w:val="00D32A74"/>
    <w:rsid w:val="00D335E0"/>
    <w:rsid w:val="00D34B5D"/>
    <w:rsid w:val="00D34E42"/>
    <w:rsid w:val="00D36E54"/>
    <w:rsid w:val="00D36E57"/>
    <w:rsid w:val="00D377A0"/>
    <w:rsid w:val="00D37A73"/>
    <w:rsid w:val="00D37BBF"/>
    <w:rsid w:val="00D40BDF"/>
    <w:rsid w:val="00D41DF8"/>
    <w:rsid w:val="00D4210F"/>
    <w:rsid w:val="00D4220C"/>
    <w:rsid w:val="00D4271B"/>
    <w:rsid w:val="00D42A7C"/>
    <w:rsid w:val="00D432B2"/>
    <w:rsid w:val="00D43B1E"/>
    <w:rsid w:val="00D43C12"/>
    <w:rsid w:val="00D445E6"/>
    <w:rsid w:val="00D44FF0"/>
    <w:rsid w:val="00D45094"/>
    <w:rsid w:val="00D45511"/>
    <w:rsid w:val="00D45528"/>
    <w:rsid w:val="00D460BB"/>
    <w:rsid w:val="00D46D8D"/>
    <w:rsid w:val="00D471FC"/>
    <w:rsid w:val="00D4749E"/>
    <w:rsid w:val="00D47624"/>
    <w:rsid w:val="00D50BD6"/>
    <w:rsid w:val="00D5150F"/>
    <w:rsid w:val="00D51EE6"/>
    <w:rsid w:val="00D535BB"/>
    <w:rsid w:val="00D542FD"/>
    <w:rsid w:val="00D554EA"/>
    <w:rsid w:val="00D556D8"/>
    <w:rsid w:val="00D55EFB"/>
    <w:rsid w:val="00D56974"/>
    <w:rsid w:val="00D57684"/>
    <w:rsid w:val="00D57916"/>
    <w:rsid w:val="00D57C4C"/>
    <w:rsid w:val="00D57DFA"/>
    <w:rsid w:val="00D60366"/>
    <w:rsid w:val="00D60606"/>
    <w:rsid w:val="00D60869"/>
    <w:rsid w:val="00D6088C"/>
    <w:rsid w:val="00D60BC1"/>
    <w:rsid w:val="00D60C59"/>
    <w:rsid w:val="00D60D09"/>
    <w:rsid w:val="00D61AC5"/>
    <w:rsid w:val="00D62C62"/>
    <w:rsid w:val="00D63A6C"/>
    <w:rsid w:val="00D64757"/>
    <w:rsid w:val="00D64791"/>
    <w:rsid w:val="00D64E52"/>
    <w:rsid w:val="00D659FD"/>
    <w:rsid w:val="00D65A10"/>
    <w:rsid w:val="00D6611A"/>
    <w:rsid w:val="00D66F4F"/>
    <w:rsid w:val="00D6734F"/>
    <w:rsid w:val="00D67904"/>
    <w:rsid w:val="00D679C3"/>
    <w:rsid w:val="00D67BC0"/>
    <w:rsid w:val="00D67D12"/>
    <w:rsid w:val="00D70372"/>
    <w:rsid w:val="00D71345"/>
    <w:rsid w:val="00D714C5"/>
    <w:rsid w:val="00D71B17"/>
    <w:rsid w:val="00D71E40"/>
    <w:rsid w:val="00D720C0"/>
    <w:rsid w:val="00D727B6"/>
    <w:rsid w:val="00D72CFB"/>
    <w:rsid w:val="00D7352B"/>
    <w:rsid w:val="00D742D6"/>
    <w:rsid w:val="00D743B3"/>
    <w:rsid w:val="00D7482D"/>
    <w:rsid w:val="00D75338"/>
    <w:rsid w:val="00D75E50"/>
    <w:rsid w:val="00D761E7"/>
    <w:rsid w:val="00D7725D"/>
    <w:rsid w:val="00D81E26"/>
    <w:rsid w:val="00D8221F"/>
    <w:rsid w:val="00D829B2"/>
    <w:rsid w:val="00D84318"/>
    <w:rsid w:val="00D84738"/>
    <w:rsid w:val="00D847D5"/>
    <w:rsid w:val="00D84D58"/>
    <w:rsid w:val="00D86362"/>
    <w:rsid w:val="00D863A2"/>
    <w:rsid w:val="00D86AB1"/>
    <w:rsid w:val="00D86DD4"/>
    <w:rsid w:val="00D87211"/>
    <w:rsid w:val="00D87C83"/>
    <w:rsid w:val="00D913E6"/>
    <w:rsid w:val="00D91EE4"/>
    <w:rsid w:val="00D923F7"/>
    <w:rsid w:val="00D936F9"/>
    <w:rsid w:val="00D94EAE"/>
    <w:rsid w:val="00D953D6"/>
    <w:rsid w:val="00D9600E"/>
    <w:rsid w:val="00D96280"/>
    <w:rsid w:val="00D96C22"/>
    <w:rsid w:val="00DA149E"/>
    <w:rsid w:val="00DA1EEB"/>
    <w:rsid w:val="00DA2028"/>
    <w:rsid w:val="00DA3783"/>
    <w:rsid w:val="00DA3F12"/>
    <w:rsid w:val="00DA3FE4"/>
    <w:rsid w:val="00DA4B45"/>
    <w:rsid w:val="00DA5563"/>
    <w:rsid w:val="00DA6EEF"/>
    <w:rsid w:val="00DB08D5"/>
    <w:rsid w:val="00DB11E6"/>
    <w:rsid w:val="00DB1253"/>
    <w:rsid w:val="00DB2D80"/>
    <w:rsid w:val="00DB3472"/>
    <w:rsid w:val="00DB3DC3"/>
    <w:rsid w:val="00DB40A9"/>
    <w:rsid w:val="00DB4F97"/>
    <w:rsid w:val="00DB57B4"/>
    <w:rsid w:val="00DB7AC0"/>
    <w:rsid w:val="00DC026C"/>
    <w:rsid w:val="00DC0815"/>
    <w:rsid w:val="00DC0E5E"/>
    <w:rsid w:val="00DC17D0"/>
    <w:rsid w:val="00DC1B21"/>
    <w:rsid w:val="00DC1B3C"/>
    <w:rsid w:val="00DC1E4B"/>
    <w:rsid w:val="00DC2706"/>
    <w:rsid w:val="00DC275E"/>
    <w:rsid w:val="00DC3D23"/>
    <w:rsid w:val="00DC44FB"/>
    <w:rsid w:val="00DC4554"/>
    <w:rsid w:val="00DC4BC8"/>
    <w:rsid w:val="00DC4CE4"/>
    <w:rsid w:val="00DC5BE0"/>
    <w:rsid w:val="00DC5FE9"/>
    <w:rsid w:val="00DC6999"/>
    <w:rsid w:val="00DC6AB5"/>
    <w:rsid w:val="00DC75FE"/>
    <w:rsid w:val="00DD106B"/>
    <w:rsid w:val="00DD1988"/>
    <w:rsid w:val="00DD1E65"/>
    <w:rsid w:val="00DD1EBE"/>
    <w:rsid w:val="00DD2EA0"/>
    <w:rsid w:val="00DD3418"/>
    <w:rsid w:val="00DD3A53"/>
    <w:rsid w:val="00DD3D8D"/>
    <w:rsid w:val="00DD4C8D"/>
    <w:rsid w:val="00DD51B9"/>
    <w:rsid w:val="00DD593A"/>
    <w:rsid w:val="00DD72A2"/>
    <w:rsid w:val="00DD73C7"/>
    <w:rsid w:val="00DD7C98"/>
    <w:rsid w:val="00DE085D"/>
    <w:rsid w:val="00DE0D92"/>
    <w:rsid w:val="00DE1DD2"/>
    <w:rsid w:val="00DE28B7"/>
    <w:rsid w:val="00DE36FB"/>
    <w:rsid w:val="00DE39F8"/>
    <w:rsid w:val="00DE3EBF"/>
    <w:rsid w:val="00DE469F"/>
    <w:rsid w:val="00DE46E5"/>
    <w:rsid w:val="00DE4C9F"/>
    <w:rsid w:val="00DE5881"/>
    <w:rsid w:val="00DE5B7C"/>
    <w:rsid w:val="00DE5C84"/>
    <w:rsid w:val="00DE65F3"/>
    <w:rsid w:val="00DE6CF3"/>
    <w:rsid w:val="00DE7084"/>
    <w:rsid w:val="00DE750D"/>
    <w:rsid w:val="00DE7C87"/>
    <w:rsid w:val="00DE7F75"/>
    <w:rsid w:val="00DF058A"/>
    <w:rsid w:val="00DF0670"/>
    <w:rsid w:val="00DF07FC"/>
    <w:rsid w:val="00DF0884"/>
    <w:rsid w:val="00DF0D46"/>
    <w:rsid w:val="00DF0F5C"/>
    <w:rsid w:val="00DF1F02"/>
    <w:rsid w:val="00DF23E7"/>
    <w:rsid w:val="00DF2DEF"/>
    <w:rsid w:val="00DF3095"/>
    <w:rsid w:val="00DF3486"/>
    <w:rsid w:val="00DF3F3F"/>
    <w:rsid w:val="00DF4144"/>
    <w:rsid w:val="00DF4631"/>
    <w:rsid w:val="00DF4736"/>
    <w:rsid w:val="00DF50C6"/>
    <w:rsid w:val="00DF5606"/>
    <w:rsid w:val="00DF5DF8"/>
    <w:rsid w:val="00DF6424"/>
    <w:rsid w:val="00DF7254"/>
    <w:rsid w:val="00E004CA"/>
    <w:rsid w:val="00E00538"/>
    <w:rsid w:val="00E00875"/>
    <w:rsid w:val="00E0089D"/>
    <w:rsid w:val="00E014D8"/>
    <w:rsid w:val="00E02D99"/>
    <w:rsid w:val="00E02FDB"/>
    <w:rsid w:val="00E03806"/>
    <w:rsid w:val="00E03807"/>
    <w:rsid w:val="00E038F1"/>
    <w:rsid w:val="00E03BE9"/>
    <w:rsid w:val="00E03C93"/>
    <w:rsid w:val="00E04416"/>
    <w:rsid w:val="00E04423"/>
    <w:rsid w:val="00E04C13"/>
    <w:rsid w:val="00E04D1D"/>
    <w:rsid w:val="00E04E56"/>
    <w:rsid w:val="00E05DA5"/>
    <w:rsid w:val="00E05F9D"/>
    <w:rsid w:val="00E060E0"/>
    <w:rsid w:val="00E07320"/>
    <w:rsid w:val="00E1004C"/>
    <w:rsid w:val="00E10AF6"/>
    <w:rsid w:val="00E10D9F"/>
    <w:rsid w:val="00E11C95"/>
    <w:rsid w:val="00E11CF9"/>
    <w:rsid w:val="00E1345C"/>
    <w:rsid w:val="00E13A34"/>
    <w:rsid w:val="00E15391"/>
    <w:rsid w:val="00E1610D"/>
    <w:rsid w:val="00E161E2"/>
    <w:rsid w:val="00E16ECF"/>
    <w:rsid w:val="00E16F78"/>
    <w:rsid w:val="00E17DC9"/>
    <w:rsid w:val="00E20731"/>
    <w:rsid w:val="00E207DC"/>
    <w:rsid w:val="00E20AC9"/>
    <w:rsid w:val="00E20DFF"/>
    <w:rsid w:val="00E20ED8"/>
    <w:rsid w:val="00E22B39"/>
    <w:rsid w:val="00E23468"/>
    <w:rsid w:val="00E237BE"/>
    <w:rsid w:val="00E23A93"/>
    <w:rsid w:val="00E25946"/>
    <w:rsid w:val="00E265E2"/>
    <w:rsid w:val="00E26A17"/>
    <w:rsid w:val="00E271CC"/>
    <w:rsid w:val="00E2728C"/>
    <w:rsid w:val="00E316F2"/>
    <w:rsid w:val="00E32AA8"/>
    <w:rsid w:val="00E33933"/>
    <w:rsid w:val="00E34405"/>
    <w:rsid w:val="00E34A23"/>
    <w:rsid w:val="00E355E4"/>
    <w:rsid w:val="00E357F6"/>
    <w:rsid w:val="00E36397"/>
    <w:rsid w:val="00E36D90"/>
    <w:rsid w:val="00E37442"/>
    <w:rsid w:val="00E37EC8"/>
    <w:rsid w:val="00E4018F"/>
    <w:rsid w:val="00E40223"/>
    <w:rsid w:val="00E40529"/>
    <w:rsid w:val="00E414CA"/>
    <w:rsid w:val="00E41E43"/>
    <w:rsid w:val="00E423BD"/>
    <w:rsid w:val="00E4263F"/>
    <w:rsid w:val="00E42FFF"/>
    <w:rsid w:val="00E43AB8"/>
    <w:rsid w:val="00E43DFB"/>
    <w:rsid w:val="00E43E4A"/>
    <w:rsid w:val="00E440BA"/>
    <w:rsid w:val="00E45D3B"/>
    <w:rsid w:val="00E45D72"/>
    <w:rsid w:val="00E45E22"/>
    <w:rsid w:val="00E46003"/>
    <w:rsid w:val="00E466C4"/>
    <w:rsid w:val="00E46AA3"/>
    <w:rsid w:val="00E46BB0"/>
    <w:rsid w:val="00E46C44"/>
    <w:rsid w:val="00E47246"/>
    <w:rsid w:val="00E502D5"/>
    <w:rsid w:val="00E503ED"/>
    <w:rsid w:val="00E51B28"/>
    <w:rsid w:val="00E51C3C"/>
    <w:rsid w:val="00E52A49"/>
    <w:rsid w:val="00E543D5"/>
    <w:rsid w:val="00E54654"/>
    <w:rsid w:val="00E553E5"/>
    <w:rsid w:val="00E55758"/>
    <w:rsid w:val="00E57E1C"/>
    <w:rsid w:val="00E60835"/>
    <w:rsid w:val="00E6093A"/>
    <w:rsid w:val="00E612EA"/>
    <w:rsid w:val="00E615E8"/>
    <w:rsid w:val="00E617A5"/>
    <w:rsid w:val="00E623FF"/>
    <w:rsid w:val="00E62CC4"/>
    <w:rsid w:val="00E62DA0"/>
    <w:rsid w:val="00E631D9"/>
    <w:rsid w:val="00E63ACF"/>
    <w:rsid w:val="00E6426E"/>
    <w:rsid w:val="00E64D0A"/>
    <w:rsid w:val="00E64EC3"/>
    <w:rsid w:val="00E66412"/>
    <w:rsid w:val="00E66750"/>
    <w:rsid w:val="00E66E27"/>
    <w:rsid w:val="00E66F88"/>
    <w:rsid w:val="00E67662"/>
    <w:rsid w:val="00E7082D"/>
    <w:rsid w:val="00E70DDA"/>
    <w:rsid w:val="00E71733"/>
    <w:rsid w:val="00E71AA0"/>
    <w:rsid w:val="00E73068"/>
    <w:rsid w:val="00E73AAA"/>
    <w:rsid w:val="00E73D19"/>
    <w:rsid w:val="00E740FF"/>
    <w:rsid w:val="00E741FA"/>
    <w:rsid w:val="00E745AB"/>
    <w:rsid w:val="00E747C6"/>
    <w:rsid w:val="00E75229"/>
    <w:rsid w:val="00E75789"/>
    <w:rsid w:val="00E76000"/>
    <w:rsid w:val="00E767DC"/>
    <w:rsid w:val="00E76CA1"/>
    <w:rsid w:val="00E76DE0"/>
    <w:rsid w:val="00E819FB"/>
    <w:rsid w:val="00E81DC2"/>
    <w:rsid w:val="00E8239F"/>
    <w:rsid w:val="00E82D39"/>
    <w:rsid w:val="00E82E85"/>
    <w:rsid w:val="00E8372D"/>
    <w:rsid w:val="00E838C2"/>
    <w:rsid w:val="00E8450A"/>
    <w:rsid w:val="00E84587"/>
    <w:rsid w:val="00E84870"/>
    <w:rsid w:val="00E855C4"/>
    <w:rsid w:val="00E87178"/>
    <w:rsid w:val="00E87476"/>
    <w:rsid w:val="00E877BC"/>
    <w:rsid w:val="00E87A61"/>
    <w:rsid w:val="00E908D2"/>
    <w:rsid w:val="00E90BDD"/>
    <w:rsid w:val="00E90CF5"/>
    <w:rsid w:val="00E914A2"/>
    <w:rsid w:val="00E91BA1"/>
    <w:rsid w:val="00E91F27"/>
    <w:rsid w:val="00E92531"/>
    <w:rsid w:val="00E92848"/>
    <w:rsid w:val="00E92993"/>
    <w:rsid w:val="00E93668"/>
    <w:rsid w:val="00E93B5D"/>
    <w:rsid w:val="00E9450D"/>
    <w:rsid w:val="00E94A90"/>
    <w:rsid w:val="00E954EF"/>
    <w:rsid w:val="00E96443"/>
    <w:rsid w:val="00E964F6"/>
    <w:rsid w:val="00E967C8"/>
    <w:rsid w:val="00E967DA"/>
    <w:rsid w:val="00E96E10"/>
    <w:rsid w:val="00E9726D"/>
    <w:rsid w:val="00E97340"/>
    <w:rsid w:val="00E97DA1"/>
    <w:rsid w:val="00EA0BDA"/>
    <w:rsid w:val="00EA0CB0"/>
    <w:rsid w:val="00EA18C5"/>
    <w:rsid w:val="00EA342D"/>
    <w:rsid w:val="00EA357D"/>
    <w:rsid w:val="00EA4213"/>
    <w:rsid w:val="00EA4312"/>
    <w:rsid w:val="00EA5375"/>
    <w:rsid w:val="00EA65CC"/>
    <w:rsid w:val="00EA7EF7"/>
    <w:rsid w:val="00EB02D2"/>
    <w:rsid w:val="00EB249C"/>
    <w:rsid w:val="00EB25B0"/>
    <w:rsid w:val="00EB2618"/>
    <w:rsid w:val="00EB2840"/>
    <w:rsid w:val="00EB2B58"/>
    <w:rsid w:val="00EB2D35"/>
    <w:rsid w:val="00EB34B3"/>
    <w:rsid w:val="00EB3FAF"/>
    <w:rsid w:val="00EB67DB"/>
    <w:rsid w:val="00EB6992"/>
    <w:rsid w:val="00EB7A79"/>
    <w:rsid w:val="00EB7E75"/>
    <w:rsid w:val="00EC0B5E"/>
    <w:rsid w:val="00EC0E98"/>
    <w:rsid w:val="00EC15A2"/>
    <w:rsid w:val="00EC21BD"/>
    <w:rsid w:val="00EC29A8"/>
    <w:rsid w:val="00EC2BEC"/>
    <w:rsid w:val="00EC2FEC"/>
    <w:rsid w:val="00EC3877"/>
    <w:rsid w:val="00EC3BEE"/>
    <w:rsid w:val="00EC3C63"/>
    <w:rsid w:val="00EC3F4B"/>
    <w:rsid w:val="00EC4085"/>
    <w:rsid w:val="00EC45BC"/>
    <w:rsid w:val="00EC5298"/>
    <w:rsid w:val="00EC655D"/>
    <w:rsid w:val="00EC6EC4"/>
    <w:rsid w:val="00EC7712"/>
    <w:rsid w:val="00ED1065"/>
    <w:rsid w:val="00ED1356"/>
    <w:rsid w:val="00ED18B2"/>
    <w:rsid w:val="00ED26AF"/>
    <w:rsid w:val="00ED2BCC"/>
    <w:rsid w:val="00ED33C7"/>
    <w:rsid w:val="00ED453B"/>
    <w:rsid w:val="00ED53DD"/>
    <w:rsid w:val="00ED7444"/>
    <w:rsid w:val="00ED76B6"/>
    <w:rsid w:val="00EE0396"/>
    <w:rsid w:val="00EE08F5"/>
    <w:rsid w:val="00EE0C7B"/>
    <w:rsid w:val="00EE0FA1"/>
    <w:rsid w:val="00EE22B0"/>
    <w:rsid w:val="00EE29F6"/>
    <w:rsid w:val="00EE2B85"/>
    <w:rsid w:val="00EE2CE1"/>
    <w:rsid w:val="00EE3786"/>
    <w:rsid w:val="00EE3BFA"/>
    <w:rsid w:val="00EE40B8"/>
    <w:rsid w:val="00EE4380"/>
    <w:rsid w:val="00EE46B3"/>
    <w:rsid w:val="00EE5996"/>
    <w:rsid w:val="00EE64DB"/>
    <w:rsid w:val="00EE6747"/>
    <w:rsid w:val="00EE688C"/>
    <w:rsid w:val="00EE7374"/>
    <w:rsid w:val="00EE74A7"/>
    <w:rsid w:val="00EE76E3"/>
    <w:rsid w:val="00EF0559"/>
    <w:rsid w:val="00EF09C7"/>
    <w:rsid w:val="00EF1EC9"/>
    <w:rsid w:val="00EF22CE"/>
    <w:rsid w:val="00EF23D6"/>
    <w:rsid w:val="00EF31B0"/>
    <w:rsid w:val="00EF3B8E"/>
    <w:rsid w:val="00EF4A45"/>
    <w:rsid w:val="00EF5FAF"/>
    <w:rsid w:val="00EF6415"/>
    <w:rsid w:val="00F0025E"/>
    <w:rsid w:val="00F01194"/>
    <w:rsid w:val="00F029C2"/>
    <w:rsid w:val="00F02A2D"/>
    <w:rsid w:val="00F02DB5"/>
    <w:rsid w:val="00F0308D"/>
    <w:rsid w:val="00F0331D"/>
    <w:rsid w:val="00F03425"/>
    <w:rsid w:val="00F03D7B"/>
    <w:rsid w:val="00F04A43"/>
    <w:rsid w:val="00F04F27"/>
    <w:rsid w:val="00F05167"/>
    <w:rsid w:val="00F0556C"/>
    <w:rsid w:val="00F05AB4"/>
    <w:rsid w:val="00F05B05"/>
    <w:rsid w:val="00F05FBE"/>
    <w:rsid w:val="00F06596"/>
    <w:rsid w:val="00F06EAD"/>
    <w:rsid w:val="00F06F4E"/>
    <w:rsid w:val="00F07045"/>
    <w:rsid w:val="00F07BA5"/>
    <w:rsid w:val="00F100D8"/>
    <w:rsid w:val="00F10117"/>
    <w:rsid w:val="00F10C8F"/>
    <w:rsid w:val="00F119DC"/>
    <w:rsid w:val="00F1263F"/>
    <w:rsid w:val="00F12944"/>
    <w:rsid w:val="00F12B18"/>
    <w:rsid w:val="00F12D60"/>
    <w:rsid w:val="00F139F1"/>
    <w:rsid w:val="00F14A67"/>
    <w:rsid w:val="00F14EED"/>
    <w:rsid w:val="00F15445"/>
    <w:rsid w:val="00F1557A"/>
    <w:rsid w:val="00F15C3C"/>
    <w:rsid w:val="00F16443"/>
    <w:rsid w:val="00F16C50"/>
    <w:rsid w:val="00F17799"/>
    <w:rsid w:val="00F17D3A"/>
    <w:rsid w:val="00F20E1A"/>
    <w:rsid w:val="00F2136C"/>
    <w:rsid w:val="00F219CE"/>
    <w:rsid w:val="00F22F3C"/>
    <w:rsid w:val="00F24C08"/>
    <w:rsid w:val="00F24F00"/>
    <w:rsid w:val="00F2570E"/>
    <w:rsid w:val="00F2594E"/>
    <w:rsid w:val="00F25CC5"/>
    <w:rsid w:val="00F25DE5"/>
    <w:rsid w:val="00F2618A"/>
    <w:rsid w:val="00F30E01"/>
    <w:rsid w:val="00F31DA3"/>
    <w:rsid w:val="00F31ED6"/>
    <w:rsid w:val="00F35589"/>
    <w:rsid w:val="00F36215"/>
    <w:rsid w:val="00F37D5C"/>
    <w:rsid w:val="00F40085"/>
    <w:rsid w:val="00F41249"/>
    <w:rsid w:val="00F413A8"/>
    <w:rsid w:val="00F42A1D"/>
    <w:rsid w:val="00F42BEF"/>
    <w:rsid w:val="00F42C0E"/>
    <w:rsid w:val="00F42E64"/>
    <w:rsid w:val="00F43507"/>
    <w:rsid w:val="00F4465A"/>
    <w:rsid w:val="00F44718"/>
    <w:rsid w:val="00F44A29"/>
    <w:rsid w:val="00F46226"/>
    <w:rsid w:val="00F46AC1"/>
    <w:rsid w:val="00F46AC3"/>
    <w:rsid w:val="00F476AE"/>
    <w:rsid w:val="00F50BFA"/>
    <w:rsid w:val="00F53D22"/>
    <w:rsid w:val="00F546A3"/>
    <w:rsid w:val="00F5536F"/>
    <w:rsid w:val="00F556F1"/>
    <w:rsid w:val="00F557CC"/>
    <w:rsid w:val="00F56CA2"/>
    <w:rsid w:val="00F56D3D"/>
    <w:rsid w:val="00F60352"/>
    <w:rsid w:val="00F603F2"/>
    <w:rsid w:val="00F60419"/>
    <w:rsid w:val="00F610F4"/>
    <w:rsid w:val="00F61BB1"/>
    <w:rsid w:val="00F62312"/>
    <w:rsid w:val="00F62851"/>
    <w:rsid w:val="00F62A6C"/>
    <w:rsid w:val="00F637AF"/>
    <w:rsid w:val="00F64552"/>
    <w:rsid w:val="00F65585"/>
    <w:rsid w:val="00F65F76"/>
    <w:rsid w:val="00F671E5"/>
    <w:rsid w:val="00F700E1"/>
    <w:rsid w:val="00F710BA"/>
    <w:rsid w:val="00F713CE"/>
    <w:rsid w:val="00F72099"/>
    <w:rsid w:val="00F720E9"/>
    <w:rsid w:val="00F72350"/>
    <w:rsid w:val="00F73073"/>
    <w:rsid w:val="00F730D3"/>
    <w:rsid w:val="00F7310B"/>
    <w:rsid w:val="00F74BD4"/>
    <w:rsid w:val="00F74F80"/>
    <w:rsid w:val="00F74FD9"/>
    <w:rsid w:val="00F755DC"/>
    <w:rsid w:val="00F75905"/>
    <w:rsid w:val="00F766A4"/>
    <w:rsid w:val="00F76968"/>
    <w:rsid w:val="00F77D9B"/>
    <w:rsid w:val="00F77F0D"/>
    <w:rsid w:val="00F805D2"/>
    <w:rsid w:val="00F8086A"/>
    <w:rsid w:val="00F80D24"/>
    <w:rsid w:val="00F81240"/>
    <w:rsid w:val="00F8171B"/>
    <w:rsid w:val="00F817E9"/>
    <w:rsid w:val="00F81985"/>
    <w:rsid w:val="00F81F8A"/>
    <w:rsid w:val="00F82167"/>
    <w:rsid w:val="00F82BC7"/>
    <w:rsid w:val="00F85053"/>
    <w:rsid w:val="00F8513A"/>
    <w:rsid w:val="00F8726A"/>
    <w:rsid w:val="00F87721"/>
    <w:rsid w:val="00F9154D"/>
    <w:rsid w:val="00F91565"/>
    <w:rsid w:val="00F91E15"/>
    <w:rsid w:val="00F91FED"/>
    <w:rsid w:val="00F92097"/>
    <w:rsid w:val="00F92B59"/>
    <w:rsid w:val="00F92F65"/>
    <w:rsid w:val="00F92FFC"/>
    <w:rsid w:val="00F95917"/>
    <w:rsid w:val="00F95EC6"/>
    <w:rsid w:val="00F96C5A"/>
    <w:rsid w:val="00F9700A"/>
    <w:rsid w:val="00F971D2"/>
    <w:rsid w:val="00F9787D"/>
    <w:rsid w:val="00F97ABA"/>
    <w:rsid w:val="00FA029C"/>
    <w:rsid w:val="00FA0CD8"/>
    <w:rsid w:val="00FA18C2"/>
    <w:rsid w:val="00FA2836"/>
    <w:rsid w:val="00FA2B09"/>
    <w:rsid w:val="00FA2CC6"/>
    <w:rsid w:val="00FA3513"/>
    <w:rsid w:val="00FA3687"/>
    <w:rsid w:val="00FA3CBF"/>
    <w:rsid w:val="00FA4340"/>
    <w:rsid w:val="00FA50C5"/>
    <w:rsid w:val="00FA5AB5"/>
    <w:rsid w:val="00FA687D"/>
    <w:rsid w:val="00FA6A70"/>
    <w:rsid w:val="00FA790D"/>
    <w:rsid w:val="00FA7EA2"/>
    <w:rsid w:val="00FB075F"/>
    <w:rsid w:val="00FB09C9"/>
    <w:rsid w:val="00FB1DC5"/>
    <w:rsid w:val="00FB3472"/>
    <w:rsid w:val="00FB37B2"/>
    <w:rsid w:val="00FB507E"/>
    <w:rsid w:val="00FB5C2A"/>
    <w:rsid w:val="00FB79B5"/>
    <w:rsid w:val="00FC0254"/>
    <w:rsid w:val="00FC07E1"/>
    <w:rsid w:val="00FC108A"/>
    <w:rsid w:val="00FC10B4"/>
    <w:rsid w:val="00FC15BE"/>
    <w:rsid w:val="00FC1E4D"/>
    <w:rsid w:val="00FC2561"/>
    <w:rsid w:val="00FC2A26"/>
    <w:rsid w:val="00FC2A46"/>
    <w:rsid w:val="00FC2BFD"/>
    <w:rsid w:val="00FC2EB9"/>
    <w:rsid w:val="00FC3ACE"/>
    <w:rsid w:val="00FC3AF8"/>
    <w:rsid w:val="00FC43D1"/>
    <w:rsid w:val="00FC4D11"/>
    <w:rsid w:val="00FC4F78"/>
    <w:rsid w:val="00FC584C"/>
    <w:rsid w:val="00FC5D17"/>
    <w:rsid w:val="00FC5DA1"/>
    <w:rsid w:val="00FC5DB8"/>
    <w:rsid w:val="00FC60A3"/>
    <w:rsid w:val="00FC63FD"/>
    <w:rsid w:val="00FC6469"/>
    <w:rsid w:val="00FC657B"/>
    <w:rsid w:val="00FC6E31"/>
    <w:rsid w:val="00FD161B"/>
    <w:rsid w:val="00FD23B5"/>
    <w:rsid w:val="00FD3F30"/>
    <w:rsid w:val="00FD47A0"/>
    <w:rsid w:val="00FD49A8"/>
    <w:rsid w:val="00FD60F8"/>
    <w:rsid w:val="00FD6855"/>
    <w:rsid w:val="00FD6A38"/>
    <w:rsid w:val="00FD6BA5"/>
    <w:rsid w:val="00FD6CA9"/>
    <w:rsid w:val="00FD6FE4"/>
    <w:rsid w:val="00FD756B"/>
    <w:rsid w:val="00FD7979"/>
    <w:rsid w:val="00FD79DD"/>
    <w:rsid w:val="00FD7A4D"/>
    <w:rsid w:val="00FE018B"/>
    <w:rsid w:val="00FE102F"/>
    <w:rsid w:val="00FE124F"/>
    <w:rsid w:val="00FE265E"/>
    <w:rsid w:val="00FE2889"/>
    <w:rsid w:val="00FE290D"/>
    <w:rsid w:val="00FE2D85"/>
    <w:rsid w:val="00FE3642"/>
    <w:rsid w:val="00FE3777"/>
    <w:rsid w:val="00FE411E"/>
    <w:rsid w:val="00FE4129"/>
    <w:rsid w:val="00FE44BF"/>
    <w:rsid w:val="00FE4B9E"/>
    <w:rsid w:val="00FE4EE0"/>
    <w:rsid w:val="00FE64CC"/>
    <w:rsid w:val="00FE6B76"/>
    <w:rsid w:val="00FE6BC3"/>
    <w:rsid w:val="00FE7559"/>
    <w:rsid w:val="00FE7C46"/>
    <w:rsid w:val="00FE7D70"/>
    <w:rsid w:val="00FF0956"/>
    <w:rsid w:val="00FF0CAB"/>
    <w:rsid w:val="00FF1463"/>
    <w:rsid w:val="00FF1FCE"/>
    <w:rsid w:val="00FF272F"/>
    <w:rsid w:val="00FF311F"/>
    <w:rsid w:val="00FF353D"/>
    <w:rsid w:val="00FF3F49"/>
    <w:rsid w:val="00FF420D"/>
    <w:rsid w:val="00FF4752"/>
    <w:rsid w:val="00FF48C4"/>
    <w:rsid w:val="00FF4A69"/>
    <w:rsid w:val="00FF6416"/>
    <w:rsid w:val="00FF7720"/>
    <w:rsid w:val="10FC1F5F"/>
    <w:rsid w:val="148EB903"/>
    <w:rsid w:val="1633703E"/>
    <w:rsid w:val="166A3382"/>
    <w:rsid w:val="1796C222"/>
    <w:rsid w:val="1BB5ACDF"/>
    <w:rsid w:val="1CA11E55"/>
    <w:rsid w:val="1D550FA6"/>
    <w:rsid w:val="23E106D0"/>
    <w:rsid w:val="2BD1C6CB"/>
    <w:rsid w:val="31BB3D94"/>
    <w:rsid w:val="3B4CDD61"/>
    <w:rsid w:val="42DDA6FA"/>
    <w:rsid w:val="4B472F2C"/>
    <w:rsid w:val="4D38D6A2"/>
    <w:rsid w:val="4D67FB16"/>
    <w:rsid w:val="4F4D67FE"/>
    <w:rsid w:val="4FD8380A"/>
    <w:rsid w:val="5498AC21"/>
    <w:rsid w:val="55D45600"/>
    <w:rsid w:val="56CE4917"/>
    <w:rsid w:val="5E152FD6"/>
    <w:rsid w:val="6B01103A"/>
    <w:rsid w:val="731784CC"/>
    <w:rsid w:val="74F65BB9"/>
    <w:rsid w:val="7FD82E0E"/>
  </w:rsids>
  <m:mathPr>
    <m:mathFont m:val="Cambria Math"/>
    <m:brkBin m:val="before"/>
    <m:brkBinSub m:val="--"/>
    <m:smallFrac m:val="0"/>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10D89"/>
  <w15:docId w15:val="{1AEC365E-4A2B-4A1D-8DB2-4532144F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0672"/>
    <w:rPr>
      <w:rFonts w:ascii="Times New Roman" w:hAnsi="Times New Roman"/>
      <w:sz w:val="24"/>
      <w:szCs w:val="24"/>
    </w:rPr>
  </w:style>
  <w:style w:type="paragraph" w:styleId="Titolo1">
    <w:name w:val="heading 1"/>
    <w:basedOn w:val="Normale"/>
    <w:next w:val="Normale"/>
    <w:link w:val="Titolo1Carattere"/>
    <w:uiPriority w:val="9"/>
    <w:qFormat/>
    <w:rsid w:val="00E02FDB"/>
    <w:pPr>
      <w:keepNext/>
      <w:keepLines/>
      <w:spacing w:before="480"/>
      <w:outlineLvl w:val="0"/>
    </w:pPr>
    <w:rPr>
      <w:rFonts w:ascii="Cambria" w:hAnsi="Cambria"/>
      <w:b/>
      <w:bCs/>
      <w:color w:val="365F91"/>
      <w:sz w:val="28"/>
      <w:szCs w:val="28"/>
    </w:rPr>
  </w:style>
  <w:style w:type="paragraph" w:styleId="Titolo2">
    <w:name w:val="heading 2"/>
    <w:basedOn w:val="Normale"/>
    <w:next w:val="Normale"/>
    <w:link w:val="Titolo2Carattere"/>
    <w:uiPriority w:val="99"/>
    <w:qFormat/>
    <w:rsid w:val="009C4116"/>
    <w:pPr>
      <w:keepNext/>
      <w:keepLines/>
      <w:spacing w:before="200"/>
      <w:outlineLvl w:val="1"/>
    </w:pPr>
    <w:rPr>
      <w:rFonts w:ascii="Cambria" w:hAnsi="Cambria"/>
      <w:b/>
      <w:bCs/>
      <w:color w:val="4F81BD"/>
      <w:sz w:val="26"/>
      <w:szCs w:val="26"/>
    </w:rPr>
  </w:style>
  <w:style w:type="paragraph" w:styleId="Titolo3">
    <w:name w:val="heading 3"/>
    <w:basedOn w:val="Normale"/>
    <w:next w:val="Normale"/>
    <w:link w:val="Titolo3Carattere"/>
    <w:uiPriority w:val="99"/>
    <w:qFormat/>
    <w:rsid w:val="00A128C9"/>
    <w:pPr>
      <w:keepNext/>
      <w:keepLines/>
      <w:spacing w:before="200"/>
      <w:outlineLvl w:val="2"/>
    </w:pPr>
    <w:rPr>
      <w:rFonts w:ascii="Cambria" w:hAnsi="Cambria"/>
      <w:b/>
      <w:bCs/>
      <w:color w:val="4F81BD"/>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sid w:val="00E02FDB"/>
    <w:rPr>
      <w:rFonts w:ascii="Cambria" w:hAnsi="Cambria" w:cs="Times New Roman"/>
      <w:b/>
      <w:bCs/>
      <w:color w:val="365F91"/>
      <w:sz w:val="28"/>
      <w:szCs w:val="28"/>
    </w:rPr>
  </w:style>
  <w:style w:type="character" w:customStyle="1" w:styleId="Titolo2Carattere">
    <w:name w:val="Titolo 2 Carattere"/>
    <w:basedOn w:val="Carpredefinitoparagrafo"/>
    <w:link w:val="Titolo2"/>
    <w:uiPriority w:val="99"/>
    <w:locked/>
    <w:rsid w:val="009C4116"/>
    <w:rPr>
      <w:rFonts w:ascii="Cambria" w:hAnsi="Cambria" w:cs="Times New Roman"/>
      <w:b/>
      <w:bCs/>
      <w:color w:val="4F81BD"/>
      <w:sz w:val="26"/>
      <w:szCs w:val="26"/>
    </w:rPr>
  </w:style>
  <w:style w:type="character" w:customStyle="1" w:styleId="Titolo3Carattere">
    <w:name w:val="Titolo 3 Carattere"/>
    <w:basedOn w:val="Carpredefinitoparagrafo"/>
    <w:link w:val="Titolo3"/>
    <w:uiPriority w:val="99"/>
    <w:locked/>
    <w:rsid w:val="00A128C9"/>
    <w:rPr>
      <w:rFonts w:ascii="Cambria" w:hAnsi="Cambria" w:cs="Times New Roman"/>
      <w:b/>
      <w:bCs/>
      <w:color w:val="4F81BD"/>
    </w:rPr>
  </w:style>
  <w:style w:type="paragraph" w:customStyle="1" w:styleId="Default">
    <w:name w:val="Default"/>
    <w:rsid w:val="0050411F"/>
    <w:pPr>
      <w:autoSpaceDE w:val="0"/>
      <w:autoSpaceDN w:val="0"/>
      <w:adjustRightInd w:val="0"/>
    </w:pPr>
    <w:rPr>
      <w:rFonts w:ascii="Times New Roman" w:hAnsi="Times New Roman"/>
      <w:color w:val="000000"/>
      <w:sz w:val="24"/>
      <w:szCs w:val="24"/>
    </w:rPr>
  </w:style>
  <w:style w:type="paragraph" w:customStyle="1" w:styleId="Paragraph">
    <w:name w:val="Paragraph"/>
    <w:uiPriority w:val="99"/>
    <w:rsid w:val="000D0F3F"/>
    <w:pPr>
      <w:spacing w:after="120"/>
    </w:pPr>
    <w:rPr>
      <w:rFonts w:ascii="Times New Roman" w:hAnsi="Times New Roman"/>
      <w:sz w:val="24"/>
      <w:szCs w:val="20"/>
      <w:lang w:val="en-US"/>
    </w:rPr>
  </w:style>
  <w:style w:type="character" w:customStyle="1" w:styleId="hps">
    <w:name w:val="hps"/>
    <w:basedOn w:val="Carpredefinitoparagrafo"/>
    <w:uiPriority w:val="99"/>
    <w:rsid w:val="00277604"/>
    <w:rPr>
      <w:rFonts w:cs="Times New Roman"/>
    </w:rPr>
  </w:style>
  <w:style w:type="paragraph" w:styleId="Paragrafoelenco">
    <w:name w:val="List Paragraph"/>
    <w:basedOn w:val="Normale"/>
    <w:uiPriority w:val="34"/>
    <w:qFormat/>
    <w:rsid w:val="000E45B8"/>
    <w:pPr>
      <w:ind w:left="720"/>
      <w:contextualSpacing/>
    </w:pPr>
  </w:style>
  <w:style w:type="character" w:customStyle="1" w:styleId="apple-converted-space">
    <w:name w:val="apple-converted-space"/>
    <w:basedOn w:val="Carpredefinitoparagrafo"/>
    <w:rsid w:val="001A7D0F"/>
    <w:rPr>
      <w:rFonts w:cs="Times New Roman"/>
    </w:rPr>
  </w:style>
  <w:style w:type="character" w:customStyle="1" w:styleId="highlight">
    <w:name w:val="highlight"/>
    <w:basedOn w:val="Carpredefinitoparagrafo"/>
    <w:rsid w:val="001A7D0F"/>
    <w:rPr>
      <w:rFonts w:cs="Times New Roman"/>
    </w:rPr>
  </w:style>
  <w:style w:type="paragraph" w:customStyle="1" w:styleId="Titolo10">
    <w:name w:val="Titolo1"/>
    <w:basedOn w:val="Normale"/>
    <w:uiPriority w:val="99"/>
    <w:rsid w:val="00206A09"/>
    <w:pPr>
      <w:spacing w:beforeLines="1" w:afterLines="1"/>
    </w:pPr>
    <w:rPr>
      <w:rFonts w:ascii="Times" w:hAnsi="Times"/>
      <w:sz w:val="20"/>
      <w:szCs w:val="20"/>
    </w:rPr>
  </w:style>
  <w:style w:type="character" w:styleId="Collegamentoipertestuale">
    <w:name w:val="Hyperlink"/>
    <w:basedOn w:val="Carpredefinitoparagrafo"/>
    <w:uiPriority w:val="99"/>
    <w:rsid w:val="00206A09"/>
    <w:rPr>
      <w:rFonts w:cs="Times New Roman"/>
      <w:color w:val="0000FF"/>
      <w:u w:val="single"/>
    </w:rPr>
  </w:style>
  <w:style w:type="paragraph" w:customStyle="1" w:styleId="desc">
    <w:name w:val="desc"/>
    <w:basedOn w:val="Normale"/>
    <w:uiPriority w:val="99"/>
    <w:rsid w:val="00206A09"/>
    <w:pPr>
      <w:spacing w:beforeLines="1" w:afterLines="1"/>
    </w:pPr>
    <w:rPr>
      <w:rFonts w:ascii="Times" w:hAnsi="Times"/>
      <w:sz w:val="20"/>
      <w:szCs w:val="20"/>
    </w:rPr>
  </w:style>
  <w:style w:type="paragraph" w:customStyle="1" w:styleId="details">
    <w:name w:val="details"/>
    <w:basedOn w:val="Normale"/>
    <w:uiPriority w:val="99"/>
    <w:rsid w:val="00206A09"/>
    <w:pPr>
      <w:spacing w:beforeLines="1" w:afterLines="1"/>
    </w:pPr>
    <w:rPr>
      <w:rFonts w:ascii="Times" w:hAnsi="Times"/>
      <w:sz w:val="20"/>
      <w:szCs w:val="20"/>
    </w:rPr>
  </w:style>
  <w:style w:type="character" w:customStyle="1" w:styleId="jrnl">
    <w:name w:val="jrnl"/>
    <w:basedOn w:val="Carpredefinitoparagrafo"/>
    <w:uiPriority w:val="99"/>
    <w:rsid w:val="00206A09"/>
    <w:rPr>
      <w:rFonts w:cs="Times New Roman"/>
    </w:rPr>
  </w:style>
  <w:style w:type="paragraph" w:styleId="NormaleWeb">
    <w:name w:val="Normal (Web)"/>
    <w:basedOn w:val="Normale"/>
    <w:uiPriority w:val="99"/>
    <w:rsid w:val="0045697F"/>
    <w:pPr>
      <w:spacing w:beforeLines="1" w:afterLines="1"/>
    </w:pPr>
    <w:rPr>
      <w:rFonts w:ascii="Times" w:hAnsi="Times"/>
      <w:sz w:val="20"/>
      <w:szCs w:val="20"/>
    </w:rPr>
  </w:style>
  <w:style w:type="paragraph" w:styleId="Bibliografia">
    <w:name w:val="Bibliography"/>
    <w:basedOn w:val="Normale"/>
    <w:next w:val="Normale"/>
    <w:uiPriority w:val="99"/>
    <w:rsid w:val="00E02FDB"/>
  </w:style>
  <w:style w:type="character" w:customStyle="1" w:styleId="shorttext">
    <w:name w:val="short_text"/>
    <w:basedOn w:val="Carpredefinitoparagrafo"/>
    <w:uiPriority w:val="99"/>
    <w:rsid w:val="004C1D80"/>
    <w:rPr>
      <w:rFonts w:cs="Times New Roman"/>
    </w:rPr>
  </w:style>
  <w:style w:type="character" w:customStyle="1" w:styleId="hpsalt-edited">
    <w:name w:val="hps alt-edited"/>
    <w:basedOn w:val="Carpredefinitoparagrafo"/>
    <w:uiPriority w:val="99"/>
    <w:rsid w:val="008D6B5C"/>
    <w:rPr>
      <w:rFonts w:cs="Times New Roman"/>
    </w:rPr>
  </w:style>
  <w:style w:type="table" w:styleId="Grigliatabella">
    <w:name w:val="Table Grid"/>
    <w:basedOn w:val="Tabellanormale"/>
    <w:uiPriority w:val="59"/>
    <w:locked/>
    <w:rsid w:val="005E12B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medio2-Colore2">
    <w:name w:val="Medium List 2 Accent 2"/>
    <w:basedOn w:val="Tabellanormale"/>
    <w:uiPriority w:val="99"/>
    <w:rsid w:val="005E12BE"/>
    <w:rPr>
      <w:rFonts w:ascii="Cambria" w:eastAsia="MS ????" w:hAnsi="Cambria"/>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rFonts w:cs="Times New Roman"/>
        <w:sz w:val="24"/>
        <w:szCs w:val="24"/>
      </w:rPr>
      <w:tblPr/>
      <w:tcPr>
        <w:tcBorders>
          <w:top w:val="nil"/>
          <w:left w:val="nil"/>
          <w:bottom w:val="single" w:sz="24" w:space="0" w:color="C0504D"/>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C0504D"/>
          <w:insideH w:val="nil"/>
          <w:insideV w:val="nil"/>
        </w:tcBorders>
        <w:shd w:val="clear" w:color="auto" w:fill="FFFFFF"/>
      </w:tcPr>
    </w:tblStylePr>
    <w:tblStylePr w:type="lastCol">
      <w:rPr>
        <w:rFonts w:cs="Times New Roman"/>
      </w:rPr>
      <w:tblPr/>
      <w:tcPr>
        <w:tcBorders>
          <w:top w:val="nil"/>
          <w:left w:val="single" w:sz="8" w:space="0" w:color="C0504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top w:val="nil"/>
          <w:bottom w:val="nil"/>
          <w:insideH w:val="nil"/>
          <w:insideV w:val="nil"/>
        </w:tcBorders>
        <w:shd w:val="clear" w:color="auto" w:fill="EFD3D2"/>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Sfondochiaro-Colore2">
    <w:name w:val="Light Shading Accent 2"/>
    <w:basedOn w:val="Tabellanormale"/>
    <w:uiPriority w:val="99"/>
    <w:rsid w:val="00D43B1E"/>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Elencochiaro-Colore2">
    <w:name w:val="Light List Accent 2"/>
    <w:basedOn w:val="Tabellanormale"/>
    <w:uiPriority w:val="99"/>
    <w:rsid w:val="00D43B1E"/>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styleId="Sfondomedio2-Colore6">
    <w:name w:val="Medium Shading 2 Accent 6"/>
    <w:basedOn w:val="Tabellanormale"/>
    <w:uiPriority w:val="99"/>
    <w:rsid w:val="00D43B1E"/>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Times New Roman"/>
        <w:b/>
        <w:bCs/>
        <w:color w:val="FFFFFF"/>
      </w:rPr>
      <w:tblPr/>
      <w:tcPr>
        <w:tcBorders>
          <w:left w:val="nil"/>
          <w:right w:val="nil"/>
          <w:insideH w:val="nil"/>
          <w:insideV w:val="nil"/>
        </w:tcBorders>
        <w:shd w:val="clear" w:color="auto" w:fill="F7964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99"/>
    <w:rsid w:val="00D43B1E"/>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C0504D"/>
      </w:tcPr>
    </w:tblStylePr>
    <w:tblStylePr w:type="lastCol">
      <w:rPr>
        <w:rFonts w:cs="Times New Roman"/>
        <w:b/>
        <w:bCs/>
        <w:color w:val="FFFFFF"/>
      </w:rPr>
      <w:tblPr/>
      <w:tcPr>
        <w:tcBorders>
          <w:left w:val="nil"/>
          <w:right w:val="nil"/>
          <w:insideH w:val="nil"/>
          <w:insideV w:val="nil"/>
        </w:tcBorders>
        <w:shd w:val="clear" w:color="auto" w:fill="C0504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Grigliamedia2-Colore6">
    <w:name w:val="Medium Grid 2 Accent 6"/>
    <w:basedOn w:val="Tabellanormale"/>
    <w:uiPriority w:val="99"/>
    <w:rsid w:val="00D43B1E"/>
    <w:rPr>
      <w:rFonts w:ascii="Cambria" w:eastAsia="MS ????" w:hAnsi="Cambria"/>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rFonts w:cs="Times New Roman"/>
        <w:b/>
        <w:bCs/>
        <w:color w:val="000000"/>
      </w:rPr>
      <w:tblPr/>
      <w:tcPr>
        <w:shd w:val="clear" w:color="auto" w:fill="FEF4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DE9D9"/>
      </w:tcPr>
    </w:tblStylePr>
    <w:tblStylePr w:type="band1Vert">
      <w:rPr>
        <w:rFonts w:cs="Times New Roman"/>
      </w:rPr>
      <w:tblPr/>
      <w:tcPr>
        <w:shd w:val="clear" w:color="auto" w:fill="FBCAA2"/>
      </w:tcPr>
    </w:tblStylePr>
    <w:tblStylePr w:type="band1Horz">
      <w:rPr>
        <w:rFonts w:cs="Times New Roman"/>
      </w:rPr>
      <w:tblPr/>
      <w:tcPr>
        <w:tcBorders>
          <w:insideH w:val="single" w:sz="6" w:space="0" w:color="F79646"/>
          <w:insideV w:val="single" w:sz="6" w:space="0" w:color="F79646"/>
        </w:tcBorders>
        <w:shd w:val="clear" w:color="auto" w:fill="FBCAA2"/>
      </w:tcPr>
    </w:tblStylePr>
    <w:tblStylePr w:type="nwCell">
      <w:rPr>
        <w:rFonts w:cs="Times New Roman"/>
      </w:rPr>
      <w:tblPr/>
      <w:tcPr>
        <w:shd w:val="clear" w:color="auto" w:fill="FFFFFF"/>
      </w:tcPr>
    </w:tblStylePr>
  </w:style>
  <w:style w:type="table" w:styleId="Grigliamedia2-Colore2">
    <w:name w:val="Medium Grid 2 Accent 2"/>
    <w:basedOn w:val="Tabellanormale"/>
    <w:uiPriority w:val="99"/>
    <w:rsid w:val="00D43B1E"/>
    <w:rPr>
      <w:rFonts w:ascii="Cambria" w:eastAsia="MS ????" w:hAnsi="Cambria"/>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rFonts w:cs="Times New Roman"/>
        <w:b/>
        <w:bCs/>
        <w:color w:val="000000"/>
      </w:rPr>
      <w:tblPr/>
      <w:tcPr>
        <w:shd w:val="clear" w:color="auto" w:fill="F8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2DBDB"/>
      </w:tcPr>
    </w:tblStylePr>
    <w:tblStylePr w:type="band1Vert">
      <w:rPr>
        <w:rFonts w:cs="Times New Roman"/>
      </w:rPr>
      <w:tblPr/>
      <w:tcPr>
        <w:shd w:val="clear" w:color="auto" w:fill="DFA7A6"/>
      </w:tcPr>
    </w:tblStylePr>
    <w:tblStylePr w:type="band1Horz">
      <w:rPr>
        <w:rFonts w:cs="Times New Roman"/>
      </w:rPr>
      <w:tblPr/>
      <w:tcPr>
        <w:tcBorders>
          <w:insideH w:val="single" w:sz="6" w:space="0" w:color="C0504D"/>
          <w:insideV w:val="single" w:sz="6" w:space="0" w:color="C0504D"/>
        </w:tcBorders>
        <w:shd w:val="clear" w:color="auto" w:fill="DFA7A6"/>
      </w:tcPr>
    </w:tblStylePr>
    <w:tblStylePr w:type="nwCell">
      <w:rPr>
        <w:rFonts w:cs="Times New Roman"/>
      </w:rPr>
      <w:tblPr/>
      <w:tcPr>
        <w:shd w:val="clear" w:color="auto" w:fill="FFFFFF"/>
      </w:tcPr>
    </w:tblStylePr>
  </w:style>
  <w:style w:type="table" w:styleId="Sfondoacolori-Colore1">
    <w:name w:val="Colorful Shading Accent 1"/>
    <w:basedOn w:val="Tabellanormale"/>
    <w:uiPriority w:val="99"/>
    <w:rsid w:val="000146EE"/>
    <w:rPr>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ColorfulShading1">
    <w:name w:val="Colorful Shading1"/>
    <w:uiPriority w:val="99"/>
    <w:rsid w:val="000146EE"/>
    <w:rPr>
      <w:color w:val="000000"/>
      <w:sz w:val="20"/>
      <w:szCs w:val="2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styleId="Grigliaacolori-Colore2">
    <w:name w:val="Colorful Grid Accent 2"/>
    <w:basedOn w:val="Tabellanormale"/>
    <w:uiPriority w:val="99"/>
    <w:rsid w:val="000146EE"/>
    <w:rPr>
      <w:color w:val="000000"/>
      <w:sz w:val="20"/>
      <w:szCs w:val="20"/>
    </w:rPr>
    <w:tblPr>
      <w:tblStyleRowBandSize w:val="1"/>
      <w:tblStyleColBandSize w:val="1"/>
      <w:tblBorders>
        <w:insideH w:val="single" w:sz="4" w:space="0" w:color="FFFFFF"/>
      </w:tblBorders>
    </w:tblPr>
    <w:tcPr>
      <w:shd w:val="clear" w:color="auto" w:fill="F2DBDB"/>
    </w:tcPr>
    <w:tblStylePr w:type="firstRow">
      <w:rPr>
        <w:rFonts w:cs="Times New Roman"/>
        <w:b/>
        <w:bCs/>
      </w:rPr>
      <w:tblPr/>
      <w:tcPr>
        <w:shd w:val="clear" w:color="auto" w:fill="E5B8B7"/>
      </w:tcPr>
    </w:tblStylePr>
    <w:tblStylePr w:type="lastRow">
      <w:rPr>
        <w:rFonts w:cs="Times New Roman"/>
        <w:b/>
        <w:bCs/>
        <w:color w:val="000000"/>
      </w:rPr>
      <w:tblPr/>
      <w:tcPr>
        <w:shd w:val="clear" w:color="auto" w:fill="E5B8B7"/>
      </w:tcPr>
    </w:tblStylePr>
    <w:tblStylePr w:type="firstCol">
      <w:rPr>
        <w:rFonts w:cs="Times New Roman"/>
        <w:color w:val="FFFFFF"/>
      </w:rPr>
      <w:tblPr/>
      <w:tcPr>
        <w:shd w:val="clear" w:color="auto" w:fill="943634"/>
      </w:tcPr>
    </w:tblStylePr>
    <w:tblStylePr w:type="lastCol">
      <w:rPr>
        <w:rFonts w:cs="Times New Roman"/>
        <w:color w:val="FFFFFF"/>
      </w:rPr>
      <w:tblPr/>
      <w:tcPr>
        <w:shd w:val="clear" w:color="auto" w:fill="943634"/>
      </w:tcPr>
    </w:tblStylePr>
    <w:tblStylePr w:type="band1Vert">
      <w:rPr>
        <w:rFonts w:cs="Times New Roman"/>
      </w:rPr>
      <w:tblPr/>
      <w:tcPr>
        <w:shd w:val="clear" w:color="auto" w:fill="DFA7A6"/>
      </w:tcPr>
    </w:tblStylePr>
    <w:tblStylePr w:type="band1Horz">
      <w:rPr>
        <w:rFonts w:cs="Times New Roman"/>
      </w:rPr>
      <w:tblPr/>
      <w:tcPr>
        <w:shd w:val="clear" w:color="auto" w:fill="DFA7A6"/>
      </w:tcPr>
    </w:tblStylePr>
  </w:style>
  <w:style w:type="table" w:styleId="Elencoscuro-Colore2">
    <w:name w:val="Dark List Accent 2"/>
    <w:basedOn w:val="Tabellanormale"/>
    <w:uiPriority w:val="99"/>
    <w:rsid w:val="000146EE"/>
    <w:rPr>
      <w:color w:val="FFFFFF"/>
      <w:sz w:val="20"/>
      <w:szCs w:val="20"/>
    </w:rPr>
    <w:tblPr>
      <w:tblStyleRowBandSize w:val="1"/>
      <w:tblStyleColBandSize w:val="1"/>
    </w:tblPr>
    <w:tcPr>
      <w:shd w:val="clear" w:color="auto" w:fill="C0504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22423"/>
      </w:tcPr>
    </w:tblStylePr>
    <w:tblStylePr w:type="firstCol">
      <w:rPr>
        <w:rFonts w:cs="Times New Roman"/>
      </w:rPr>
      <w:tblPr/>
      <w:tcPr>
        <w:tcBorders>
          <w:top w:val="nil"/>
          <w:left w:val="nil"/>
          <w:bottom w:val="nil"/>
          <w:right w:val="single" w:sz="18" w:space="0" w:color="FFFFFF"/>
          <w:insideH w:val="nil"/>
          <w:insideV w:val="nil"/>
        </w:tcBorders>
        <w:shd w:val="clear" w:color="auto" w:fill="943634"/>
      </w:tcPr>
    </w:tblStylePr>
    <w:tblStylePr w:type="lastCol">
      <w:rPr>
        <w:rFonts w:cs="Times New Roman"/>
      </w:rPr>
      <w:tblPr/>
      <w:tcPr>
        <w:tcBorders>
          <w:top w:val="nil"/>
          <w:left w:val="single" w:sz="18" w:space="0" w:color="FFFFFF"/>
          <w:bottom w:val="nil"/>
          <w:right w:val="nil"/>
          <w:insideH w:val="nil"/>
          <w:insideV w:val="nil"/>
        </w:tcBorders>
        <w:shd w:val="clear" w:color="auto" w:fill="943634"/>
      </w:tcPr>
    </w:tblStylePr>
    <w:tblStylePr w:type="band1Vert">
      <w:rPr>
        <w:rFonts w:cs="Times New Roman"/>
      </w:rPr>
      <w:tblPr/>
      <w:tcPr>
        <w:tcBorders>
          <w:top w:val="nil"/>
          <w:left w:val="nil"/>
          <w:bottom w:val="nil"/>
          <w:right w:val="nil"/>
          <w:insideH w:val="nil"/>
          <w:insideV w:val="nil"/>
        </w:tcBorders>
        <w:shd w:val="clear" w:color="auto" w:fill="943634"/>
      </w:tcPr>
    </w:tblStylePr>
    <w:tblStylePr w:type="band1Horz">
      <w:rPr>
        <w:rFonts w:cs="Times New Roman"/>
      </w:rPr>
      <w:tblPr/>
      <w:tcPr>
        <w:tcBorders>
          <w:top w:val="nil"/>
          <w:left w:val="nil"/>
          <w:bottom w:val="nil"/>
          <w:right w:val="nil"/>
          <w:insideH w:val="nil"/>
          <w:insideV w:val="nil"/>
        </w:tcBorders>
        <w:shd w:val="clear" w:color="auto" w:fill="943634"/>
      </w:tcPr>
    </w:tblStylePr>
  </w:style>
  <w:style w:type="table" w:styleId="Grigliamedia3-Colore2">
    <w:name w:val="Medium Grid 3 Accent 2"/>
    <w:basedOn w:val="Tabellanormale"/>
    <w:uiPriority w:val="99"/>
    <w:rsid w:val="000146EE"/>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Corpotesto">
    <w:name w:val="Body Text"/>
    <w:basedOn w:val="Normale"/>
    <w:link w:val="CorpotestoCarattere"/>
    <w:uiPriority w:val="99"/>
    <w:rsid w:val="00A35A6D"/>
    <w:pPr>
      <w:spacing w:line="480" w:lineRule="auto"/>
      <w:jc w:val="center"/>
    </w:pPr>
    <w:rPr>
      <w:b/>
      <w:bCs/>
      <w:sz w:val="36"/>
    </w:rPr>
  </w:style>
  <w:style w:type="character" w:customStyle="1" w:styleId="CorpotestoCarattere">
    <w:name w:val="Corpo testo Carattere"/>
    <w:basedOn w:val="Carpredefinitoparagrafo"/>
    <w:link w:val="Corpotesto"/>
    <w:uiPriority w:val="99"/>
    <w:locked/>
    <w:rsid w:val="00A35A6D"/>
    <w:rPr>
      <w:rFonts w:ascii="Times New Roman" w:hAnsi="Times New Roman" w:cs="Times New Roman"/>
      <w:b/>
      <w:bCs/>
      <w:sz w:val="24"/>
      <w:szCs w:val="24"/>
    </w:rPr>
  </w:style>
  <w:style w:type="character" w:styleId="Rimandocommento">
    <w:name w:val="annotation reference"/>
    <w:basedOn w:val="Carpredefinitoparagrafo"/>
    <w:uiPriority w:val="99"/>
    <w:semiHidden/>
    <w:rsid w:val="0078171C"/>
    <w:rPr>
      <w:rFonts w:cs="Times New Roman"/>
      <w:sz w:val="18"/>
      <w:szCs w:val="18"/>
    </w:rPr>
  </w:style>
  <w:style w:type="paragraph" w:styleId="Testocommento">
    <w:name w:val="annotation text"/>
    <w:basedOn w:val="Normale"/>
    <w:link w:val="TestocommentoCarattere"/>
    <w:uiPriority w:val="99"/>
    <w:semiHidden/>
    <w:rsid w:val="0078171C"/>
  </w:style>
  <w:style w:type="character" w:customStyle="1" w:styleId="TestocommentoCarattere">
    <w:name w:val="Testo commento Carattere"/>
    <w:basedOn w:val="Carpredefinitoparagrafo"/>
    <w:link w:val="Testocommento"/>
    <w:uiPriority w:val="99"/>
    <w:semiHidden/>
    <w:locked/>
    <w:rsid w:val="0078171C"/>
    <w:rPr>
      <w:rFonts w:cs="Times New Roman"/>
      <w:sz w:val="24"/>
      <w:szCs w:val="24"/>
    </w:rPr>
  </w:style>
  <w:style w:type="paragraph" w:styleId="Soggettocommento">
    <w:name w:val="annotation subject"/>
    <w:basedOn w:val="Testocommento"/>
    <w:next w:val="Testocommento"/>
    <w:link w:val="SoggettocommentoCarattere"/>
    <w:uiPriority w:val="99"/>
    <w:semiHidden/>
    <w:rsid w:val="0078171C"/>
    <w:rPr>
      <w:b/>
      <w:bCs/>
      <w:sz w:val="20"/>
      <w:szCs w:val="20"/>
    </w:rPr>
  </w:style>
  <w:style w:type="character" w:customStyle="1" w:styleId="SoggettocommentoCarattere">
    <w:name w:val="Soggetto commento Carattere"/>
    <w:basedOn w:val="TestocommentoCarattere"/>
    <w:link w:val="Soggettocommento"/>
    <w:uiPriority w:val="99"/>
    <w:semiHidden/>
    <w:locked/>
    <w:rsid w:val="0078171C"/>
    <w:rPr>
      <w:rFonts w:cs="Times New Roman"/>
      <w:b/>
      <w:bCs/>
      <w:sz w:val="20"/>
      <w:szCs w:val="20"/>
    </w:rPr>
  </w:style>
  <w:style w:type="paragraph" w:styleId="Testofumetto">
    <w:name w:val="Balloon Text"/>
    <w:basedOn w:val="Normale"/>
    <w:link w:val="TestofumettoCarattere"/>
    <w:uiPriority w:val="99"/>
    <w:semiHidden/>
    <w:rsid w:val="0078171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locked/>
    <w:rsid w:val="0078171C"/>
    <w:rPr>
      <w:rFonts w:ascii="Lucida Grande" w:hAnsi="Lucida Grande" w:cs="Lucida Grande"/>
      <w:sz w:val="18"/>
      <w:szCs w:val="18"/>
    </w:rPr>
  </w:style>
  <w:style w:type="paragraph" w:styleId="Revisione">
    <w:name w:val="Revision"/>
    <w:hidden/>
    <w:uiPriority w:val="99"/>
    <w:semiHidden/>
    <w:rsid w:val="00402898"/>
  </w:style>
  <w:style w:type="character" w:styleId="Collegamentovisitato">
    <w:name w:val="FollowedHyperlink"/>
    <w:basedOn w:val="Carpredefinitoparagrafo"/>
    <w:uiPriority w:val="99"/>
    <w:semiHidden/>
    <w:rsid w:val="00245754"/>
    <w:rPr>
      <w:rFonts w:cs="Times New Roman"/>
      <w:color w:val="800080"/>
      <w:u w:val="single"/>
    </w:rPr>
  </w:style>
  <w:style w:type="paragraph" w:styleId="Intestazione">
    <w:name w:val="header"/>
    <w:basedOn w:val="Normale"/>
    <w:link w:val="IntestazioneCarattere"/>
    <w:uiPriority w:val="99"/>
    <w:rsid w:val="006D0356"/>
    <w:pPr>
      <w:tabs>
        <w:tab w:val="center" w:pos="4819"/>
        <w:tab w:val="right" w:pos="9638"/>
      </w:tabs>
    </w:pPr>
  </w:style>
  <w:style w:type="character" w:customStyle="1" w:styleId="IntestazioneCarattere">
    <w:name w:val="Intestazione Carattere"/>
    <w:basedOn w:val="Carpredefinitoparagrafo"/>
    <w:link w:val="Intestazione"/>
    <w:uiPriority w:val="99"/>
    <w:locked/>
    <w:rsid w:val="006D0356"/>
    <w:rPr>
      <w:rFonts w:cs="Times New Roman"/>
    </w:rPr>
  </w:style>
  <w:style w:type="paragraph" w:styleId="Pidipagina">
    <w:name w:val="footer"/>
    <w:basedOn w:val="Normale"/>
    <w:link w:val="PidipaginaCarattere"/>
    <w:uiPriority w:val="99"/>
    <w:rsid w:val="006D0356"/>
    <w:pPr>
      <w:tabs>
        <w:tab w:val="center" w:pos="4819"/>
        <w:tab w:val="right" w:pos="9638"/>
      </w:tabs>
    </w:pPr>
  </w:style>
  <w:style w:type="character" w:customStyle="1" w:styleId="PidipaginaCarattere">
    <w:name w:val="Piè di pagina Carattere"/>
    <w:basedOn w:val="Carpredefinitoparagrafo"/>
    <w:link w:val="Pidipagina"/>
    <w:uiPriority w:val="99"/>
    <w:locked/>
    <w:rsid w:val="006D0356"/>
    <w:rPr>
      <w:rFonts w:cs="Times New Roman"/>
    </w:rPr>
  </w:style>
  <w:style w:type="character" w:styleId="Numeropagina">
    <w:name w:val="page number"/>
    <w:basedOn w:val="Carpredefinitoparagrafo"/>
    <w:uiPriority w:val="99"/>
    <w:semiHidden/>
    <w:unhideWhenUsed/>
    <w:rsid w:val="0061676D"/>
  </w:style>
  <w:style w:type="paragraph" w:customStyle="1" w:styleId="paragraph0">
    <w:name w:val="paragraph"/>
    <w:basedOn w:val="Normale"/>
    <w:rsid w:val="00715167"/>
    <w:pPr>
      <w:spacing w:before="100" w:beforeAutospacing="1" w:after="100" w:afterAutospacing="1"/>
    </w:pPr>
    <w:rPr>
      <w:lang w:val="en-GB" w:eastAsia="en-GB"/>
    </w:rPr>
  </w:style>
  <w:style w:type="character" w:customStyle="1" w:styleId="normaltextrun">
    <w:name w:val="normaltextrun"/>
    <w:basedOn w:val="Carpredefinitoparagrafo"/>
    <w:rsid w:val="00715167"/>
  </w:style>
  <w:style w:type="character" w:customStyle="1" w:styleId="eop">
    <w:name w:val="eop"/>
    <w:basedOn w:val="Carpredefinitoparagrafo"/>
    <w:rsid w:val="00715167"/>
  </w:style>
  <w:style w:type="character" w:customStyle="1" w:styleId="spellingerror">
    <w:name w:val="spellingerror"/>
    <w:basedOn w:val="Carpredefinitoparagrafo"/>
    <w:rsid w:val="00715167"/>
  </w:style>
  <w:style w:type="character" w:styleId="Testosegnaposto">
    <w:name w:val="Placeholder Text"/>
    <w:basedOn w:val="Carpredefinitoparagrafo"/>
    <w:uiPriority w:val="99"/>
    <w:semiHidden/>
    <w:rsid w:val="006B00EA"/>
    <w:rPr>
      <w:color w:val="808080"/>
    </w:rPr>
  </w:style>
  <w:style w:type="paragraph" w:styleId="PreformattatoHTML">
    <w:name w:val="HTML Preformatted"/>
    <w:basedOn w:val="Normale"/>
    <w:link w:val="PreformattatoHTMLCarattere"/>
    <w:uiPriority w:val="99"/>
    <w:unhideWhenUsed/>
    <w:rsid w:val="00B74A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PreformattatoHTMLCarattere">
    <w:name w:val="Preformattato HTML Carattere"/>
    <w:basedOn w:val="Carpredefinitoparagrafo"/>
    <w:link w:val="PreformattatoHTML"/>
    <w:uiPriority w:val="99"/>
    <w:rsid w:val="00B74A9A"/>
    <w:rPr>
      <w:rFonts w:ascii="Courier New" w:hAnsi="Courier New" w:cs="Courier New"/>
      <w:sz w:val="20"/>
      <w:szCs w:val="20"/>
      <w:lang w:val="en-GB" w:eastAsia="en-GB"/>
    </w:rPr>
  </w:style>
  <w:style w:type="paragraph" w:styleId="Sottotitolo">
    <w:name w:val="Subtitle"/>
    <w:basedOn w:val="Normale"/>
    <w:next w:val="Normale"/>
    <w:link w:val="SottotitoloCarattere"/>
    <w:qFormat/>
    <w:locked/>
    <w:rsid w:val="00654634"/>
    <w:pPr>
      <w:numPr>
        <w:ilvl w:val="1"/>
      </w:numPr>
    </w:pPr>
    <w:rPr>
      <w:rFonts w:asciiTheme="majorHAnsi" w:eastAsiaTheme="majorEastAsia" w:hAnsiTheme="majorHAnsi" w:cstheme="majorBidi"/>
      <w:i/>
      <w:iCs/>
      <w:color w:val="4F81BD" w:themeColor="accent1"/>
      <w:spacing w:val="15"/>
    </w:rPr>
  </w:style>
  <w:style w:type="character" w:customStyle="1" w:styleId="SottotitoloCarattere">
    <w:name w:val="Sottotitolo Carattere"/>
    <w:basedOn w:val="Carpredefinitoparagrafo"/>
    <w:link w:val="Sottotitolo"/>
    <w:rsid w:val="00654634"/>
    <w:rPr>
      <w:rFonts w:asciiTheme="majorHAnsi" w:eastAsiaTheme="majorEastAsia" w:hAnsiTheme="majorHAnsi" w:cstheme="majorBidi"/>
      <w:i/>
      <w:iCs/>
      <w:color w:val="4F81BD" w:themeColor="accent1"/>
      <w:spacing w:val="15"/>
      <w:sz w:val="24"/>
      <w:szCs w:val="24"/>
    </w:rPr>
  </w:style>
  <w:style w:type="table" w:customStyle="1" w:styleId="Grigliatabella1">
    <w:name w:val="Griglia tabella1"/>
    <w:basedOn w:val="Tabellanormale"/>
    <w:next w:val="Grigliatabella"/>
    <w:uiPriority w:val="59"/>
    <w:rsid w:val="00D84D58"/>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C2310C"/>
    <w:rPr>
      <w:color w:val="605E5C"/>
      <w:shd w:val="clear" w:color="auto" w:fill="E1DFDD"/>
    </w:rPr>
  </w:style>
  <w:style w:type="character" w:customStyle="1" w:styleId="Menzionenonrisolta2">
    <w:name w:val="Menzione non risolta2"/>
    <w:basedOn w:val="Carpredefinitoparagrafo"/>
    <w:uiPriority w:val="99"/>
    <w:semiHidden/>
    <w:unhideWhenUsed/>
    <w:rsid w:val="009A06B2"/>
    <w:rPr>
      <w:color w:val="605E5C"/>
      <w:shd w:val="clear" w:color="auto" w:fill="E1DFDD"/>
    </w:rPr>
  </w:style>
  <w:style w:type="character" w:customStyle="1" w:styleId="UnresolvedMention1">
    <w:name w:val="Unresolved Mention1"/>
    <w:basedOn w:val="Carpredefinitoparagrafo"/>
    <w:uiPriority w:val="99"/>
    <w:semiHidden/>
    <w:unhideWhenUsed/>
    <w:rsid w:val="00853750"/>
    <w:rPr>
      <w:color w:val="605E5C"/>
      <w:shd w:val="clear" w:color="auto" w:fill="E1DFDD"/>
    </w:rPr>
  </w:style>
  <w:style w:type="paragraph" w:styleId="Testodelblocco">
    <w:name w:val="Block Text"/>
    <w:basedOn w:val="Normale"/>
    <w:rsid w:val="00E90BDD"/>
    <w:pPr>
      <w:widowControl w:val="0"/>
      <w:tabs>
        <w:tab w:val="left" w:pos="-720"/>
      </w:tabs>
      <w:suppressAutoHyphens/>
      <w:ind w:left="3330" w:right="-288" w:hanging="180"/>
    </w:pPr>
    <w:rPr>
      <w:rFonts w:eastAsia="MS Mincho"/>
      <w:b/>
      <w:bCs/>
      <w:sz w:val="20"/>
      <w:szCs w:val="20"/>
      <w:lang w:val="en-US" w:eastAsia="en-US"/>
    </w:rPr>
  </w:style>
  <w:style w:type="character" w:customStyle="1" w:styleId="Menzionenonrisolta3">
    <w:name w:val="Menzione non risolta3"/>
    <w:basedOn w:val="Carpredefinitoparagrafo"/>
    <w:uiPriority w:val="99"/>
    <w:semiHidden/>
    <w:unhideWhenUsed/>
    <w:rsid w:val="00795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07972">
      <w:bodyDiv w:val="1"/>
      <w:marLeft w:val="0"/>
      <w:marRight w:val="0"/>
      <w:marTop w:val="0"/>
      <w:marBottom w:val="0"/>
      <w:divBdr>
        <w:top w:val="none" w:sz="0" w:space="0" w:color="auto"/>
        <w:left w:val="none" w:sz="0" w:space="0" w:color="auto"/>
        <w:bottom w:val="none" w:sz="0" w:space="0" w:color="auto"/>
        <w:right w:val="none" w:sz="0" w:space="0" w:color="auto"/>
      </w:divBdr>
      <w:divsChild>
        <w:div w:id="1694568744">
          <w:marLeft w:val="0"/>
          <w:marRight w:val="0"/>
          <w:marTop w:val="0"/>
          <w:marBottom w:val="0"/>
          <w:divBdr>
            <w:top w:val="none" w:sz="0" w:space="0" w:color="auto"/>
            <w:left w:val="none" w:sz="0" w:space="0" w:color="auto"/>
            <w:bottom w:val="none" w:sz="0" w:space="0" w:color="auto"/>
            <w:right w:val="none" w:sz="0" w:space="0" w:color="auto"/>
          </w:divBdr>
        </w:div>
        <w:div w:id="1085030414">
          <w:marLeft w:val="0"/>
          <w:marRight w:val="0"/>
          <w:marTop w:val="0"/>
          <w:marBottom w:val="0"/>
          <w:divBdr>
            <w:top w:val="none" w:sz="0" w:space="0" w:color="auto"/>
            <w:left w:val="none" w:sz="0" w:space="0" w:color="auto"/>
            <w:bottom w:val="none" w:sz="0" w:space="0" w:color="auto"/>
            <w:right w:val="none" w:sz="0" w:space="0" w:color="auto"/>
          </w:divBdr>
        </w:div>
        <w:div w:id="1816945040">
          <w:marLeft w:val="0"/>
          <w:marRight w:val="0"/>
          <w:marTop w:val="0"/>
          <w:marBottom w:val="0"/>
          <w:divBdr>
            <w:top w:val="none" w:sz="0" w:space="0" w:color="auto"/>
            <w:left w:val="none" w:sz="0" w:space="0" w:color="auto"/>
            <w:bottom w:val="none" w:sz="0" w:space="0" w:color="auto"/>
            <w:right w:val="none" w:sz="0" w:space="0" w:color="auto"/>
          </w:divBdr>
        </w:div>
        <w:div w:id="1695813268">
          <w:marLeft w:val="0"/>
          <w:marRight w:val="0"/>
          <w:marTop w:val="0"/>
          <w:marBottom w:val="0"/>
          <w:divBdr>
            <w:top w:val="none" w:sz="0" w:space="0" w:color="auto"/>
            <w:left w:val="none" w:sz="0" w:space="0" w:color="auto"/>
            <w:bottom w:val="none" w:sz="0" w:space="0" w:color="auto"/>
            <w:right w:val="none" w:sz="0" w:space="0" w:color="auto"/>
          </w:divBdr>
        </w:div>
        <w:div w:id="1634411115">
          <w:marLeft w:val="0"/>
          <w:marRight w:val="0"/>
          <w:marTop w:val="0"/>
          <w:marBottom w:val="0"/>
          <w:divBdr>
            <w:top w:val="none" w:sz="0" w:space="0" w:color="auto"/>
            <w:left w:val="none" w:sz="0" w:space="0" w:color="auto"/>
            <w:bottom w:val="none" w:sz="0" w:space="0" w:color="auto"/>
            <w:right w:val="none" w:sz="0" w:space="0" w:color="auto"/>
          </w:divBdr>
        </w:div>
        <w:div w:id="1728533987">
          <w:marLeft w:val="0"/>
          <w:marRight w:val="0"/>
          <w:marTop w:val="0"/>
          <w:marBottom w:val="0"/>
          <w:divBdr>
            <w:top w:val="none" w:sz="0" w:space="0" w:color="auto"/>
            <w:left w:val="none" w:sz="0" w:space="0" w:color="auto"/>
            <w:bottom w:val="none" w:sz="0" w:space="0" w:color="auto"/>
            <w:right w:val="none" w:sz="0" w:space="0" w:color="auto"/>
          </w:divBdr>
        </w:div>
        <w:div w:id="422991673">
          <w:marLeft w:val="0"/>
          <w:marRight w:val="0"/>
          <w:marTop w:val="0"/>
          <w:marBottom w:val="0"/>
          <w:divBdr>
            <w:top w:val="none" w:sz="0" w:space="0" w:color="auto"/>
            <w:left w:val="none" w:sz="0" w:space="0" w:color="auto"/>
            <w:bottom w:val="none" w:sz="0" w:space="0" w:color="auto"/>
            <w:right w:val="none" w:sz="0" w:space="0" w:color="auto"/>
          </w:divBdr>
        </w:div>
        <w:div w:id="1035352228">
          <w:marLeft w:val="0"/>
          <w:marRight w:val="0"/>
          <w:marTop w:val="0"/>
          <w:marBottom w:val="0"/>
          <w:divBdr>
            <w:top w:val="none" w:sz="0" w:space="0" w:color="auto"/>
            <w:left w:val="none" w:sz="0" w:space="0" w:color="auto"/>
            <w:bottom w:val="none" w:sz="0" w:space="0" w:color="auto"/>
            <w:right w:val="none" w:sz="0" w:space="0" w:color="auto"/>
          </w:divBdr>
        </w:div>
        <w:div w:id="303169569">
          <w:marLeft w:val="0"/>
          <w:marRight w:val="0"/>
          <w:marTop w:val="0"/>
          <w:marBottom w:val="0"/>
          <w:divBdr>
            <w:top w:val="none" w:sz="0" w:space="0" w:color="auto"/>
            <w:left w:val="none" w:sz="0" w:space="0" w:color="auto"/>
            <w:bottom w:val="none" w:sz="0" w:space="0" w:color="auto"/>
            <w:right w:val="none" w:sz="0" w:space="0" w:color="auto"/>
          </w:divBdr>
        </w:div>
        <w:div w:id="2107923640">
          <w:marLeft w:val="0"/>
          <w:marRight w:val="0"/>
          <w:marTop w:val="0"/>
          <w:marBottom w:val="0"/>
          <w:divBdr>
            <w:top w:val="none" w:sz="0" w:space="0" w:color="auto"/>
            <w:left w:val="none" w:sz="0" w:space="0" w:color="auto"/>
            <w:bottom w:val="none" w:sz="0" w:space="0" w:color="auto"/>
            <w:right w:val="none" w:sz="0" w:space="0" w:color="auto"/>
          </w:divBdr>
        </w:div>
        <w:div w:id="677659726">
          <w:marLeft w:val="0"/>
          <w:marRight w:val="0"/>
          <w:marTop w:val="0"/>
          <w:marBottom w:val="0"/>
          <w:divBdr>
            <w:top w:val="none" w:sz="0" w:space="0" w:color="auto"/>
            <w:left w:val="none" w:sz="0" w:space="0" w:color="auto"/>
            <w:bottom w:val="none" w:sz="0" w:space="0" w:color="auto"/>
            <w:right w:val="none" w:sz="0" w:space="0" w:color="auto"/>
          </w:divBdr>
        </w:div>
        <w:div w:id="332681231">
          <w:marLeft w:val="0"/>
          <w:marRight w:val="0"/>
          <w:marTop w:val="0"/>
          <w:marBottom w:val="0"/>
          <w:divBdr>
            <w:top w:val="none" w:sz="0" w:space="0" w:color="auto"/>
            <w:left w:val="none" w:sz="0" w:space="0" w:color="auto"/>
            <w:bottom w:val="none" w:sz="0" w:space="0" w:color="auto"/>
            <w:right w:val="none" w:sz="0" w:space="0" w:color="auto"/>
          </w:divBdr>
        </w:div>
        <w:div w:id="9185606">
          <w:marLeft w:val="0"/>
          <w:marRight w:val="0"/>
          <w:marTop w:val="0"/>
          <w:marBottom w:val="0"/>
          <w:divBdr>
            <w:top w:val="none" w:sz="0" w:space="0" w:color="auto"/>
            <w:left w:val="none" w:sz="0" w:space="0" w:color="auto"/>
            <w:bottom w:val="none" w:sz="0" w:space="0" w:color="auto"/>
            <w:right w:val="none" w:sz="0" w:space="0" w:color="auto"/>
          </w:divBdr>
        </w:div>
        <w:div w:id="1766731564">
          <w:marLeft w:val="0"/>
          <w:marRight w:val="0"/>
          <w:marTop w:val="0"/>
          <w:marBottom w:val="0"/>
          <w:divBdr>
            <w:top w:val="none" w:sz="0" w:space="0" w:color="auto"/>
            <w:left w:val="none" w:sz="0" w:space="0" w:color="auto"/>
            <w:bottom w:val="none" w:sz="0" w:space="0" w:color="auto"/>
            <w:right w:val="none" w:sz="0" w:space="0" w:color="auto"/>
          </w:divBdr>
        </w:div>
        <w:div w:id="916792735">
          <w:marLeft w:val="0"/>
          <w:marRight w:val="0"/>
          <w:marTop w:val="0"/>
          <w:marBottom w:val="0"/>
          <w:divBdr>
            <w:top w:val="none" w:sz="0" w:space="0" w:color="auto"/>
            <w:left w:val="none" w:sz="0" w:space="0" w:color="auto"/>
            <w:bottom w:val="none" w:sz="0" w:space="0" w:color="auto"/>
            <w:right w:val="none" w:sz="0" w:space="0" w:color="auto"/>
          </w:divBdr>
        </w:div>
        <w:div w:id="1692102903">
          <w:marLeft w:val="0"/>
          <w:marRight w:val="0"/>
          <w:marTop w:val="0"/>
          <w:marBottom w:val="0"/>
          <w:divBdr>
            <w:top w:val="none" w:sz="0" w:space="0" w:color="auto"/>
            <w:left w:val="none" w:sz="0" w:space="0" w:color="auto"/>
            <w:bottom w:val="none" w:sz="0" w:space="0" w:color="auto"/>
            <w:right w:val="none" w:sz="0" w:space="0" w:color="auto"/>
          </w:divBdr>
        </w:div>
        <w:div w:id="1516265392">
          <w:marLeft w:val="0"/>
          <w:marRight w:val="0"/>
          <w:marTop w:val="0"/>
          <w:marBottom w:val="0"/>
          <w:divBdr>
            <w:top w:val="none" w:sz="0" w:space="0" w:color="auto"/>
            <w:left w:val="none" w:sz="0" w:space="0" w:color="auto"/>
            <w:bottom w:val="none" w:sz="0" w:space="0" w:color="auto"/>
            <w:right w:val="none" w:sz="0" w:space="0" w:color="auto"/>
          </w:divBdr>
        </w:div>
        <w:div w:id="342634298">
          <w:marLeft w:val="0"/>
          <w:marRight w:val="0"/>
          <w:marTop w:val="0"/>
          <w:marBottom w:val="0"/>
          <w:divBdr>
            <w:top w:val="none" w:sz="0" w:space="0" w:color="auto"/>
            <w:left w:val="none" w:sz="0" w:space="0" w:color="auto"/>
            <w:bottom w:val="none" w:sz="0" w:space="0" w:color="auto"/>
            <w:right w:val="none" w:sz="0" w:space="0" w:color="auto"/>
          </w:divBdr>
        </w:div>
        <w:div w:id="1830516260">
          <w:marLeft w:val="0"/>
          <w:marRight w:val="0"/>
          <w:marTop w:val="0"/>
          <w:marBottom w:val="0"/>
          <w:divBdr>
            <w:top w:val="none" w:sz="0" w:space="0" w:color="auto"/>
            <w:left w:val="none" w:sz="0" w:space="0" w:color="auto"/>
            <w:bottom w:val="none" w:sz="0" w:space="0" w:color="auto"/>
            <w:right w:val="none" w:sz="0" w:space="0" w:color="auto"/>
          </w:divBdr>
        </w:div>
        <w:div w:id="1889612415">
          <w:marLeft w:val="0"/>
          <w:marRight w:val="0"/>
          <w:marTop w:val="0"/>
          <w:marBottom w:val="0"/>
          <w:divBdr>
            <w:top w:val="none" w:sz="0" w:space="0" w:color="auto"/>
            <w:left w:val="none" w:sz="0" w:space="0" w:color="auto"/>
            <w:bottom w:val="none" w:sz="0" w:space="0" w:color="auto"/>
            <w:right w:val="none" w:sz="0" w:space="0" w:color="auto"/>
          </w:divBdr>
        </w:div>
        <w:div w:id="1363748740">
          <w:marLeft w:val="0"/>
          <w:marRight w:val="0"/>
          <w:marTop w:val="0"/>
          <w:marBottom w:val="0"/>
          <w:divBdr>
            <w:top w:val="none" w:sz="0" w:space="0" w:color="auto"/>
            <w:left w:val="none" w:sz="0" w:space="0" w:color="auto"/>
            <w:bottom w:val="none" w:sz="0" w:space="0" w:color="auto"/>
            <w:right w:val="none" w:sz="0" w:space="0" w:color="auto"/>
          </w:divBdr>
        </w:div>
        <w:div w:id="190994138">
          <w:marLeft w:val="0"/>
          <w:marRight w:val="0"/>
          <w:marTop w:val="0"/>
          <w:marBottom w:val="0"/>
          <w:divBdr>
            <w:top w:val="none" w:sz="0" w:space="0" w:color="auto"/>
            <w:left w:val="none" w:sz="0" w:space="0" w:color="auto"/>
            <w:bottom w:val="none" w:sz="0" w:space="0" w:color="auto"/>
            <w:right w:val="none" w:sz="0" w:space="0" w:color="auto"/>
          </w:divBdr>
        </w:div>
      </w:divsChild>
    </w:div>
    <w:div w:id="22677592">
      <w:bodyDiv w:val="1"/>
      <w:marLeft w:val="0"/>
      <w:marRight w:val="0"/>
      <w:marTop w:val="0"/>
      <w:marBottom w:val="0"/>
      <w:divBdr>
        <w:top w:val="none" w:sz="0" w:space="0" w:color="auto"/>
        <w:left w:val="none" w:sz="0" w:space="0" w:color="auto"/>
        <w:bottom w:val="none" w:sz="0" w:space="0" w:color="auto"/>
        <w:right w:val="none" w:sz="0" w:space="0" w:color="auto"/>
      </w:divBdr>
    </w:div>
    <w:div w:id="32775816">
      <w:bodyDiv w:val="1"/>
      <w:marLeft w:val="0"/>
      <w:marRight w:val="0"/>
      <w:marTop w:val="0"/>
      <w:marBottom w:val="0"/>
      <w:divBdr>
        <w:top w:val="none" w:sz="0" w:space="0" w:color="auto"/>
        <w:left w:val="none" w:sz="0" w:space="0" w:color="auto"/>
        <w:bottom w:val="none" w:sz="0" w:space="0" w:color="auto"/>
        <w:right w:val="none" w:sz="0" w:space="0" w:color="auto"/>
      </w:divBdr>
      <w:divsChild>
        <w:div w:id="1030685950">
          <w:marLeft w:val="0"/>
          <w:marRight w:val="0"/>
          <w:marTop w:val="0"/>
          <w:marBottom w:val="0"/>
          <w:divBdr>
            <w:top w:val="none" w:sz="0" w:space="0" w:color="auto"/>
            <w:left w:val="none" w:sz="0" w:space="0" w:color="auto"/>
            <w:bottom w:val="none" w:sz="0" w:space="0" w:color="auto"/>
            <w:right w:val="none" w:sz="0" w:space="0" w:color="auto"/>
          </w:divBdr>
        </w:div>
        <w:div w:id="2072193507">
          <w:marLeft w:val="0"/>
          <w:marRight w:val="0"/>
          <w:marTop w:val="0"/>
          <w:marBottom w:val="0"/>
          <w:divBdr>
            <w:top w:val="none" w:sz="0" w:space="0" w:color="auto"/>
            <w:left w:val="none" w:sz="0" w:space="0" w:color="auto"/>
            <w:bottom w:val="none" w:sz="0" w:space="0" w:color="auto"/>
            <w:right w:val="none" w:sz="0" w:space="0" w:color="auto"/>
          </w:divBdr>
        </w:div>
        <w:div w:id="148131614">
          <w:marLeft w:val="0"/>
          <w:marRight w:val="0"/>
          <w:marTop w:val="0"/>
          <w:marBottom w:val="0"/>
          <w:divBdr>
            <w:top w:val="none" w:sz="0" w:space="0" w:color="auto"/>
            <w:left w:val="none" w:sz="0" w:space="0" w:color="auto"/>
            <w:bottom w:val="none" w:sz="0" w:space="0" w:color="auto"/>
            <w:right w:val="none" w:sz="0" w:space="0" w:color="auto"/>
          </w:divBdr>
        </w:div>
        <w:div w:id="1160196349">
          <w:marLeft w:val="0"/>
          <w:marRight w:val="0"/>
          <w:marTop w:val="0"/>
          <w:marBottom w:val="0"/>
          <w:divBdr>
            <w:top w:val="none" w:sz="0" w:space="0" w:color="auto"/>
            <w:left w:val="none" w:sz="0" w:space="0" w:color="auto"/>
            <w:bottom w:val="none" w:sz="0" w:space="0" w:color="auto"/>
            <w:right w:val="none" w:sz="0" w:space="0" w:color="auto"/>
          </w:divBdr>
        </w:div>
        <w:div w:id="1598829743">
          <w:marLeft w:val="0"/>
          <w:marRight w:val="0"/>
          <w:marTop w:val="0"/>
          <w:marBottom w:val="0"/>
          <w:divBdr>
            <w:top w:val="none" w:sz="0" w:space="0" w:color="auto"/>
            <w:left w:val="none" w:sz="0" w:space="0" w:color="auto"/>
            <w:bottom w:val="none" w:sz="0" w:space="0" w:color="auto"/>
            <w:right w:val="none" w:sz="0" w:space="0" w:color="auto"/>
          </w:divBdr>
        </w:div>
        <w:div w:id="1070470411">
          <w:marLeft w:val="0"/>
          <w:marRight w:val="0"/>
          <w:marTop w:val="0"/>
          <w:marBottom w:val="0"/>
          <w:divBdr>
            <w:top w:val="none" w:sz="0" w:space="0" w:color="auto"/>
            <w:left w:val="none" w:sz="0" w:space="0" w:color="auto"/>
            <w:bottom w:val="none" w:sz="0" w:space="0" w:color="auto"/>
            <w:right w:val="none" w:sz="0" w:space="0" w:color="auto"/>
          </w:divBdr>
        </w:div>
        <w:div w:id="1617180368">
          <w:marLeft w:val="0"/>
          <w:marRight w:val="0"/>
          <w:marTop w:val="0"/>
          <w:marBottom w:val="0"/>
          <w:divBdr>
            <w:top w:val="none" w:sz="0" w:space="0" w:color="auto"/>
            <w:left w:val="none" w:sz="0" w:space="0" w:color="auto"/>
            <w:bottom w:val="none" w:sz="0" w:space="0" w:color="auto"/>
            <w:right w:val="none" w:sz="0" w:space="0" w:color="auto"/>
          </w:divBdr>
        </w:div>
        <w:div w:id="1418289472">
          <w:marLeft w:val="0"/>
          <w:marRight w:val="0"/>
          <w:marTop w:val="0"/>
          <w:marBottom w:val="0"/>
          <w:divBdr>
            <w:top w:val="none" w:sz="0" w:space="0" w:color="auto"/>
            <w:left w:val="none" w:sz="0" w:space="0" w:color="auto"/>
            <w:bottom w:val="none" w:sz="0" w:space="0" w:color="auto"/>
            <w:right w:val="none" w:sz="0" w:space="0" w:color="auto"/>
          </w:divBdr>
        </w:div>
        <w:div w:id="1822698156">
          <w:marLeft w:val="0"/>
          <w:marRight w:val="0"/>
          <w:marTop w:val="0"/>
          <w:marBottom w:val="0"/>
          <w:divBdr>
            <w:top w:val="none" w:sz="0" w:space="0" w:color="auto"/>
            <w:left w:val="none" w:sz="0" w:space="0" w:color="auto"/>
            <w:bottom w:val="none" w:sz="0" w:space="0" w:color="auto"/>
            <w:right w:val="none" w:sz="0" w:space="0" w:color="auto"/>
          </w:divBdr>
        </w:div>
        <w:div w:id="360862008">
          <w:marLeft w:val="0"/>
          <w:marRight w:val="0"/>
          <w:marTop w:val="0"/>
          <w:marBottom w:val="0"/>
          <w:divBdr>
            <w:top w:val="none" w:sz="0" w:space="0" w:color="auto"/>
            <w:left w:val="none" w:sz="0" w:space="0" w:color="auto"/>
            <w:bottom w:val="none" w:sz="0" w:space="0" w:color="auto"/>
            <w:right w:val="none" w:sz="0" w:space="0" w:color="auto"/>
          </w:divBdr>
        </w:div>
        <w:div w:id="2137016618">
          <w:marLeft w:val="0"/>
          <w:marRight w:val="0"/>
          <w:marTop w:val="0"/>
          <w:marBottom w:val="0"/>
          <w:divBdr>
            <w:top w:val="none" w:sz="0" w:space="0" w:color="auto"/>
            <w:left w:val="none" w:sz="0" w:space="0" w:color="auto"/>
            <w:bottom w:val="none" w:sz="0" w:space="0" w:color="auto"/>
            <w:right w:val="none" w:sz="0" w:space="0" w:color="auto"/>
          </w:divBdr>
        </w:div>
        <w:div w:id="1762488472">
          <w:marLeft w:val="0"/>
          <w:marRight w:val="0"/>
          <w:marTop w:val="0"/>
          <w:marBottom w:val="0"/>
          <w:divBdr>
            <w:top w:val="none" w:sz="0" w:space="0" w:color="auto"/>
            <w:left w:val="none" w:sz="0" w:space="0" w:color="auto"/>
            <w:bottom w:val="none" w:sz="0" w:space="0" w:color="auto"/>
            <w:right w:val="none" w:sz="0" w:space="0" w:color="auto"/>
          </w:divBdr>
        </w:div>
        <w:div w:id="278755881">
          <w:marLeft w:val="0"/>
          <w:marRight w:val="0"/>
          <w:marTop w:val="0"/>
          <w:marBottom w:val="0"/>
          <w:divBdr>
            <w:top w:val="none" w:sz="0" w:space="0" w:color="auto"/>
            <w:left w:val="none" w:sz="0" w:space="0" w:color="auto"/>
            <w:bottom w:val="none" w:sz="0" w:space="0" w:color="auto"/>
            <w:right w:val="none" w:sz="0" w:space="0" w:color="auto"/>
          </w:divBdr>
        </w:div>
        <w:div w:id="508183811">
          <w:marLeft w:val="0"/>
          <w:marRight w:val="0"/>
          <w:marTop w:val="0"/>
          <w:marBottom w:val="0"/>
          <w:divBdr>
            <w:top w:val="none" w:sz="0" w:space="0" w:color="auto"/>
            <w:left w:val="none" w:sz="0" w:space="0" w:color="auto"/>
            <w:bottom w:val="none" w:sz="0" w:space="0" w:color="auto"/>
            <w:right w:val="none" w:sz="0" w:space="0" w:color="auto"/>
          </w:divBdr>
        </w:div>
        <w:div w:id="403140797">
          <w:marLeft w:val="0"/>
          <w:marRight w:val="0"/>
          <w:marTop w:val="0"/>
          <w:marBottom w:val="0"/>
          <w:divBdr>
            <w:top w:val="none" w:sz="0" w:space="0" w:color="auto"/>
            <w:left w:val="none" w:sz="0" w:space="0" w:color="auto"/>
            <w:bottom w:val="none" w:sz="0" w:space="0" w:color="auto"/>
            <w:right w:val="none" w:sz="0" w:space="0" w:color="auto"/>
          </w:divBdr>
        </w:div>
        <w:div w:id="501044244">
          <w:marLeft w:val="0"/>
          <w:marRight w:val="0"/>
          <w:marTop w:val="0"/>
          <w:marBottom w:val="0"/>
          <w:divBdr>
            <w:top w:val="none" w:sz="0" w:space="0" w:color="auto"/>
            <w:left w:val="none" w:sz="0" w:space="0" w:color="auto"/>
            <w:bottom w:val="none" w:sz="0" w:space="0" w:color="auto"/>
            <w:right w:val="none" w:sz="0" w:space="0" w:color="auto"/>
          </w:divBdr>
        </w:div>
        <w:div w:id="750465004">
          <w:marLeft w:val="0"/>
          <w:marRight w:val="0"/>
          <w:marTop w:val="0"/>
          <w:marBottom w:val="0"/>
          <w:divBdr>
            <w:top w:val="none" w:sz="0" w:space="0" w:color="auto"/>
            <w:left w:val="none" w:sz="0" w:space="0" w:color="auto"/>
            <w:bottom w:val="none" w:sz="0" w:space="0" w:color="auto"/>
            <w:right w:val="none" w:sz="0" w:space="0" w:color="auto"/>
          </w:divBdr>
        </w:div>
        <w:div w:id="1999652691">
          <w:marLeft w:val="0"/>
          <w:marRight w:val="0"/>
          <w:marTop w:val="0"/>
          <w:marBottom w:val="0"/>
          <w:divBdr>
            <w:top w:val="none" w:sz="0" w:space="0" w:color="auto"/>
            <w:left w:val="none" w:sz="0" w:space="0" w:color="auto"/>
            <w:bottom w:val="none" w:sz="0" w:space="0" w:color="auto"/>
            <w:right w:val="none" w:sz="0" w:space="0" w:color="auto"/>
          </w:divBdr>
        </w:div>
        <w:div w:id="1632248984">
          <w:marLeft w:val="0"/>
          <w:marRight w:val="0"/>
          <w:marTop w:val="0"/>
          <w:marBottom w:val="0"/>
          <w:divBdr>
            <w:top w:val="none" w:sz="0" w:space="0" w:color="auto"/>
            <w:left w:val="none" w:sz="0" w:space="0" w:color="auto"/>
            <w:bottom w:val="none" w:sz="0" w:space="0" w:color="auto"/>
            <w:right w:val="none" w:sz="0" w:space="0" w:color="auto"/>
          </w:divBdr>
        </w:div>
        <w:div w:id="1870875360">
          <w:marLeft w:val="0"/>
          <w:marRight w:val="0"/>
          <w:marTop w:val="0"/>
          <w:marBottom w:val="0"/>
          <w:divBdr>
            <w:top w:val="none" w:sz="0" w:space="0" w:color="auto"/>
            <w:left w:val="none" w:sz="0" w:space="0" w:color="auto"/>
            <w:bottom w:val="none" w:sz="0" w:space="0" w:color="auto"/>
            <w:right w:val="none" w:sz="0" w:space="0" w:color="auto"/>
          </w:divBdr>
        </w:div>
        <w:div w:id="29499442">
          <w:marLeft w:val="0"/>
          <w:marRight w:val="0"/>
          <w:marTop w:val="0"/>
          <w:marBottom w:val="0"/>
          <w:divBdr>
            <w:top w:val="none" w:sz="0" w:space="0" w:color="auto"/>
            <w:left w:val="none" w:sz="0" w:space="0" w:color="auto"/>
            <w:bottom w:val="none" w:sz="0" w:space="0" w:color="auto"/>
            <w:right w:val="none" w:sz="0" w:space="0" w:color="auto"/>
          </w:divBdr>
        </w:div>
        <w:div w:id="664431271">
          <w:marLeft w:val="0"/>
          <w:marRight w:val="0"/>
          <w:marTop w:val="0"/>
          <w:marBottom w:val="0"/>
          <w:divBdr>
            <w:top w:val="none" w:sz="0" w:space="0" w:color="auto"/>
            <w:left w:val="none" w:sz="0" w:space="0" w:color="auto"/>
            <w:bottom w:val="none" w:sz="0" w:space="0" w:color="auto"/>
            <w:right w:val="none" w:sz="0" w:space="0" w:color="auto"/>
          </w:divBdr>
        </w:div>
        <w:div w:id="1060134600">
          <w:marLeft w:val="0"/>
          <w:marRight w:val="0"/>
          <w:marTop w:val="0"/>
          <w:marBottom w:val="0"/>
          <w:divBdr>
            <w:top w:val="none" w:sz="0" w:space="0" w:color="auto"/>
            <w:left w:val="none" w:sz="0" w:space="0" w:color="auto"/>
            <w:bottom w:val="none" w:sz="0" w:space="0" w:color="auto"/>
            <w:right w:val="none" w:sz="0" w:space="0" w:color="auto"/>
          </w:divBdr>
        </w:div>
        <w:div w:id="1232623173">
          <w:marLeft w:val="0"/>
          <w:marRight w:val="0"/>
          <w:marTop w:val="0"/>
          <w:marBottom w:val="0"/>
          <w:divBdr>
            <w:top w:val="none" w:sz="0" w:space="0" w:color="auto"/>
            <w:left w:val="none" w:sz="0" w:space="0" w:color="auto"/>
            <w:bottom w:val="none" w:sz="0" w:space="0" w:color="auto"/>
            <w:right w:val="none" w:sz="0" w:space="0" w:color="auto"/>
          </w:divBdr>
        </w:div>
        <w:div w:id="1102725417">
          <w:marLeft w:val="0"/>
          <w:marRight w:val="0"/>
          <w:marTop w:val="0"/>
          <w:marBottom w:val="0"/>
          <w:divBdr>
            <w:top w:val="none" w:sz="0" w:space="0" w:color="auto"/>
            <w:left w:val="none" w:sz="0" w:space="0" w:color="auto"/>
            <w:bottom w:val="none" w:sz="0" w:space="0" w:color="auto"/>
            <w:right w:val="none" w:sz="0" w:space="0" w:color="auto"/>
          </w:divBdr>
        </w:div>
        <w:div w:id="1290430633">
          <w:marLeft w:val="0"/>
          <w:marRight w:val="0"/>
          <w:marTop w:val="0"/>
          <w:marBottom w:val="0"/>
          <w:divBdr>
            <w:top w:val="none" w:sz="0" w:space="0" w:color="auto"/>
            <w:left w:val="none" w:sz="0" w:space="0" w:color="auto"/>
            <w:bottom w:val="none" w:sz="0" w:space="0" w:color="auto"/>
            <w:right w:val="none" w:sz="0" w:space="0" w:color="auto"/>
          </w:divBdr>
        </w:div>
        <w:div w:id="917208436">
          <w:marLeft w:val="0"/>
          <w:marRight w:val="0"/>
          <w:marTop w:val="0"/>
          <w:marBottom w:val="0"/>
          <w:divBdr>
            <w:top w:val="none" w:sz="0" w:space="0" w:color="auto"/>
            <w:left w:val="none" w:sz="0" w:space="0" w:color="auto"/>
            <w:bottom w:val="none" w:sz="0" w:space="0" w:color="auto"/>
            <w:right w:val="none" w:sz="0" w:space="0" w:color="auto"/>
          </w:divBdr>
        </w:div>
      </w:divsChild>
    </w:div>
    <w:div w:id="33426967">
      <w:bodyDiv w:val="1"/>
      <w:marLeft w:val="0"/>
      <w:marRight w:val="0"/>
      <w:marTop w:val="0"/>
      <w:marBottom w:val="0"/>
      <w:divBdr>
        <w:top w:val="none" w:sz="0" w:space="0" w:color="auto"/>
        <w:left w:val="none" w:sz="0" w:space="0" w:color="auto"/>
        <w:bottom w:val="none" w:sz="0" w:space="0" w:color="auto"/>
        <w:right w:val="none" w:sz="0" w:space="0" w:color="auto"/>
      </w:divBdr>
      <w:divsChild>
        <w:div w:id="1662083012">
          <w:marLeft w:val="0"/>
          <w:marRight w:val="0"/>
          <w:marTop w:val="0"/>
          <w:marBottom w:val="0"/>
          <w:divBdr>
            <w:top w:val="none" w:sz="0" w:space="0" w:color="auto"/>
            <w:left w:val="none" w:sz="0" w:space="0" w:color="auto"/>
            <w:bottom w:val="none" w:sz="0" w:space="0" w:color="auto"/>
            <w:right w:val="none" w:sz="0" w:space="0" w:color="auto"/>
          </w:divBdr>
          <w:divsChild>
            <w:div w:id="274411980">
              <w:marLeft w:val="0"/>
              <w:marRight w:val="0"/>
              <w:marTop w:val="0"/>
              <w:marBottom w:val="0"/>
              <w:divBdr>
                <w:top w:val="none" w:sz="0" w:space="0" w:color="auto"/>
                <w:left w:val="none" w:sz="0" w:space="0" w:color="auto"/>
                <w:bottom w:val="none" w:sz="0" w:space="0" w:color="auto"/>
                <w:right w:val="none" w:sz="0" w:space="0" w:color="auto"/>
              </w:divBdr>
              <w:divsChild>
                <w:div w:id="250939920">
                  <w:marLeft w:val="0"/>
                  <w:marRight w:val="0"/>
                  <w:marTop w:val="0"/>
                  <w:marBottom w:val="0"/>
                  <w:divBdr>
                    <w:top w:val="none" w:sz="0" w:space="0" w:color="auto"/>
                    <w:left w:val="none" w:sz="0" w:space="0" w:color="auto"/>
                    <w:bottom w:val="none" w:sz="0" w:space="0" w:color="auto"/>
                    <w:right w:val="none" w:sz="0" w:space="0" w:color="auto"/>
                  </w:divBdr>
                  <w:divsChild>
                    <w:div w:id="3751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357">
      <w:bodyDiv w:val="1"/>
      <w:marLeft w:val="0"/>
      <w:marRight w:val="0"/>
      <w:marTop w:val="0"/>
      <w:marBottom w:val="0"/>
      <w:divBdr>
        <w:top w:val="none" w:sz="0" w:space="0" w:color="auto"/>
        <w:left w:val="none" w:sz="0" w:space="0" w:color="auto"/>
        <w:bottom w:val="none" w:sz="0" w:space="0" w:color="auto"/>
        <w:right w:val="none" w:sz="0" w:space="0" w:color="auto"/>
      </w:divBdr>
    </w:div>
    <w:div w:id="92437500">
      <w:bodyDiv w:val="1"/>
      <w:marLeft w:val="0"/>
      <w:marRight w:val="0"/>
      <w:marTop w:val="0"/>
      <w:marBottom w:val="0"/>
      <w:divBdr>
        <w:top w:val="none" w:sz="0" w:space="0" w:color="auto"/>
        <w:left w:val="none" w:sz="0" w:space="0" w:color="auto"/>
        <w:bottom w:val="none" w:sz="0" w:space="0" w:color="auto"/>
        <w:right w:val="none" w:sz="0" w:space="0" w:color="auto"/>
      </w:divBdr>
      <w:divsChild>
        <w:div w:id="2019387222">
          <w:marLeft w:val="323"/>
          <w:marRight w:val="0"/>
          <w:marTop w:val="0"/>
          <w:marBottom w:val="0"/>
          <w:divBdr>
            <w:top w:val="none" w:sz="0" w:space="0" w:color="auto"/>
            <w:left w:val="none" w:sz="0" w:space="0" w:color="auto"/>
            <w:bottom w:val="none" w:sz="0" w:space="0" w:color="auto"/>
            <w:right w:val="none" w:sz="0" w:space="0" w:color="auto"/>
          </w:divBdr>
        </w:div>
      </w:divsChild>
    </w:div>
    <w:div w:id="100615791">
      <w:bodyDiv w:val="1"/>
      <w:marLeft w:val="0"/>
      <w:marRight w:val="0"/>
      <w:marTop w:val="0"/>
      <w:marBottom w:val="0"/>
      <w:divBdr>
        <w:top w:val="none" w:sz="0" w:space="0" w:color="auto"/>
        <w:left w:val="none" w:sz="0" w:space="0" w:color="auto"/>
        <w:bottom w:val="none" w:sz="0" w:space="0" w:color="auto"/>
        <w:right w:val="none" w:sz="0" w:space="0" w:color="auto"/>
      </w:divBdr>
    </w:div>
    <w:div w:id="102115038">
      <w:bodyDiv w:val="1"/>
      <w:marLeft w:val="0"/>
      <w:marRight w:val="0"/>
      <w:marTop w:val="0"/>
      <w:marBottom w:val="0"/>
      <w:divBdr>
        <w:top w:val="none" w:sz="0" w:space="0" w:color="auto"/>
        <w:left w:val="none" w:sz="0" w:space="0" w:color="auto"/>
        <w:bottom w:val="none" w:sz="0" w:space="0" w:color="auto"/>
        <w:right w:val="none" w:sz="0" w:space="0" w:color="auto"/>
      </w:divBdr>
      <w:divsChild>
        <w:div w:id="203834498">
          <w:marLeft w:val="0"/>
          <w:marRight w:val="0"/>
          <w:marTop w:val="0"/>
          <w:marBottom w:val="0"/>
          <w:divBdr>
            <w:top w:val="none" w:sz="0" w:space="0" w:color="auto"/>
            <w:left w:val="none" w:sz="0" w:space="0" w:color="auto"/>
            <w:bottom w:val="none" w:sz="0" w:space="0" w:color="auto"/>
            <w:right w:val="none" w:sz="0" w:space="0" w:color="auto"/>
          </w:divBdr>
        </w:div>
        <w:div w:id="1263798359">
          <w:marLeft w:val="0"/>
          <w:marRight w:val="0"/>
          <w:marTop w:val="0"/>
          <w:marBottom w:val="0"/>
          <w:divBdr>
            <w:top w:val="none" w:sz="0" w:space="0" w:color="auto"/>
            <w:left w:val="none" w:sz="0" w:space="0" w:color="auto"/>
            <w:bottom w:val="none" w:sz="0" w:space="0" w:color="auto"/>
            <w:right w:val="none" w:sz="0" w:space="0" w:color="auto"/>
          </w:divBdr>
        </w:div>
        <w:div w:id="51780412">
          <w:marLeft w:val="0"/>
          <w:marRight w:val="0"/>
          <w:marTop w:val="0"/>
          <w:marBottom w:val="0"/>
          <w:divBdr>
            <w:top w:val="none" w:sz="0" w:space="0" w:color="auto"/>
            <w:left w:val="none" w:sz="0" w:space="0" w:color="auto"/>
            <w:bottom w:val="none" w:sz="0" w:space="0" w:color="auto"/>
            <w:right w:val="none" w:sz="0" w:space="0" w:color="auto"/>
          </w:divBdr>
        </w:div>
        <w:div w:id="1251893679">
          <w:marLeft w:val="0"/>
          <w:marRight w:val="0"/>
          <w:marTop w:val="0"/>
          <w:marBottom w:val="0"/>
          <w:divBdr>
            <w:top w:val="none" w:sz="0" w:space="0" w:color="auto"/>
            <w:left w:val="none" w:sz="0" w:space="0" w:color="auto"/>
            <w:bottom w:val="none" w:sz="0" w:space="0" w:color="auto"/>
            <w:right w:val="none" w:sz="0" w:space="0" w:color="auto"/>
          </w:divBdr>
        </w:div>
        <w:div w:id="193155400">
          <w:marLeft w:val="0"/>
          <w:marRight w:val="0"/>
          <w:marTop w:val="0"/>
          <w:marBottom w:val="0"/>
          <w:divBdr>
            <w:top w:val="none" w:sz="0" w:space="0" w:color="auto"/>
            <w:left w:val="none" w:sz="0" w:space="0" w:color="auto"/>
            <w:bottom w:val="none" w:sz="0" w:space="0" w:color="auto"/>
            <w:right w:val="none" w:sz="0" w:space="0" w:color="auto"/>
          </w:divBdr>
        </w:div>
        <w:div w:id="1184129498">
          <w:marLeft w:val="0"/>
          <w:marRight w:val="0"/>
          <w:marTop w:val="0"/>
          <w:marBottom w:val="0"/>
          <w:divBdr>
            <w:top w:val="none" w:sz="0" w:space="0" w:color="auto"/>
            <w:left w:val="none" w:sz="0" w:space="0" w:color="auto"/>
            <w:bottom w:val="none" w:sz="0" w:space="0" w:color="auto"/>
            <w:right w:val="none" w:sz="0" w:space="0" w:color="auto"/>
          </w:divBdr>
        </w:div>
        <w:div w:id="433944268">
          <w:marLeft w:val="0"/>
          <w:marRight w:val="0"/>
          <w:marTop w:val="0"/>
          <w:marBottom w:val="0"/>
          <w:divBdr>
            <w:top w:val="none" w:sz="0" w:space="0" w:color="auto"/>
            <w:left w:val="none" w:sz="0" w:space="0" w:color="auto"/>
            <w:bottom w:val="none" w:sz="0" w:space="0" w:color="auto"/>
            <w:right w:val="none" w:sz="0" w:space="0" w:color="auto"/>
          </w:divBdr>
        </w:div>
        <w:div w:id="608439005">
          <w:marLeft w:val="0"/>
          <w:marRight w:val="0"/>
          <w:marTop w:val="0"/>
          <w:marBottom w:val="0"/>
          <w:divBdr>
            <w:top w:val="none" w:sz="0" w:space="0" w:color="auto"/>
            <w:left w:val="none" w:sz="0" w:space="0" w:color="auto"/>
            <w:bottom w:val="none" w:sz="0" w:space="0" w:color="auto"/>
            <w:right w:val="none" w:sz="0" w:space="0" w:color="auto"/>
          </w:divBdr>
        </w:div>
        <w:div w:id="1421021647">
          <w:marLeft w:val="0"/>
          <w:marRight w:val="0"/>
          <w:marTop w:val="0"/>
          <w:marBottom w:val="0"/>
          <w:divBdr>
            <w:top w:val="none" w:sz="0" w:space="0" w:color="auto"/>
            <w:left w:val="none" w:sz="0" w:space="0" w:color="auto"/>
            <w:bottom w:val="none" w:sz="0" w:space="0" w:color="auto"/>
            <w:right w:val="none" w:sz="0" w:space="0" w:color="auto"/>
          </w:divBdr>
        </w:div>
        <w:div w:id="830297937">
          <w:marLeft w:val="0"/>
          <w:marRight w:val="0"/>
          <w:marTop w:val="0"/>
          <w:marBottom w:val="0"/>
          <w:divBdr>
            <w:top w:val="none" w:sz="0" w:space="0" w:color="auto"/>
            <w:left w:val="none" w:sz="0" w:space="0" w:color="auto"/>
            <w:bottom w:val="none" w:sz="0" w:space="0" w:color="auto"/>
            <w:right w:val="none" w:sz="0" w:space="0" w:color="auto"/>
          </w:divBdr>
        </w:div>
        <w:div w:id="1696493915">
          <w:marLeft w:val="0"/>
          <w:marRight w:val="0"/>
          <w:marTop w:val="0"/>
          <w:marBottom w:val="0"/>
          <w:divBdr>
            <w:top w:val="none" w:sz="0" w:space="0" w:color="auto"/>
            <w:left w:val="none" w:sz="0" w:space="0" w:color="auto"/>
            <w:bottom w:val="none" w:sz="0" w:space="0" w:color="auto"/>
            <w:right w:val="none" w:sz="0" w:space="0" w:color="auto"/>
          </w:divBdr>
        </w:div>
        <w:div w:id="1610116132">
          <w:marLeft w:val="0"/>
          <w:marRight w:val="0"/>
          <w:marTop w:val="0"/>
          <w:marBottom w:val="0"/>
          <w:divBdr>
            <w:top w:val="none" w:sz="0" w:space="0" w:color="auto"/>
            <w:left w:val="none" w:sz="0" w:space="0" w:color="auto"/>
            <w:bottom w:val="none" w:sz="0" w:space="0" w:color="auto"/>
            <w:right w:val="none" w:sz="0" w:space="0" w:color="auto"/>
          </w:divBdr>
        </w:div>
        <w:div w:id="1043100052">
          <w:marLeft w:val="0"/>
          <w:marRight w:val="0"/>
          <w:marTop w:val="0"/>
          <w:marBottom w:val="0"/>
          <w:divBdr>
            <w:top w:val="none" w:sz="0" w:space="0" w:color="auto"/>
            <w:left w:val="none" w:sz="0" w:space="0" w:color="auto"/>
            <w:bottom w:val="none" w:sz="0" w:space="0" w:color="auto"/>
            <w:right w:val="none" w:sz="0" w:space="0" w:color="auto"/>
          </w:divBdr>
        </w:div>
        <w:div w:id="1439062808">
          <w:marLeft w:val="0"/>
          <w:marRight w:val="0"/>
          <w:marTop w:val="0"/>
          <w:marBottom w:val="0"/>
          <w:divBdr>
            <w:top w:val="none" w:sz="0" w:space="0" w:color="auto"/>
            <w:left w:val="none" w:sz="0" w:space="0" w:color="auto"/>
            <w:bottom w:val="none" w:sz="0" w:space="0" w:color="auto"/>
            <w:right w:val="none" w:sz="0" w:space="0" w:color="auto"/>
          </w:divBdr>
        </w:div>
        <w:div w:id="1393504443">
          <w:marLeft w:val="0"/>
          <w:marRight w:val="0"/>
          <w:marTop w:val="0"/>
          <w:marBottom w:val="0"/>
          <w:divBdr>
            <w:top w:val="none" w:sz="0" w:space="0" w:color="auto"/>
            <w:left w:val="none" w:sz="0" w:space="0" w:color="auto"/>
            <w:bottom w:val="none" w:sz="0" w:space="0" w:color="auto"/>
            <w:right w:val="none" w:sz="0" w:space="0" w:color="auto"/>
          </w:divBdr>
        </w:div>
        <w:div w:id="99884362">
          <w:marLeft w:val="0"/>
          <w:marRight w:val="0"/>
          <w:marTop w:val="0"/>
          <w:marBottom w:val="0"/>
          <w:divBdr>
            <w:top w:val="none" w:sz="0" w:space="0" w:color="auto"/>
            <w:left w:val="none" w:sz="0" w:space="0" w:color="auto"/>
            <w:bottom w:val="none" w:sz="0" w:space="0" w:color="auto"/>
            <w:right w:val="none" w:sz="0" w:space="0" w:color="auto"/>
          </w:divBdr>
        </w:div>
        <w:div w:id="816266655">
          <w:marLeft w:val="0"/>
          <w:marRight w:val="0"/>
          <w:marTop w:val="0"/>
          <w:marBottom w:val="0"/>
          <w:divBdr>
            <w:top w:val="none" w:sz="0" w:space="0" w:color="auto"/>
            <w:left w:val="none" w:sz="0" w:space="0" w:color="auto"/>
            <w:bottom w:val="none" w:sz="0" w:space="0" w:color="auto"/>
            <w:right w:val="none" w:sz="0" w:space="0" w:color="auto"/>
          </w:divBdr>
        </w:div>
        <w:div w:id="130750077">
          <w:marLeft w:val="0"/>
          <w:marRight w:val="0"/>
          <w:marTop w:val="0"/>
          <w:marBottom w:val="0"/>
          <w:divBdr>
            <w:top w:val="none" w:sz="0" w:space="0" w:color="auto"/>
            <w:left w:val="none" w:sz="0" w:space="0" w:color="auto"/>
            <w:bottom w:val="none" w:sz="0" w:space="0" w:color="auto"/>
            <w:right w:val="none" w:sz="0" w:space="0" w:color="auto"/>
          </w:divBdr>
        </w:div>
        <w:div w:id="1148983867">
          <w:marLeft w:val="0"/>
          <w:marRight w:val="0"/>
          <w:marTop w:val="0"/>
          <w:marBottom w:val="0"/>
          <w:divBdr>
            <w:top w:val="none" w:sz="0" w:space="0" w:color="auto"/>
            <w:left w:val="none" w:sz="0" w:space="0" w:color="auto"/>
            <w:bottom w:val="none" w:sz="0" w:space="0" w:color="auto"/>
            <w:right w:val="none" w:sz="0" w:space="0" w:color="auto"/>
          </w:divBdr>
        </w:div>
        <w:div w:id="1765106547">
          <w:marLeft w:val="0"/>
          <w:marRight w:val="0"/>
          <w:marTop w:val="0"/>
          <w:marBottom w:val="0"/>
          <w:divBdr>
            <w:top w:val="none" w:sz="0" w:space="0" w:color="auto"/>
            <w:left w:val="none" w:sz="0" w:space="0" w:color="auto"/>
            <w:bottom w:val="none" w:sz="0" w:space="0" w:color="auto"/>
            <w:right w:val="none" w:sz="0" w:space="0" w:color="auto"/>
          </w:divBdr>
        </w:div>
        <w:div w:id="1307903179">
          <w:marLeft w:val="0"/>
          <w:marRight w:val="0"/>
          <w:marTop w:val="0"/>
          <w:marBottom w:val="0"/>
          <w:divBdr>
            <w:top w:val="none" w:sz="0" w:space="0" w:color="auto"/>
            <w:left w:val="none" w:sz="0" w:space="0" w:color="auto"/>
            <w:bottom w:val="none" w:sz="0" w:space="0" w:color="auto"/>
            <w:right w:val="none" w:sz="0" w:space="0" w:color="auto"/>
          </w:divBdr>
        </w:div>
        <w:div w:id="1533958479">
          <w:marLeft w:val="0"/>
          <w:marRight w:val="0"/>
          <w:marTop w:val="0"/>
          <w:marBottom w:val="0"/>
          <w:divBdr>
            <w:top w:val="none" w:sz="0" w:space="0" w:color="auto"/>
            <w:left w:val="none" w:sz="0" w:space="0" w:color="auto"/>
            <w:bottom w:val="none" w:sz="0" w:space="0" w:color="auto"/>
            <w:right w:val="none" w:sz="0" w:space="0" w:color="auto"/>
          </w:divBdr>
        </w:div>
        <w:div w:id="1136991507">
          <w:marLeft w:val="0"/>
          <w:marRight w:val="0"/>
          <w:marTop w:val="0"/>
          <w:marBottom w:val="0"/>
          <w:divBdr>
            <w:top w:val="none" w:sz="0" w:space="0" w:color="auto"/>
            <w:left w:val="none" w:sz="0" w:space="0" w:color="auto"/>
            <w:bottom w:val="none" w:sz="0" w:space="0" w:color="auto"/>
            <w:right w:val="none" w:sz="0" w:space="0" w:color="auto"/>
          </w:divBdr>
        </w:div>
        <w:div w:id="1766227427">
          <w:marLeft w:val="0"/>
          <w:marRight w:val="0"/>
          <w:marTop w:val="0"/>
          <w:marBottom w:val="0"/>
          <w:divBdr>
            <w:top w:val="none" w:sz="0" w:space="0" w:color="auto"/>
            <w:left w:val="none" w:sz="0" w:space="0" w:color="auto"/>
            <w:bottom w:val="none" w:sz="0" w:space="0" w:color="auto"/>
            <w:right w:val="none" w:sz="0" w:space="0" w:color="auto"/>
          </w:divBdr>
        </w:div>
        <w:div w:id="564070771">
          <w:marLeft w:val="0"/>
          <w:marRight w:val="0"/>
          <w:marTop w:val="0"/>
          <w:marBottom w:val="0"/>
          <w:divBdr>
            <w:top w:val="none" w:sz="0" w:space="0" w:color="auto"/>
            <w:left w:val="none" w:sz="0" w:space="0" w:color="auto"/>
            <w:bottom w:val="none" w:sz="0" w:space="0" w:color="auto"/>
            <w:right w:val="none" w:sz="0" w:space="0" w:color="auto"/>
          </w:divBdr>
        </w:div>
      </w:divsChild>
    </w:div>
    <w:div w:id="107546430">
      <w:bodyDiv w:val="1"/>
      <w:marLeft w:val="0"/>
      <w:marRight w:val="0"/>
      <w:marTop w:val="0"/>
      <w:marBottom w:val="0"/>
      <w:divBdr>
        <w:top w:val="none" w:sz="0" w:space="0" w:color="auto"/>
        <w:left w:val="none" w:sz="0" w:space="0" w:color="auto"/>
        <w:bottom w:val="none" w:sz="0" w:space="0" w:color="auto"/>
        <w:right w:val="none" w:sz="0" w:space="0" w:color="auto"/>
      </w:divBdr>
    </w:div>
    <w:div w:id="136774516">
      <w:bodyDiv w:val="1"/>
      <w:marLeft w:val="0"/>
      <w:marRight w:val="0"/>
      <w:marTop w:val="0"/>
      <w:marBottom w:val="0"/>
      <w:divBdr>
        <w:top w:val="none" w:sz="0" w:space="0" w:color="auto"/>
        <w:left w:val="none" w:sz="0" w:space="0" w:color="auto"/>
        <w:bottom w:val="none" w:sz="0" w:space="0" w:color="auto"/>
        <w:right w:val="none" w:sz="0" w:space="0" w:color="auto"/>
      </w:divBdr>
    </w:div>
    <w:div w:id="148641058">
      <w:bodyDiv w:val="1"/>
      <w:marLeft w:val="0"/>
      <w:marRight w:val="0"/>
      <w:marTop w:val="0"/>
      <w:marBottom w:val="0"/>
      <w:divBdr>
        <w:top w:val="none" w:sz="0" w:space="0" w:color="auto"/>
        <w:left w:val="none" w:sz="0" w:space="0" w:color="auto"/>
        <w:bottom w:val="none" w:sz="0" w:space="0" w:color="auto"/>
        <w:right w:val="none" w:sz="0" w:space="0" w:color="auto"/>
      </w:divBdr>
    </w:div>
    <w:div w:id="149560942">
      <w:bodyDiv w:val="1"/>
      <w:marLeft w:val="0"/>
      <w:marRight w:val="0"/>
      <w:marTop w:val="0"/>
      <w:marBottom w:val="0"/>
      <w:divBdr>
        <w:top w:val="none" w:sz="0" w:space="0" w:color="auto"/>
        <w:left w:val="none" w:sz="0" w:space="0" w:color="auto"/>
        <w:bottom w:val="none" w:sz="0" w:space="0" w:color="auto"/>
        <w:right w:val="none" w:sz="0" w:space="0" w:color="auto"/>
      </w:divBdr>
    </w:div>
    <w:div w:id="171650278">
      <w:bodyDiv w:val="1"/>
      <w:marLeft w:val="0"/>
      <w:marRight w:val="0"/>
      <w:marTop w:val="0"/>
      <w:marBottom w:val="0"/>
      <w:divBdr>
        <w:top w:val="none" w:sz="0" w:space="0" w:color="auto"/>
        <w:left w:val="none" w:sz="0" w:space="0" w:color="auto"/>
        <w:bottom w:val="none" w:sz="0" w:space="0" w:color="auto"/>
        <w:right w:val="none" w:sz="0" w:space="0" w:color="auto"/>
      </w:divBdr>
    </w:div>
    <w:div w:id="197745643">
      <w:bodyDiv w:val="1"/>
      <w:marLeft w:val="0"/>
      <w:marRight w:val="0"/>
      <w:marTop w:val="0"/>
      <w:marBottom w:val="0"/>
      <w:divBdr>
        <w:top w:val="none" w:sz="0" w:space="0" w:color="auto"/>
        <w:left w:val="none" w:sz="0" w:space="0" w:color="auto"/>
        <w:bottom w:val="none" w:sz="0" w:space="0" w:color="auto"/>
        <w:right w:val="none" w:sz="0" w:space="0" w:color="auto"/>
      </w:divBdr>
    </w:div>
    <w:div w:id="214858406">
      <w:bodyDiv w:val="1"/>
      <w:marLeft w:val="0"/>
      <w:marRight w:val="0"/>
      <w:marTop w:val="0"/>
      <w:marBottom w:val="0"/>
      <w:divBdr>
        <w:top w:val="none" w:sz="0" w:space="0" w:color="auto"/>
        <w:left w:val="none" w:sz="0" w:space="0" w:color="auto"/>
        <w:bottom w:val="none" w:sz="0" w:space="0" w:color="auto"/>
        <w:right w:val="none" w:sz="0" w:space="0" w:color="auto"/>
      </w:divBdr>
    </w:div>
    <w:div w:id="226109923">
      <w:bodyDiv w:val="1"/>
      <w:marLeft w:val="0"/>
      <w:marRight w:val="0"/>
      <w:marTop w:val="0"/>
      <w:marBottom w:val="0"/>
      <w:divBdr>
        <w:top w:val="none" w:sz="0" w:space="0" w:color="auto"/>
        <w:left w:val="none" w:sz="0" w:space="0" w:color="auto"/>
        <w:bottom w:val="none" w:sz="0" w:space="0" w:color="auto"/>
        <w:right w:val="none" w:sz="0" w:space="0" w:color="auto"/>
      </w:divBdr>
      <w:divsChild>
        <w:div w:id="657392235">
          <w:marLeft w:val="0"/>
          <w:marRight w:val="0"/>
          <w:marTop w:val="0"/>
          <w:marBottom w:val="0"/>
          <w:divBdr>
            <w:top w:val="none" w:sz="0" w:space="0" w:color="auto"/>
            <w:left w:val="none" w:sz="0" w:space="0" w:color="auto"/>
            <w:bottom w:val="none" w:sz="0" w:space="0" w:color="auto"/>
            <w:right w:val="none" w:sz="0" w:space="0" w:color="auto"/>
          </w:divBdr>
        </w:div>
        <w:div w:id="1416635477">
          <w:marLeft w:val="0"/>
          <w:marRight w:val="0"/>
          <w:marTop w:val="0"/>
          <w:marBottom w:val="0"/>
          <w:divBdr>
            <w:top w:val="none" w:sz="0" w:space="0" w:color="auto"/>
            <w:left w:val="none" w:sz="0" w:space="0" w:color="auto"/>
            <w:bottom w:val="none" w:sz="0" w:space="0" w:color="auto"/>
            <w:right w:val="none" w:sz="0" w:space="0" w:color="auto"/>
          </w:divBdr>
        </w:div>
        <w:div w:id="1555431895">
          <w:marLeft w:val="0"/>
          <w:marRight w:val="0"/>
          <w:marTop w:val="0"/>
          <w:marBottom w:val="0"/>
          <w:divBdr>
            <w:top w:val="none" w:sz="0" w:space="0" w:color="auto"/>
            <w:left w:val="none" w:sz="0" w:space="0" w:color="auto"/>
            <w:bottom w:val="none" w:sz="0" w:space="0" w:color="auto"/>
            <w:right w:val="none" w:sz="0" w:space="0" w:color="auto"/>
          </w:divBdr>
        </w:div>
      </w:divsChild>
    </w:div>
    <w:div w:id="286667297">
      <w:bodyDiv w:val="1"/>
      <w:marLeft w:val="0"/>
      <w:marRight w:val="0"/>
      <w:marTop w:val="0"/>
      <w:marBottom w:val="0"/>
      <w:divBdr>
        <w:top w:val="none" w:sz="0" w:space="0" w:color="auto"/>
        <w:left w:val="none" w:sz="0" w:space="0" w:color="auto"/>
        <w:bottom w:val="none" w:sz="0" w:space="0" w:color="auto"/>
        <w:right w:val="none" w:sz="0" w:space="0" w:color="auto"/>
      </w:divBdr>
      <w:divsChild>
        <w:div w:id="88628133">
          <w:marLeft w:val="0"/>
          <w:marRight w:val="0"/>
          <w:marTop w:val="0"/>
          <w:marBottom w:val="0"/>
          <w:divBdr>
            <w:top w:val="none" w:sz="0" w:space="0" w:color="auto"/>
            <w:left w:val="none" w:sz="0" w:space="0" w:color="auto"/>
            <w:bottom w:val="none" w:sz="0" w:space="0" w:color="auto"/>
            <w:right w:val="none" w:sz="0" w:space="0" w:color="auto"/>
          </w:divBdr>
        </w:div>
        <w:div w:id="1707481175">
          <w:marLeft w:val="0"/>
          <w:marRight w:val="0"/>
          <w:marTop w:val="0"/>
          <w:marBottom w:val="0"/>
          <w:divBdr>
            <w:top w:val="none" w:sz="0" w:space="0" w:color="auto"/>
            <w:left w:val="none" w:sz="0" w:space="0" w:color="auto"/>
            <w:bottom w:val="none" w:sz="0" w:space="0" w:color="auto"/>
            <w:right w:val="none" w:sz="0" w:space="0" w:color="auto"/>
          </w:divBdr>
        </w:div>
        <w:div w:id="1540362078">
          <w:marLeft w:val="0"/>
          <w:marRight w:val="0"/>
          <w:marTop w:val="0"/>
          <w:marBottom w:val="0"/>
          <w:divBdr>
            <w:top w:val="none" w:sz="0" w:space="0" w:color="auto"/>
            <w:left w:val="none" w:sz="0" w:space="0" w:color="auto"/>
            <w:bottom w:val="none" w:sz="0" w:space="0" w:color="auto"/>
            <w:right w:val="none" w:sz="0" w:space="0" w:color="auto"/>
          </w:divBdr>
        </w:div>
        <w:div w:id="256253252">
          <w:marLeft w:val="0"/>
          <w:marRight w:val="0"/>
          <w:marTop w:val="0"/>
          <w:marBottom w:val="0"/>
          <w:divBdr>
            <w:top w:val="none" w:sz="0" w:space="0" w:color="auto"/>
            <w:left w:val="none" w:sz="0" w:space="0" w:color="auto"/>
            <w:bottom w:val="none" w:sz="0" w:space="0" w:color="auto"/>
            <w:right w:val="none" w:sz="0" w:space="0" w:color="auto"/>
          </w:divBdr>
        </w:div>
        <w:div w:id="1000157001">
          <w:marLeft w:val="0"/>
          <w:marRight w:val="0"/>
          <w:marTop w:val="0"/>
          <w:marBottom w:val="0"/>
          <w:divBdr>
            <w:top w:val="none" w:sz="0" w:space="0" w:color="auto"/>
            <w:left w:val="none" w:sz="0" w:space="0" w:color="auto"/>
            <w:bottom w:val="none" w:sz="0" w:space="0" w:color="auto"/>
            <w:right w:val="none" w:sz="0" w:space="0" w:color="auto"/>
          </w:divBdr>
        </w:div>
        <w:div w:id="438911222">
          <w:marLeft w:val="0"/>
          <w:marRight w:val="0"/>
          <w:marTop w:val="0"/>
          <w:marBottom w:val="0"/>
          <w:divBdr>
            <w:top w:val="none" w:sz="0" w:space="0" w:color="auto"/>
            <w:left w:val="none" w:sz="0" w:space="0" w:color="auto"/>
            <w:bottom w:val="none" w:sz="0" w:space="0" w:color="auto"/>
            <w:right w:val="none" w:sz="0" w:space="0" w:color="auto"/>
          </w:divBdr>
        </w:div>
        <w:div w:id="1243178495">
          <w:marLeft w:val="0"/>
          <w:marRight w:val="0"/>
          <w:marTop w:val="0"/>
          <w:marBottom w:val="0"/>
          <w:divBdr>
            <w:top w:val="none" w:sz="0" w:space="0" w:color="auto"/>
            <w:left w:val="none" w:sz="0" w:space="0" w:color="auto"/>
            <w:bottom w:val="none" w:sz="0" w:space="0" w:color="auto"/>
            <w:right w:val="none" w:sz="0" w:space="0" w:color="auto"/>
          </w:divBdr>
        </w:div>
        <w:div w:id="366569366">
          <w:marLeft w:val="0"/>
          <w:marRight w:val="0"/>
          <w:marTop w:val="0"/>
          <w:marBottom w:val="0"/>
          <w:divBdr>
            <w:top w:val="none" w:sz="0" w:space="0" w:color="auto"/>
            <w:left w:val="none" w:sz="0" w:space="0" w:color="auto"/>
            <w:bottom w:val="none" w:sz="0" w:space="0" w:color="auto"/>
            <w:right w:val="none" w:sz="0" w:space="0" w:color="auto"/>
          </w:divBdr>
        </w:div>
        <w:div w:id="163281566">
          <w:marLeft w:val="0"/>
          <w:marRight w:val="0"/>
          <w:marTop w:val="0"/>
          <w:marBottom w:val="0"/>
          <w:divBdr>
            <w:top w:val="none" w:sz="0" w:space="0" w:color="auto"/>
            <w:left w:val="none" w:sz="0" w:space="0" w:color="auto"/>
            <w:bottom w:val="none" w:sz="0" w:space="0" w:color="auto"/>
            <w:right w:val="none" w:sz="0" w:space="0" w:color="auto"/>
          </w:divBdr>
        </w:div>
        <w:div w:id="616566618">
          <w:marLeft w:val="0"/>
          <w:marRight w:val="0"/>
          <w:marTop w:val="0"/>
          <w:marBottom w:val="0"/>
          <w:divBdr>
            <w:top w:val="none" w:sz="0" w:space="0" w:color="auto"/>
            <w:left w:val="none" w:sz="0" w:space="0" w:color="auto"/>
            <w:bottom w:val="none" w:sz="0" w:space="0" w:color="auto"/>
            <w:right w:val="none" w:sz="0" w:space="0" w:color="auto"/>
          </w:divBdr>
        </w:div>
        <w:div w:id="79716357">
          <w:marLeft w:val="0"/>
          <w:marRight w:val="0"/>
          <w:marTop w:val="0"/>
          <w:marBottom w:val="0"/>
          <w:divBdr>
            <w:top w:val="none" w:sz="0" w:space="0" w:color="auto"/>
            <w:left w:val="none" w:sz="0" w:space="0" w:color="auto"/>
            <w:bottom w:val="none" w:sz="0" w:space="0" w:color="auto"/>
            <w:right w:val="none" w:sz="0" w:space="0" w:color="auto"/>
          </w:divBdr>
        </w:div>
        <w:div w:id="1075053403">
          <w:marLeft w:val="0"/>
          <w:marRight w:val="0"/>
          <w:marTop w:val="0"/>
          <w:marBottom w:val="0"/>
          <w:divBdr>
            <w:top w:val="none" w:sz="0" w:space="0" w:color="auto"/>
            <w:left w:val="none" w:sz="0" w:space="0" w:color="auto"/>
            <w:bottom w:val="none" w:sz="0" w:space="0" w:color="auto"/>
            <w:right w:val="none" w:sz="0" w:space="0" w:color="auto"/>
          </w:divBdr>
        </w:div>
        <w:div w:id="1211459965">
          <w:marLeft w:val="0"/>
          <w:marRight w:val="0"/>
          <w:marTop w:val="0"/>
          <w:marBottom w:val="0"/>
          <w:divBdr>
            <w:top w:val="none" w:sz="0" w:space="0" w:color="auto"/>
            <w:left w:val="none" w:sz="0" w:space="0" w:color="auto"/>
            <w:bottom w:val="none" w:sz="0" w:space="0" w:color="auto"/>
            <w:right w:val="none" w:sz="0" w:space="0" w:color="auto"/>
          </w:divBdr>
        </w:div>
        <w:div w:id="121777351">
          <w:marLeft w:val="0"/>
          <w:marRight w:val="0"/>
          <w:marTop w:val="0"/>
          <w:marBottom w:val="0"/>
          <w:divBdr>
            <w:top w:val="none" w:sz="0" w:space="0" w:color="auto"/>
            <w:left w:val="none" w:sz="0" w:space="0" w:color="auto"/>
            <w:bottom w:val="none" w:sz="0" w:space="0" w:color="auto"/>
            <w:right w:val="none" w:sz="0" w:space="0" w:color="auto"/>
          </w:divBdr>
        </w:div>
        <w:div w:id="1393192513">
          <w:marLeft w:val="0"/>
          <w:marRight w:val="0"/>
          <w:marTop w:val="0"/>
          <w:marBottom w:val="0"/>
          <w:divBdr>
            <w:top w:val="none" w:sz="0" w:space="0" w:color="auto"/>
            <w:left w:val="none" w:sz="0" w:space="0" w:color="auto"/>
            <w:bottom w:val="none" w:sz="0" w:space="0" w:color="auto"/>
            <w:right w:val="none" w:sz="0" w:space="0" w:color="auto"/>
          </w:divBdr>
        </w:div>
        <w:div w:id="1748190524">
          <w:marLeft w:val="0"/>
          <w:marRight w:val="0"/>
          <w:marTop w:val="0"/>
          <w:marBottom w:val="0"/>
          <w:divBdr>
            <w:top w:val="none" w:sz="0" w:space="0" w:color="auto"/>
            <w:left w:val="none" w:sz="0" w:space="0" w:color="auto"/>
            <w:bottom w:val="none" w:sz="0" w:space="0" w:color="auto"/>
            <w:right w:val="none" w:sz="0" w:space="0" w:color="auto"/>
          </w:divBdr>
        </w:div>
        <w:div w:id="948203139">
          <w:marLeft w:val="0"/>
          <w:marRight w:val="0"/>
          <w:marTop w:val="0"/>
          <w:marBottom w:val="0"/>
          <w:divBdr>
            <w:top w:val="none" w:sz="0" w:space="0" w:color="auto"/>
            <w:left w:val="none" w:sz="0" w:space="0" w:color="auto"/>
            <w:bottom w:val="none" w:sz="0" w:space="0" w:color="auto"/>
            <w:right w:val="none" w:sz="0" w:space="0" w:color="auto"/>
          </w:divBdr>
        </w:div>
        <w:div w:id="1047803712">
          <w:marLeft w:val="0"/>
          <w:marRight w:val="0"/>
          <w:marTop w:val="0"/>
          <w:marBottom w:val="0"/>
          <w:divBdr>
            <w:top w:val="none" w:sz="0" w:space="0" w:color="auto"/>
            <w:left w:val="none" w:sz="0" w:space="0" w:color="auto"/>
            <w:bottom w:val="none" w:sz="0" w:space="0" w:color="auto"/>
            <w:right w:val="none" w:sz="0" w:space="0" w:color="auto"/>
          </w:divBdr>
        </w:div>
        <w:div w:id="590045092">
          <w:marLeft w:val="0"/>
          <w:marRight w:val="0"/>
          <w:marTop w:val="0"/>
          <w:marBottom w:val="0"/>
          <w:divBdr>
            <w:top w:val="none" w:sz="0" w:space="0" w:color="auto"/>
            <w:left w:val="none" w:sz="0" w:space="0" w:color="auto"/>
            <w:bottom w:val="none" w:sz="0" w:space="0" w:color="auto"/>
            <w:right w:val="none" w:sz="0" w:space="0" w:color="auto"/>
          </w:divBdr>
        </w:div>
        <w:div w:id="968629705">
          <w:marLeft w:val="0"/>
          <w:marRight w:val="0"/>
          <w:marTop w:val="0"/>
          <w:marBottom w:val="0"/>
          <w:divBdr>
            <w:top w:val="none" w:sz="0" w:space="0" w:color="auto"/>
            <w:left w:val="none" w:sz="0" w:space="0" w:color="auto"/>
            <w:bottom w:val="none" w:sz="0" w:space="0" w:color="auto"/>
            <w:right w:val="none" w:sz="0" w:space="0" w:color="auto"/>
          </w:divBdr>
        </w:div>
        <w:div w:id="1152991874">
          <w:marLeft w:val="0"/>
          <w:marRight w:val="0"/>
          <w:marTop w:val="0"/>
          <w:marBottom w:val="0"/>
          <w:divBdr>
            <w:top w:val="none" w:sz="0" w:space="0" w:color="auto"/>
            <w:left w:val="none" w:sz="0" w:space="0" w:color="auto"/>
            <w:bottom w:val="none" w:sz="0" w:space="0" w:color="auto"/>
            <w:right w:val="none" w:sz="0" w:space="0" w:color="auto"/>
          </w:divBdr>
        </w:div>
      </w:divsChild>
    </w:div>
    <w:div w:id="295527109">
      <w:bodyDiv w:val="1"/>
      <w:marLeft w:val="0"/>
      <w:marRight w:val="0"/>
      <w:marTop w:val="0"/>
      <w:marBottom w:val="0"/>
      <w:divBdr>
        <w:top w:val="none" w:sz="0" w:space="0" w:color="auto"/>
        <w:left w:val="none" w:sz="0" w:space="0" w:color="auto"/>
        <w:bottom w:val="none" w:sz="0" w:space="0" w:color="auto"/>
        <w:right w:val="none" w:sz="0" w:space="0" w:color="auto"/>
      </w:divBdr>
    </w:div>
    <w:div w:id="349183357">
      <w:bodyDiv w:val="1"/>
      <w:marLeft w:val="0"/>
      <w:marRight w:val="0"/>
      <w:marTop w:val="0"/>
      <w:marBottom w:val="0"/>
      <w:divBdr>
        <w:top w:val="none" w:sz="0" w:space="0" w:color="auto"/>
        <w:left w:val="none" w:sz="0" w:space="0" w:color="auto"/>
        <w:bottom w:val="none" w:sz="0" w:space="0" w:color="auto"/>
        <w:right w:val="none" w:sz="0" w:space="0" w:color="auto"/>
      </w:divBdr>
    </w:div>
    <w:div w:id="350569909">
      <w:bodyDiv w:val="1"/>
      <w:marLeft w:val="0"/>
      <w:marRight w:val="0"/>
      <w:marTop w:val="0"/>
      <w:marBottom w:val="0"/>
      <w:divBdr>
        <w:top w:val="none" w:sz="0" w:space="0" w:color="auto"/>
        <w:left w:val="none" w:sz="0" w:space="0" w:color="auto"/>
        <w:bottom w:val="none" w:sz="0" w:space="0" w:color="auto"/>
        <w:right w:val="none" w:sz="0" w:space="0" w:color="auto"/>
      </w:divBdr>
    </w:div>
    <w:div w:id="396442687">
      <w:bodyDiv w:val="1"/>
      <w:marLeft w:val="0"/>
      <w:marRight w:val="0"/>
      <w:marTop w:val="0"/>
      <w:marBottom w:val="0"/>
      <w:divBdr>
        <w:top w:val="none" w:sz="0" w:space="0" w:color="auto"/>
        <w:left w:val="none" w:sz="0" w:space="0" w:color="auto"/>
        <w:bottom w:val="none" w:sz="0" w:space="0" w:color="auto"/>
        <w:right w:val="none" w:sz="0" w:space="0" w:color="auto"/>
      </w:divBdr>
    </w:div>
    <w:div w:id="397477101">
      <w:bodyDiv w:val="1"/>
      <w:marLeft w:val="0"/>
      <w:marRight w:val="0"/>
      <w:marTop w:val="0"/>
      <w:marBottom w:val="0"/>
      <w:divBdr>
        <w:top w:val="none" w:sz="0" w:space="0" w:color="auto"/>
        <w:left w:val="none" w:sz="0" w:space="0" w:color="auto"/>
        <w:bottom w:val="none" w:sz="0" w:space="0" w:color="auto"/>
        <w:right w:val="none" w:sz="0" w:space="0" w:color="auto"/>
      </w:divBdr>
    </w:div>
    <w:div w:id="407119648">
      <w:bodyDiv w:val="1"/>
      <w:marLeft w:val="0"/>
      <w:marRight w:val="0"/>
      <w:marTop w:val="0"/>
      <w:marBottom w:val="0"/>
      <w:divBdr>
        <w:top w:val="none" w:sz="0" w:space="0" w:color="auto"/>
        <w:left w:val="none" w:sz="0" w:space="0" w:color="auto"/>
        <w:bottom w:val="none" w:sz="0" w:space="0" w:color="auto"/>
        <w:right w:val="none" w:sz="0" w:space="0" w:color="auto"/>
      </w:divBdr>
      <w:divsChild>
        <w:div w:id="1267234312">
          <w:marLeft w:val="0"/>
          <w:marRight w:val="0"/>
          <w:marTop w:val="0"/>
          <w:marBottom w:val="0"/>
          <w:divBdr>
            <w:top w:val="none" w:sz="0" w:space="0" w:color="auto"/>
            <w:left w:val="none" w:sz="0" w:space="0" w:color="auto"/>
            <w:bottom w:val="none" w:sz="0" w:space="0" w:color="auto"/>
            <w:right w:val="none" w:sz="0" w:space="0" w:color="auto"/>
          </w:divBdr>
        </w:div>
        <w:div w:id="1189832147">
          <w:marLeft w:val="0"/>
          <w:marRight w:val="0"/>
          <w:marTop w:val="0"/>
          <w:marBottom w:val="0"/>
          <w:divBdr>
            <w:top w:val="none" w:sz="0" w:space="0" w:color="auto"/>
            <w:left w:val="none" w:sz="0" w:space="0" w:color="auto"/>
            <w:bottom w:val="none" w:sz="0" w:space="0" w:color="auto"/>
            <w:right w:val="none" w:sz="0" w:space="0" w:color="auto"/>
          </w:divBdr>
        </w:div>
        <w:div w:id="1861357350">
          <w:marLeft w:val="0"/>
          <w:marRight w:val="0"/>
          <w:marTop w:val="0"/>
          <w:marBottom w:val="0"/>
          <w:divBdr>
            <w:top w:val="none" w:sz="0" w:space="0" w:color="auto"/>
            <w:left w:val="none" w:sz="0" w:space="0" w:color="auto"/>
            <w:bottom w:val="none" w:sz="0" w:space="0" w:color="auto"/>
            <w:right w:val="none" w:sz="0" w:space="0" w:color="auto"/>
          </w:divBdr>
        </w:div>
        <w:div w:id="871304627">
          <w:marLeft w:val="0"/>
          <w:marRight w:val="0"/>
          <w:marTop w:val="0"/>
          <w:marBottom w:val="0"/>
          <w:divBdr>
            <w:top w:val="none" w:sz="0" w:space="0" w:color="auto"/>
            <w:left w:val="none" w:sz="0" w:space="0" w:color="auto"/>
            <w:bottom w:val="none" w:sz="0" w:space="0" w:color="auto"/>
            <w:right w:val="none" w:sz="0" w:space="0" w:color="auto"/>
          </w:divBdr>
        </w:div>
        <w:div w:id="587231042">
          <w:marLeft w:val="0"/>
          <w:marRight w:val="0"/>
          <w:marTop w:val="0"/>
          <w:marBottom w:val="0"/>
          <w:divBdr>
            <w:top w:val="none" w:sz="0" w:space="0" w:color="auto"/>
            <w:left w:val="none" w:sz="0" w:space="0" w:color="auto"/>
            <w:bottom w:val="none" w:sz="0" w:space="0" w:color="auto"/>
            <w:right w:val="none" w:sz="0" w:space="0" w:color="auto"/>
          </w:divBdr>
        </w:div>
        <w:div w:id="1851020673">
          <w:marLeft w:val="0"/>
          <w:marRight w:val="0"/>
          <w:marTop w:val="0"/>
          <w:marBottom w:val="0"/>
          <w:divBdr>
            <w:top w:val="none" w:sz="0" w:space="0" w:color="auto"/>
            <w:left w:val="none" w:sz="0" w:space="0" w:color="auto"/>
            <w:bottom w:val="none" w:sz="0" w:space="0" w:color="auto"/>
            <w:right w:val="none" w:sz="0" w:space="0" w:color="auto"/>
          </w:divBdr>
        </w:div>
        <w:div w:id="1331979841">
          <w:marLeft w:val="0"/>
          <w:marRight w:val="0"/>
          <w:marTop w:val="0"/>
          <w:marBottom w:val="0"/>
          <w:divBdr>
            <w:top w:val="none" w:sz="0" w:space="0" w:color="auto"/>
            <w:left w:val="none" w:sz="0" w:space="0" w:color="auto"/>
            <w:bottom w:val="none" w:sz="0" w:space="0" w:color="auto"/>
            <w:right w:val="none" w:sz="0" w:space="0" w:color="auto"/>
          </w:divBdr>
        </w:div>
        <w:div w:id="55591463">
          <w:marLeft w:val="0"/>
          <w:marRight w:val="0"/>
          <w:marTop w:val="0"/>
          <w:marBottom w:val="0"/>
          <w:divBdr>
            <w:top w:val="none" w:sz="0" w:space="0" w:color="auto"/>
            <w:left w:val="none" w:sz="0" w:space="0" w:color="auto"/>
            <w:bottom w:val="none" w:sz="0" w:space="0" w:color="auto"/>
            <w:right w:val="none" w:sz="0" w:space="0" w:color="auto"/>
          </w:divBdr>
        </w:div>
        <w:div w:id="2029672498">
          <w:marLeft w:val="0"/>
          <w:marRight w:val="0"/>
          <w:marTop w:val="0"/>
          <w:marBottom w:val="0"/>
          <w:divBdr>
            <w:top w:val="none" w:sz="0" w:space="0" w:color="auto"/>
            <w:left w:val="none" w:sz="0" w:space="0" w:color="auto"/>
            <w:bottom w:val="none" w:sz="0" w:space="0" w:color="auto"/>
            <w:right w:val="none" w:sz="0" w:space="0" w:color="auto"/>
          </w:divBdr>
        </w:div>
        <w:div w:id="367727359">
          <w:marLeft w:val="0"/>
          <w:marRight w:val="0"/>
          <w:marTop w:val="0"/>
          <w:marBottom w:val="0"/>
          <w:divBdr>
            <w:top w:val="none" w:sz="0" w:space="0" w:color="auto"/>
            <w:left w:val="none" w:sz="0" w:space="0" w:color="auto"/>
            <w:bottom w:val="none" w:sz="0" w:space="0" w:color="auto"/>
            <w:right w:val="none" w:sz="0" w:space="0" w:color="auto"/>
          </w:divBdr>
        </w:div>
        <w:div w:id="1276909559">
          <w:marLeft w:val="0"/>
          <w:marRight w:val="0"/>
          <w:marTop w:val="0"/>
          <w:marBottom w:val="0"/>
          <w:divBdr>
            <w:top w:val="none" w:sz="0" w:space="0" w:color="auto"/>
            <w:left w:val="none" w:sz="0" w:space="0" w:color="auto"/>
            <w:bottom w:val="none" w:sz="0" w:space="0" w:color="auto"/>
            <w:right w:val="none" w:sz="0" w:space="0" w:color="auto"/>
          </w:divBdr>
        </w:div>
        <w:div w:id="2061898183">
          <w:marLeft w:val="0"/>
          <w:marRight w:val="0"/>
          <w:marTop w:val="0"/>
          <w:marBottom w:val="0"/>
          <w:divBdr>
            <w:top w:val="none" w:sz="0" w:space="0" w:color="auto"/>
            <w:left w:val="none" w:sz="0" w:space="0" w:color="auto"/>
            <w:bottom w:val="none" w:sz="0" w:space="0" w:color="auto"/>
            <w:right w:val="none" w:sz="0" w:space="0" w:color="auto"/>
          </w:divBdr>
        </w:div>
      </w:divsChild>
    </w:div>
    <w:div w:id="425272438">
      <w:bodyDiv w:val="1"/>
      <w:marLeft w:val="0"/>
      <w:marRight w:val="0"/>
      <w:marTop w:val="0"/>
      <w:marBottom w:val="0"/>
      <w:divBdr>
        <w:top w:val="none" w:sz="0" w:space="0" w:color="auto"/>
        <w:left w:val="none" w:sz="0" w:space="0" w:color="auto"/>
        <w:bottom w:val="none" w:sz="0" w:space="0" w:color="auto"/>
        <w:right w:val="none" w:sz="0" w:space="0" w:color="auto"/>
      </w:divBdr>
      <w:divsChild>
        <w:div w:id="28651377">
          <w:marLeft w:val="0"/>
          <w:marRight w:val="0"/>
          <w:marTop w:val="0"/>
          <w:marBottom w:val="0"/>
          <w:divBdr>
            <w:top w:val="none" w:sz="0" w:space="0" w:color="auto"/>
            <w:left w:val="none" w:sz="0" w:space="0" w:color="auto"/>
            <w:bottom w:val="none" w:sz="0" w:space="0" w:color="auto"/>
            <w:right w:val="none" w:sz="0" w:space="0" w:color="auto"/>
          </w:divBdr>
          <w:divsChild>
            <w:div w:id="655963376">
              <w:marLeft w:val="0"/>
              <w:marRight w:val="0"/>
              <w:marTop w:val="0"/>
              <w:marBottom w:val="0"/>
              <w:divBdr>
                <w:top w:val="none" w:sz="0" w:space="0" w:color="auto"/>
                <w:left w:val="none" w:sz="0" w:space="0" w:color="auto"/>
                <w:bottom w:val="none" w:sz="0" w:space="0" w:color="auto"/>
                <w:right w:val="none" w:sz="0" w:space="0" w:color="auto"/>
              </w:divBdr>
              <w:divsChild>
                <w:div w:id="529152582">
                  <w:marLeft w:val="0"/>
                  <w:marRight w:val="0"/>
                  <w:marTop w:val="0"/>
                  <w:marBottom w:val="0"/>
                  <w:divBdr>
                    <w:top w:val="none" w:sz="0" w:space="0" w:color="auto"/>
                    <w:left w:val="none" w:sz="0" w:space="0" w:color="auto"/>
                    <w:bottom w:val="none" w:sz="0" w:space="0" w:color="auto"/>
                    <w:right w:val="none" w:sz="0" w:space="0" w:color="auto"/>
                  </w:divBdr>
                  <w:divsChild>
                    <w:div w:id="15850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474389">
      <w:bodyDiv w:val="1"/>
      <w:marLeft w:val="0"/>
      <w:marRight w:val="0"/>
      <w:marTop w:val="0"/>
      <w:marBottom w:val="0"/>
      <w:divBdr>
        <w:top w:val="none" w:sz="0" w:space="0" w:color="auto"/>
        <w:left w:val="none" w:sz="0" w:space="0" w:color="auto"/>
        <w:bottom w:val="none" w:sz="0" w:space="0" w:color="auto"/>
        <w:right w:val="none" w:sz="0" w:space="0" w:color="auto"/>
      </w:divBdr>
      <w:divsChild>
        <w:div w:id="223180962">
          <w:marLeft w:val="0"/>
          <w:marRight w:val="0"/>
          <w:marTop w:val="0"/>
          <w:marBottom w:val="0"/>
          <w:divBdr>
            <w:top w:val="none" w:sz="0" w:space="0" w:color="auto"/>
            <w:left w:val="none" w:sz="0" w:space="0" w:color="auto"/>
            <w:bottom w:val="none" w:sz="0" w:space="0" w:color="auto"/>
            <w:right w:val="none" w:sz="0" w:space="0" w:color="auto"/>
          </w:divBdr>
          <w:divsChild>
            <w:div w:id="862478029">
              <w:marLeft w:val="0"/>
              <w:marRight w:val="0"/>
              <w:marTop w:val="0"/>
              <w:marBottom w:val="0"/>
              <w:divBdr>
                <w:top w:val="none" w:sz="0" w:space="0" w:color="auto"/>
                <w:left w:val="none" w:sz="0" w:space="0" w:color="auto"/>
                <w:bottom w:val="none" w:sz="0" w:space="0" w:color="auto"/>
                <w:right w:val="none" w:sz="0" w:space="0" w:color="auto"/>
              </w:divBdr>
              <w:divsChild>
                <w:div w:id="819926122">
                  <w:marLeft w:val="0"/>
                  <w:marRight w:val="0"/>
                  <w:marTop w:val="0"/>
                  <w:marBottom w:val="0"/>
                  <w:divBdr>
                    <w:top w:val="none" w:sz="0" w:space="0" w:color="auto"/>
                    <w:left w:val="none" w:sz="0" w:space="0" w:color="auto"/>
                    <w:bottom w:val="none" w:sz="0" w:space="0" w:color="auto"/>
                    <w:right w:val="none" w:sz="0" w:space="0" w:color="auto"/>
                  </w:divBdr>
                  <w:divsChild>
                    <w:div w:id="1852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5488">
      <w:bodyDiv w:val="1"/>
      <w:marLeft w:val="0"/>
      <w:marRight w:val="0"/>
      <w:marTop w:val="0"/>
      <w:marBottom w:val="0"/>
      <w:divBdr>
        <w:top w:val="none" w:sz="0" w:space="0" w:color="auto"/>
        <w:left w:val="none" w:sz="0" w:space="0" w:color="auto"/>
        <w:bottom w:val="none" w:sz="0" w:space="0" w:color="auto"/>
        <w:right w:val="none" w:sz="0" w:space="0" w:color="auto"/>
      </w:divBdr>
    </w:div>
    <w:div w:id="503597031">
      <w:bodyDiv w:val="1"/>
      <w:marLeft w:val="0"/>
      <w:marRight w:val="0"/>
      <w:marTop w:val="0"/>
      <w:marBottom w:val="0"/>
      <w:divBdr>
        <w:top w:val="none" w:sz="0" w:space="0" w:color="auto"/>
        <w:left w:val="none" w:sz="0" w:space="0" w:color="auto"/>
        <w:bottom w:val="none" w:sz="0" w:space="0" w:color="auto"/>
        <w:right w:val="none" w:sz="0" w:space="0" w:color="auto"/>
      </w:divBdr>
      <w:divsChild>
        <w:div w:id="1377702225">
          <w:marLeft w:val="0"/>
          <w:marRight w:val="0"/>
          <w:marTop w:val="0"/>
          <w:marBottom w:val="0"/>
          <w:divBdr>
            <w:top w:val="none" w:sz="0" w:space="0" w:color="auto"/>
            <w:left w:val="none" w:sz="0" w:space="0" w:color="auto"/>
            <w:bottom w:val="none" w:sz="0" w:space="0" w:color="auto"/>
            <w:right w:val="none" w:sz="0" w:space="0" w:color="auto"/>
          </w:divBdr>
        </w:div>
        <w:div w:id="1748529066">
          <w:marLeft w:val="0"/>
          <w:marRight w:val="0"/>
          <w:marTop w:val="0"/>
          <w:marBottom w:val="0"/>
          <w:divBdr>
            <w:top w:val="none" w:sz="0" w:space="0" w:color="auto"/>
            <w:left w:val="none" w:sz="0" w:space="0" w:color="auto"/>
            <w:bottom w:val="none" w:sz="0" w:space="0" w:color="auto"/>
            <w:right w:val="none" w:sz="0" w:space="0" w:color="auto"/>
          </w:divBdr>
        </w:div>
        <w:div w:id="1681199063">
          <w:marLeft w:val="0"/>
          <w:marRight w:val="0"/>
          <w:marTop w:val="0"/>
          <w:marBottom w:val="0"/>
          <w:divBdr>
            <w:top w:val="none" w:sz="0" w:space="0" w:color="auto"/>
            <w:left w:val="none" w:sz="0" w:space="0" w:color="auto"/>
            <w:bottom w:val="none" w:sz="0" w:space="0" w:color="auto"/>
            <w:right w:val="none" w:sz="0" w:space="0" w:color="auto"/>
          </w:divBdr>
        </w:div>
        <w:div w:id="673071535">
          <w:marLeft w:val="0"/>
          <w:marRight w:val="0"/>
          <w:marTop w:val="0"/>
          <w:marBottom w:val="0"/>
          <w:divBdr>
            <w:top w:val="none" w:sz="0" w:space="0" w:color="auto"/>
            <w:left w:val="none" w:sz="0" w:space="0" w:color="auto"/>
            <w:bottom w:val="none" w:sz="0" w:space="0" w:color="auto"/>
            <w:right w:val="none" w:sz="0" w:space="0" w:color="auto"/>
          </w:divBdr>
        </w:div>
        <w:div w:id="2044015939">
          <w:marLeft w:val="0"/>
          <w:marRight w:val="0"/>
          <w:marTop w:val="0"/>
          <w:marBottom w:val="0"/>
          <w:divBdr>
            <w:top w:val="none" w:sz="0" w:space="0" w:color="auto"/>
            <w:left w:val="none" w:sz="0" w:space="0" w:color="auto"/>
            <w:bottom w:val="none" w:sz="0" w:space="0" w:color="auto"/>
            <w:right w:val="none" w:sz="0" w:space="0" w:color="auto"/>
          </w:divBdr>
        </w:div>
        <w:div w:id="1440949935">
          <w:marLeft w:val="0"/>
          <w:marRight w:val="0"/>
          <w:marTop w:val="0"/>
          <w:marBottom w:val="0"/>
          <w:divBdr>
            <w:top w:val="none" w:sz="0" w:space="0" w:color="auto"/>
            <w:left w:val="none" w:sz="0" w:space="0" w:color="auto"/>
            <w:bottom w:val="none" w:sz="0" w:space="0" w:color="auto"/>
            <w:right w:val="none" w:sz="0" w:space="0" w:color="auto"/>
          </w:divBdr>
        </w:div>
        <w:div w:id="404494545">
          <w:marLeft w:val="0"/>
          <w:marRight w:val="0"/>
          <w:marTop w:val="0"/>
          <w:marBottom w:val="0"/>
          <w:divBdr>
            <w:top w:val="none" w:sz="0" w:space="0" w:color="auto"/>
            <w:left w:val="none" w:sz="0" w:space="0" w:color="auto"/>
            <w:bottom w:val="none" w:sz="0" w:space="0" w:color="auto"/>
            <w:right w:val="none" w:sz="0" w:space="0" w:color="auto"/>
          </w:divBdr>
        </w:div>
        <w:div w:id="208961407">
          <w:marLeft w:val="0"/>
          <w:marRight w:val="0"/>
          <w:marTop w:val="0"/>
          <w:marBottom w:val="0"/>
          <w:divBdr>
            <w:top w:val="none" w:sz="0" w:space="0" w:color="auto"/>
            <w:left w:val="none" w:sz="0" w:space="0" w:color="auto"/>
            <w:bottom w:val="none" w:sz="0" w:space="0" w:color="auto"/>
            <w:right w:val="none" w:sz="0" w:space="0" w:color="auto"/>
          </w:divBdr>
        </w:div>
        <w:div w:id="1620331748">
          <w:marLeft w:val="0"/>
          <w:marRight w:val="0"/>
          <w:marTop w:val="0"/>
          <w:marBottom w:val="0"/>
          <w:divBdr>
            <w:top w:val="none" w:sz="0" w:space="0" w:color="auto"/>
            <w:left w:val="none" w:sz="0" w:space="0" w:color="auto"/>
            <w:bottom w:val="none" w:sz="0" w:space="0" w:color="auto"/>
            <w:right w:val="none" w:sz="0" w:space="0" w:color="auto"/>
          </w:divBdr>
        </w:div>
        <w:div w:id="1587884618">
          <w:marLeft w:val="0"/>
          <w:marRight w:val="0"/>
          <w:marTop w:val="0"/>
          <w:marBottom w:val="0"/>
          <w:divBdr>
            <w:top w:val="none" w:sz="0" w:space="0" w:color="auto"/>
            <w:left w:val="none" w:sz="0" w:space="0" w:color="auto"/>
            <w:bottom w:val="none" w:sz="0" w:space="0" w:color="auto"/>
            <w:right w:val="none" w:sz="0" w:space="0" w:color="auto"/>
          </w:divBdr>
        </w:div>
        <w:div w:id="1622224827">
          <w:marLeft w:val="0"/>
          <w:marRight w:val="0"/>
          <w:marTop w:val="0"/>
          <w:marBottom w:val="0"/>
          <w:divBdr>
            <w:top w:val="none" w:sz="0" w:space="0" w:color="auto"/>
            <w:left w:val="none" w:sz="0" w:space="0" w:color="auto"/>
            <w:bottom w:val="none" w:sz="0" w:space="0" w:color="auto"/>
            <w:right w:val="none" w:sz="0" w:space="0" w:color="auto"/>
          </w:divBdr>
        </w:div>
        <w:div w:id="800654954">
          <w:marLeft w:val="0"/>
          <w:marRight w:val="0"/>
          <w:marTop w:val="0"/>
          <w:marBottom w:val="0"/>
          <w:divBdr>
            <w:top w:val="none" w:sz="0" w:space="0" w:color="auto"/>
            <w:left w:val="none" w:sz="0" w:space="0" w:color="auto"/>
            <w:bottom w:val="none" w:sz="0" w:space="0" w:color="auto"/>
            <w:right w:val="none" w:sz="0" w:space="0" w:color="auto"/>
          </w:divBdr>
        </w:div>
      </w:divsChild>
    </w:div>
    <w:div w:id="507870787">
      <w:bodyDiv w:val="1"/>
      <w:marLeft w:val="0"/>
      <w:marRight w:val="0"/>
      <w:marTop w:val="0"/>
      <w:marBottom w:val="0"/>
      <w:divBdr>
        <w:top w:val="none" w:sz="0" w:space="0" w:color="auto"/>
        <w:left w:val="none" w:sz="0" w:space="0" w:color="auto"/>
        <w:bottom w:val="none" w:sz="0" w:space="0" w:color="auto"/>
        <w:right w:val="none" w:sz="0" w:space="0" w:color="auto"/>
      </w:divBdr>
      <w:divsChild>
        <w:div w:id="780226277">
          <w:marLeft w:val="0"/>
          <w:marRight w:val="0"/>
          <w:marTop w:val="0"/>
          <w:marBottom w:val="0"/>
          <w:divBdr>
            <w:top w:val="none" w:sz="0" w:space="0" w:color="auto"/>
            <w:left w:val="none" w:sz="0" w:space="0" w:color="auto"/>
            <w:bottom w:val="none" w:sz="0" w:space="0" w:color="auto"/>
            <w:right w:val="none" w:sz="0" w:space="0" w:color="auto"/>
          </w:divBdr>
        </w:div>
        <w:div w:id="1322737167">
          <w:marLeft w:val="0"/>
          <w:marRight w:val="0"/>
          <w:marTop w:val="0"/>
          <w:marBottom w:val="0"/>
          <w:divBdr>
            <w:top w:val="none" w:sz="0" w:space="0" w:color="auto"/>
            <w:left w:val="none" w:sz="0" w:space="0" w:color="auto"/>
            <w:bottom w:val="none" w:sz="0" w:space="0" w:color="auto"/>
            <w:right w:val="none" w:sz="0" w:space="0" w:color="auto"/>
          </w:divBdr>
        </w:div>
        <w:div w:id="183980923">
          <w:marLeft w:val="0"/>
          <w:marRight w:val="0"/>
          <w:marTop w:val="0"/>
          <w:marBottom w:val="0"/>
          <w:divBdr>
            <w:top w:val="none" w:sz="0" w:space="0" w:color="auto"/>
            <w:left w:val="none" w:sz="0" w:space="0" w:color="auto"/>
            <w:bottom w:val="none" w:sz="0" w:space="0" w:color="auto"/>
            <w:right w:val="none" w:sz="0" w:space="0" w:color="auto"/>
          </w:divBdr>
        </w:div>
        <w:div w:id="788740144">
          <w:marLeft w:val="0"/>
          <w:marRight w:val="0"/>
          <w:marTop w:val="0"/>
          <w:marBottom w:val="0"/>
          <w:divBdr>
            <w:top w:val="none" w:sz="0" w:space="0" w:color="auto"/>
            <w:left w:val="none" w:sz="0" w:space="0" w:color="auto"/>
            <w:bottom w:val="none" w:sz="0" w:space="0" w:color="auto"/>
            <w:right w:val="none" w:sz="0" w:space="0" w:color="auto"/>
          </w:divBdr>
        </w:div>
        <w:div w:id="364333888">
          <w:marLeft w:val="0"/>
          <w:marRight w:val="0"/>
          <w:marTop w:val="0"/>
          <w:marBottom w:val="0"/>
          <w:divBdr>
            <w:top w:val="none" w:sz="0" w:space="0" w:color="auto"/>
            <w:left w:val="none" w:sz="0" w:space="0" w:color="auto"/>
            <w:bottom w:val="none" w:sz="0" w:space="0" w:color="auto"/>
            <w:right w:val="none" w:sz="0" w:space="0" w:color="auto"/>
          </w:divBdr>
        </w:div>
        <w:div w:id="4476266">
          <w:marLeft w:val="0"/>
          <w:marRight w:val="0"/>
          <w:marTop w:val="0"/>
          <w:marBottom w:val="0"/>
          <w:divBdr>
            <w:top w:val="none" w:sz="0" w:space="0" w:color="auto"/>
            <w:left w:val="none" w:sz="0" w:space="0" w:color="auto"/>
            <w:bottom w:val="none" w:sz="0" w:space="0" w:color="auto"/>
            <w:right w:val="none" w:sz="0" w:space="0" w:color="auto"/>
          </w:divBdr>
        </w:div>
        <w:div w:id="1747800035">
          <w:marLeft w:val="0"/>
          <w:marRight w:val="0"/>
          <w:marTop w:val="0"/>
          <w:marBottom w:val="0"/>
          <w:divBdr>
            <w:top w:val="none" w:sz="0" w:space="0" w:color="auto"/>
            <w:left w:val="none" w:sz="0" w:space="0" w:color="auto"/>
            <w:bottom w:val="none" w:sz="0" w:space="0" w:color="auto"/>
            <w:right w:val="none" w:sz="0" w:space="0" w:color="auto"/>
          </w:divBdr>
        </w:div>
        <w:div w:id="1266768235">
          <w:marLeft w:val="0"/>
          <w:marRight w:val="0"/>
          <w:marTop w:val="0"/>
          <w:marBottom w:val="0"/>
          <w:divBdr>
            <w:top w:val="none" w:sz="0" w:space="0" w:color="auto"/>
            <w:left w:val="none" w:sz="0" w:space="0" w:color="auto"/>
            <w:bottom w:val="none" w:sz="0" w:space="0" w:color="auto"/>
            <w:right w:val="none" w:sz="0" w:space="0" w:color="auto"/>
          </w:divBdr>
        </w:div>
        <w:div w:id="1859542214">
          <w:marLeft w:val="0"/>
          <w:marRight w:val="0"/>
          <w:marTop w:val="0"/>
          <w:marBottom w:val="0"/>
          <w:divBdr>
            <w:top w:val="none" w:sz="0" w:space="0" w:color="auto"/>
            <w:left w:val="none" w:sz="0" w:space="0" w:color="auto"/>
            <w:bottom w:val="none" w:sz="0" w:space="0" w:color="auto"/>
            <w:right w:val="none" w:sz="0" w:space="0" w:color="auto"/>
          </w:divBdr>
        </w:div>
        <w:div w:id="951284345">
          <w:marLeft w:val="0"/>
          <w:marRight w:val="0"/>
          <w:marTop w:val="0"/>
          <w:marBottom w:val="0"/>
          <w:divBdr>
            <w:top w:val="none" w:sz="0" w:space="0" w:color="auto"/>
            <w:left w:val="none" w:sz="0" w:space="0" w:color="auto"/>
            <w:bottom w:val="none" w:sz="0" w:space="0" w:color="auto"/>
            <w:right w:val="none" w:sz="0" w:space="0" w:color="auto"/>
          </w:divBdr>
        </w:div>
        <w:div w:id="659845415">
          <w:marLeft w:val="0"/>
          <w:marRight w:val="0"/>
          <w:marTop w:val="0"/>
          <w:marBottom w:val="0"/>
          <w:divBdr>
            <w:top w:val="none" w:sz="0" w:space="0" w:color="auto"/>
            <w:left w:val="none" w:sz="0" w:space="0" w:color="auto"/>
            <w:bottom w:val="none" w:sz="0" w:space="0" w:color="auto"/>
            <w:right w:val="none" w:sz="0" w:space="0" w:color="auto"/>
          </w:divBdr>
        </w:div>
        <w:div w:id="103622652">
          <w:marLeft w:val="0"/>
          <w:marRight w:val="0"/>
          <w:marTop w:val="0"/>
          <w:marBottom w:val="0"/>
          <w:divBdr>
            <w:top w:val="none" w:sz="0" w:space="0" w:color="auto"/>
            <w:left w:val="none" w:sz="0" w:space="0" w:color="auto"/>
            <w:bottom w:val="none" w:sz="0" w:space="0" w:color="auto"/>
            <w:right w:val="none" w:sz="0" w:space="0" w:color="auto"/>
          </w:divBdr>
        </w:div>
        <w:div w:id="244412661">
          <w:marLeft w:val="0"/>
          <w:marRight w:val="0"/>
          <w:marTop w:val="0"/>
          <w:marBottom w:val="0"/>
          <w:divBdr>
            <w:top w:val="none" w:sz="0" w:space="0" w:color="auto"/>
            <w:left w:val="none" w:sz="0" w:space="0" w:color="auto"/>
            <w:bottom w:val="none" w:sz="0" w:space="0" w:color="auto"/>
            <w:right w:val="none" w:sz="0" w:space="0" w:color="auto"/>
          </w:divBdr>
        </w:div>
        <w:div w:id="379743369">
          <w:marLeft w:val="0"/>
          <w:marRight w:val="0"/>
          <w:marTop w:val="0"/>
          <w:marBottom w:val="0"/>
          <w:divBdr>
            <w:top w:val="none" w:sz="0" w:space="0" w:color="auto"/>
            <w:left w:val="none" w:sz="0" w:space="0" w:color="auto"/>
            <w:bottom w:val="none" w:sz="0" w:space="0" w:color="auto"/>
            <w:right w:val="none" w:sz="0" w:space="0" w:color="auto"/>
          </w:divBdr>
        </w:div>
        <w:div w:id="1511067942">
          <w:marLeft w:val="0"/>
          <w:marRight w:val="0"/>
          <w:marTop w:val="0"/>
          <w:marBottom w:val="0"/>
          <w:divBdr>
            <w:top w:val="none" w:sz="0" w:space="0" w:color="auto"/>
            <w:left w:val="none" w:sz="0" w:space="0" w:color="auto"/>
            <w:bottom w:val="none" w:sz="0" w:space="0" w:color="auto"/>
            <w:right w:val="none" w:sz="0" w:space="0" w:color="auto"/>
          </w:divBdr>
        </w:div>
        <w:div w:id="1889106199">
          <w:marLeft w:val="0"/>
          <w:marRight w:val="0"/>
          <w:marTop w:val="0"/>
          <w:marBottom w:val="0"/>
          <w:divBdr>
            <w:top w:val="none" w:sz="0" w:space="0" w:color="auto"/>
            <w:left w:val="none" w:sz="0" w:space="0" w:color="auto"/>
            <w:bottom w:val="none" w:sz="0" w:space="0" w:color="auto"/>
            <w:right w:val="none" w:sz="0" w:space="0" w:color="auto"/>
          </w:divBdr>
        </w:div>
        <w:div w:id="6105540">
          <w:marLeft w:val="0"/>
          <w:marRight w:val="0"/>
          <w:marTop w:val="0"/>
          <w:marBottom w:val="0"/>
          <w:divBdr>
            <w:top w:val="none" w:sz="0" w:space="0" w:color="auto"/>
            <w:left w:val="none" w:sz="0" w:space="0" w:color="auto"/>
            <w:bottom w:val="none" w:sz="0" w:space="0" w:color="auto"/>
            <w:right w:val="none" w:sz="0" w:space="0" w:color="auto"/>
          </w:divBdr>
        </w:div>
        <w:div w:id="1705598590">
          <w:marLeft w:val="0"/>
          <w:marRight w:val="0"/>
          <w:marTop w:val="0"/>
          <w:marBottom w:val="0"/>
          <w:divBdr>
            <w:top w:val="none" w:sz="0" w:space="0" w:color="auto"/>
            <w:left w:val="none" w:sz="0" w:space="0" w:color="auto"/>
            <w:bottom w:val="none" w:sz="0" w:space="0" w:color="auto"/>
            <w:right w:val="none" w:sz="0" w:space="0" w:color="auto"/>
          </w:divBdr>
        </w:div>
        <w:div w:id="954404055">
          <w:marLeft w:val="0"/>
          <w:marRight w:val="0"/>
          <w:marTop w:val="0"/>
          <w:marBottom w:val="0"/>
          <w:divBdr>
            <w:top w:val="none" w:sz="0" w:space="0" w:color="auto"/>
            <w:left w:val="none" w:sz="0" w:space="0" w:color="auto"/>
            <w:bottom w:val="none" w:sz="0" w:space="0" w:color="auto"/>
            <w:right w:val="none" w:sz="0" w:space="0" w:color="auto"/>
          </w:divBdr>
        </w:div>
        <w:div w:id="377319878">
          <w:marLeft w:val="0"/>
          <w:marRight w:val="0"/>
          <w:marTop w:val="0"/>
          <w:marBottom w:val="0"/>
          <w:divBdr>
            <w:top w:val="none" w:sz="0" w:space="0" w:color="auto"/>
            <w:left w:val="none" w:sz="0" w:space="0" w:color="auto"/>
            <w:bottom w:val="none" w:sz="0" w:space="0" w:color="auto"/>
            <w:right w:val="none" w:sz="0" w:space="0" w:color="auto"/>
          </w:divBdr>
        </w:div>
        <w:div w:id="1942683687">
          <w:marLeft w:val="0"/>
          <w:marRight w:val="0"/>
          <w:marTop w:val="0"/>
          <w:marBottom w:val="0"/>
          <w:divBdr>
            <w:top w:val="none" w:sz="0" w:space="0" w:color="auto"/>
            <w:left w:val="none" w:sz="0" w:space="0" w:color="auto"/>
            <w:bottom w:val="none" w:sz="0" w:space="0" w:color="auto"/>
            <w:right w:val="none" w:sz="0" w:space="0" w:color="auto"/>
          </w:divBdr>
        </w:div>
        <w:div w:id="1590041616">
          <w:marLeft w:val="0"/>
          <w:marRight w:val="0"/>
          <w:marTop w:val="0"/>
          <w:marBottom w:val="0"/>
          <w:divBdr>
            <w:top w:val="none" w:sz="0" w:space="0" w:color="auto"/>
            <w:left w:val="none" w:sz="0" w:space="0" w:color="auto"/>
            <w:bottom w:val="none" w:sz="0" w:space="0" w:color="auto"/>
            <w:right w:val="none" w:sz="0" w:space="0" w:color="auto"/>
          </w:divBdr>
        </w:div>
        <w:div w:id="337006826">
          <w:marLeft w:val="0"/>
          <w:marRight w:val="0"/>
          <w:marTop w:val="0"/>
          <w:marBottom w:val="0"/>
          <w:divBdr>
            <w:top w:val="none" w:sz="0" w:space="0" w:color="auto"/>
            <w:left w:val="none" w:sz="0" w:space="0" w:color="auto"/>
            <w:bottom w:val="none" w:sz="0" w:space="0" w:color="auto"/>
            <w:right w:val="none" w:sz="0" w:space="0" w:color="auto"/>
          </w:divBdr>
        </w:div>
        <w:div w:id="780612919">
          <w:marLeft w:val="0"/>
          <w:marRight w:val="0"/>
          <w:marTop w:val="0"/>
          <w:marBottom w:val="0"/>
          <w:divBdr>
            <w:top w:val="none" w:sz="0" w:space="0" w:color="auto"/>
            <w:left w:val="none" w:sz="0" w:space="0" w:color="auto"/>
            <w:bottom w:val="none" w:sz="0" w:space="0" w:color="auto"/>
            <w:right w:val="none" w:sz="0" w:space="0" w:color="auto"/>
          </w:divBdr>
        </w:div>
      </w:divsChild>
    </w:div>
    <w:div w:id="525093702">
      <w:bodyDiv w:val="1"/>
      <w:marLeft w:val="0"/>
      <w:marRight w:val="0"/>
      <w:marTop w:val="0"/>
      <w:marBottom w:val="0"/>
      <w:divBdr>
        <w:top w:val="none" w:sz="0" w:space="0" w:color="auto"/>
        <w:left w:val="none" w:sz="0" w:space="0" w:color="auto"/>
        <w:bottom w:val="none" w:sz="0" w:space="0" w:color="auto"/>
        <w:right w:val="none" w:sz="0" w:space="0" w:color="auto"/>
      </w:divBdr>
    </w:div>
    <w:div w:id="528563451">
      <w:bodyDiv w:val="1"/>
      <w:marLeft w:val="0"/>
      <w:marRight w:val="0"/>
      <w:marTop w:val="0"/>
      <w:marBottom w:val="0"/>
      <w:divBdr>
        <w:top w:val="none" w:sz="0" w:space="0" w:color="auto"/>
        <w:left w:val="none" w:sz="0" w:space="0" w:color="auto"/>
        <w:bottom w:val="none" w:sz="0" w:space="0" w:color="auto"/>
        <w:right w:val="none" w:sz="0" w:space="0" w:color="auto"/>
      </w:divBdr>
      <w:divsChild>
        <w:div w:id="1243031907">
          <w:marLeft w:val="0"/>
          <w:marRight w:val="0"/>
          <w:marTop w:val="0"/>
          <w:marBottom w:val="0"/>
          <w:divBdr>
            <w:top w:val="none" w:sz="0" w:space="0" w:color="auto"/>
            <w:left w:val="none" w:sz="0" w:space="0" w:color="auto"/>
            <w:bottom w:val="none" w:sz="0" w:space="0" w:color="auto"/>
            <w:right w:val="none" w:sz="0" w:space="0" w:color="auto"/>
          </w:divBdr>
        </w:div>
        <w:div w:id="1106316527">
          <w:marLeft w:val="0"/>
          <w:marRight w:val="0"/>
          <w:marTop w:val="0"/>
          <w:marBottom w:val="0"/>
          <w:divBdr>
            <w:top w:val="none" w:sz="0" w:space="0" w:color="auto"/>
            <w:left w:val="none" w:sz="0" w:space="0" w:color="auto"/>
            <w:bottom w:val="none" w:sz="0" w:space="0" w:color="auto"/>
            <w:right w:val="none" w:sz="0" w:space="0" w:color="auto"/>
          </w:divBdr>
        </w:div>
        <w:div w:id="1214393308">
          <w:marLeft w:val="0"/>
          <w:marRight w:val="0"/>
          <w:marTop w:val="0"/>
          <w:marBottom w:val="0"/>
          <w:divBdr>
            <w:top w:val="none" w:sz="0" w:space="0" w:color="auto"/>
            <w:left w:val="none" w:sz="0" w:space="0" w:color="auto"/>
            <w:bottom w:val="none" w:sz="0" w:space="0" w:color="auto"/>
            <w:right w:val="none" w:sz="0" w:space="0" w:color="auto"/>
          </w:divBdr>
        </w:div>
        <w:div w:id="458497909">
          <w:marLeft w:val="0"/>
          <w:marRight w:val="0"/>
          <w:marTop w:val="0"/>
          <w:marBottom w:val="0"/>
          <w:divBdr>
            <w:top w:val="none" w:sz="0" w:space="0" w:color="auto"/>
            <w:left w:val="none" w:sz="0" w:space="0" w:color="auto"/>
            <w:bottom w:val="none" w:sz="0" w:space="0" w:color="auto"/>
            <w:right w:val="none" w:sz="0" w:space="0" w:color="auto"/>
          </w:divBdr>
        </w:div>
        <w:div w:id="1281642475">
          <w:marLeft w:val="0"/>
          <w:marRight w:val="0"/>
          <w:marTop w:val="0"/>
          <w:marBottom w:val="0"/>
          <w:divBdr>
            <w:top w:val="none" w:sz="0" w:space="0" w:color="auto"/>
            <w:left w:val="none" w:sz="0" w:space="0" w:color="auto"/>
            <w:bottom w:val="none" w:sz="0" w:space="0" w:color="auto"/>
            <w:right w:val="none" w:sz="0" w:space="0" w:color="auto"/>
          </w:divBdr>
        </w:div>
        <w:div w:id="281114626">
          <w:marLeft w:val="0"/>
          <w:marRight w:val="0"/>
          <w:marTop w:val="0"/>
          <w:marBottom w:val="0"/>
          <w:divBdr>
            <w:top w:val="none" w:sz="0" w:space="0" w:color="auto"/>
            <w:left w:val="none" w:sz="0" w:space="0" w:color="auto"/>
            <w:bottom w:val="none" w:sz="0" w:space="0" w:color="auto"/>
            <w:right w:val="none" w:sz="0" w:space="0" w:color="auto"/>
          </w:divBdr>
        </w:div>
        <w:div w:id="10953438">
          <w:marLeft w:val="0"/>
          <w:marRight w:val="0"/>
          <w:marTop w:val="0"/>
          <w:marBottom w:val="0"/>
          <w:divBdr>
            <w:top w:val="none" w:sz="0" w:space="0" w:color="auto"/>
            <w:left w:val="none" w:sz="0" w:space="0" w:color="auto"/>
            <w:bottom w:val="none" w:sz="0" w:space="0" w:color="auto"/>
            <w:right w:val="none" w:sz="0" w:space="0" w:color="auto"/>
          </w:divBdr>
        </w:div>
        <w:div w:id="767581834">
          <w:marLeft w:val="0"/>
          <w:marRight w:val="0"/>
          <w:marTop w:val="0"/>
          <w:marBottom w:val="0"/>
          <w:divBdr>
            <w:top w:val="none" w:sz="0" w:space="0" w:color="auto"/>
            <w:left w:val="none" w:sz="0" w:space="0" w:color="auto"/>
            <w:bottom w:val="none" w:sz="0" w:space="0" w:color="auto"/>
            <w:right w:val="none" w:sz="0" w:space="0" w:color="auto"/>
          </w:divBdr>
        </w:div>
        <w:div w:id="168063639">
          <w:marLeft w:val="0"/>
          <w:marRight w:val="0"/>
          <w:marTop w:val="0"/>
          <w:marBottom w:val="0"/>
          <w:divBdr>
            <w:top w:val="none" w:sz="0" w:space="0" w:color="auto"/>
            <w:left w:val="none" w:sz="0" w:space="0" w:color="auto"/>
            <w:bottom w:val="none" w:sz="0" w:space="0" w:color="auto"/>
            <w:right w:val="none" w:sz="0" w:space="0" w:color="auto"/>
          </w:divBdr>
        </w:div>
        <w:div w:id="748424206">
          <w:marLeft w:val="0"/>
          <w:marRight w:val="0"/>
          <w:marTop w:val="0"/>
          <w:marBottom w:val="0"/>
          <w:divBdr>
            <w:top w:val="none" w:sz="0" w:space="0" w:color="auto"/>
            <w:left w:val="none" w:sz="0" w:space="0" w:color="auto"/>
            <w:bottom w:val="none" w:sz="0" w:space="0" w:color="auto"/>
            <w:right w:val="none" w:sz="0" w:space="0" w:color="auto"/>
          </w:divBdr>
        </w:div>
        <w:div w:id="1865048378">
          <w:marLeft w:val="0"/>
          <w:marRight w:val="0"/>
          <w:marTop w:val="0"/>
          <w:marBottom w:val="0"/>
          <w:divBdr>
            <w:top w:val="none" w:sz="0" w:space="0" w:color="auto"/>
            <w:left w:val="none" w:sz="0" w:space="0" w:color="auto"/>
            <w:bottom w:val="none" w:sz="0" w:space="0" w:color="auto"/>
            <w:right w:val="none" w:sz="0" w:space="0" w:color="auto"/>
          </w:divBdr>
        </w:div>
        <w:div w:id="357896351">
          <w:marLeft w:val="0"/>
          <w:marRight w:val="0"/>
          <w:marTop w:val="0"/>
          <w:marBottom w:val="0"/>
          <w:divBdr>
            <w:top w:val="none" w:sz="0" w:space="0" w:color="auto"/>
            <w:left w:val="none" w:sz="0" w:space="0" w:color="auto"/>
            <w:bottom w:val="none" w:sz="0" w:space="0" w:color="auto"/>
            <w:right w:val="none" w:sz="0" w:space="0" w:color="auto"/>
          </w:divBdr>
        </w:div>
        <w:div w:id="1108889956">
          <w:marLeft w:val="0"/>
          <w:marRight w:val="0"/>
          <w:marTop w:val="0"/>
          <w:marBottom w:val="0"/>
          <w:divBdr>
            <w:top w:val="none" w:sz="0" w:space="0" w:color="auto"/>
            <w:left w:val="none" w:sz="0" w:space="0" w:color="auto"/>
            <w:bottom w:val="none" w:sz="0" w:space="0" w:color="auto"/>
            <w:right w:val="none" w:sz="0" w:space="0" w:color="auto"/>
          </w:divBdr>
        </w:div>
        <w:div w:id="24645910">
          <w:marLeft w:val="0"/>
          <w:marRight w:val="0"/>
          <w:marTop w:val="0"/>
          <w:marBottom w:val="0"/>
          <w:divBdr>
            <w:top w:val="none" w:sz="0" w:space="0" w:color="auto"/>
            <w:left w:val="none" w:sz="0" w:space="0" w:color="auto"/>
            <w:bottom w:val="none" w:sz="0" w:space="0" w:color="auto"/>
            <w:right w:val="none" w:sz="0" w:space="0" w:color="auto"/>
          </w:divBdr>
        </w:div>
        <w:div w:id="114103544">
          <w:marLeft w:val="0"/>
          <w:marRight w:val="0"/>
          <w:marTop w:val="0"/>
          <w:marBottom w:val="0"/>
          <w:divBdr>
            <w:top w:val="none" w:sz="0" w:space="0" w:color="auto"/>
            <w:left w:val="none" w:sz="0" w:space="0" w:color="auto"/>
            <w:bottom w:val="none" w:sz="0" w:space="0" w:color="auto"/>
            <w:right w:val="none" w:sz="0" w:space="0" w:color="auto"/>
          </w:divBdr>
        </w:div>
        <w:div w:id="254481357">
          <w:marLeft w:val="0"/>
          <w:marRight w:val="0"/>
          <w:marTop w:val="0"/>
          <w:marBottom w:val="0"/>
          <w:divBdr>
            <w:top w:val="none" w:sz="0" w:space="0" w:color="auto"/>
            <w:left w:val="none" w:sz="0" w:space="0" w:color="auto"/>
            <w:bottom w:val="none" w:sz="0" w:space="0" w:color="auto"/>
            <w:right w:val="none" w:sz="0" w:space="0" w:color="auto"/>
          </w:divBdr>
        </w:div>
        <w:div w:id="521676281">
          <w:marLeft w:val="0"/>
          <w:marRight w:val="0"/>
          <w:marTop w:val="0"/>
          <w:marBottom w:val="0"/>
          <w:divBdr>
            <w:top w:val="none" w:sz="0" w:space="0" w:color="auto"/>
            <w:left w:val="none" w:sz="0" w:space="0" w:color="auto"/>
            <w:bottom w:val="none" w:sz="0" w:space="0" w:color="auto"/>
            <w:right w:val="none" w:sz="0" w:space="0" w:color="auto"/>
          </w:divBdr>
        </w:div>
        <w:div w:id="1385175253">
          <w:marLeft w:val="0"/>
          <w:marRight w:val="0"/>
          <w:marTop w:val="0"/>
          <w:marBottom w:val="0"/>
          <w:divBdr>
            <w:top w:val="none" w:sz="0" w:space="0" w:color="auto"/>
            <w:left w:val="none" w:sz="0" w:space="0" w:color="auto"/>
            <w:bottom w:val="none" w:sz="0" w:space="0" w:color="auto"/>
            <w:right w:val="none" w:sz="0" w:space="0" w:color="auto"/>
          </w:divBdr>
        </w:div>
        <w:div w:id="1139803004">
          <w:marLeft w:val="0"/>
          <w:marRight w:val="0"/>
          <w:marTop w:val="0"/>
          <w:marBottom w:val="0"/>
          <w:divBdr>
            <w:top w:val="none" w:sz="0" w:space="0" w:color="auto"/>
            <w:left w:val="none" w:sz="0" w:space="0" w:color="auto"/>
            <w:bottom w:val="none" w:sz="0" w:space="0" w:color="auto"/>
            <w:right w:val="none" w:sz="0" w:space="0" w:color="auto"/>
          </w:divBdr>
        </w:div>
        <w:div w:id="648169302">
          <w:marLeft w:val="0"/>
          <w:marRight w:val="0"/>
          <w:marTop w:val="0"/>
          <w:marBottom w:val="0"/>
          <w:divBdr>
            <w:top w:val="none" w:sz="0" w:space="0" w:color="auto"/>
            <w:left w:val="none" w:sz="0" w:space="0" w:color="auto"/>
            <w:bottom w:val="none" w:sz="0" w:space="0" w:color="auto"/>
            <w:right w:val="none" w:sz="0" w:space="0" w:color="auto"/>
          </w:divBdr>
        </w:div>
        <w:div w:id="1506744006">
          <w:marLeft w:val="0"/>
          <w:marRight w:val="0"/>
          <w:marTop w:val="0"/>
          <w:marBottom w:val="0"/>
          <w:divBdr>
            <w:top w:val="none" w:sz="0" w:space="0" w:color="auto"/>
            <w:left w:val="none" w:sz="0" w:space="0" w:color="auto"/>
            <w:bottom w:val="none" w:sz="0" w:space="0" w:color="auto"/>
            <w:right w:val="none" w:sz="0" w:space="0" w:color="auto"/>
          </w:divBdr>
        </w:div>
        <w:div w:id="817114132">
          <w:marLeft w:val="0"/>
          <w:marRight w:val="0"/>
          <w:marTop w:val="0"/>
          <w:marBottom w:val="0"/>
          <w:divBdr>
            <w:top w:val="none" w:sz="0" w:space="0" w:color="auto"/>
            <w:left w:val="none" w:sz="0" w:space="0" w:color="auto"/>
            <w:bottom w:val="none" w:sz="0" w:space="0" w:color="auto"/>
            <w:right w:val="none" w:sz="0" w:space="0" w:color="auto"/>
          </w:divBdr>
        </w:div>
        <w:div w:id="436366800">
          <w:marLeft w:val="0"/>
          <w:marRight w:val="0"/>
          <w:marTop w:val="0"/>
          <w:marBottom w:val="0"/>
          <w:divBdr>
            <w:top w:val="none" w:sz="0" w:space="0" w:color="auto"/>
            <w:left w:val="none" w:sz="0" w:space="0" w:color="auto"/>
            <w:bottom w:val="none" w:sz="0" w:space="0" w:color="auto"/>
            <w:right w:val="none" w:sz="0" w:space="0" w:color="auto"/>
          </w:divBdr>
        </w:div>
        <w:div w:id="1617522355">
          <w:marLeft w:val="0"/>
          <w:marRight w:val="0"/>
          <w:marTop w:val="0"/>
          <w:marBottom w:val="0"/>
          <w:divBdr>
            <w:top w:val="none" w:sz="0" w:space="0" w:color="auto"/>
            <w:left w:val="none" w:sz="0" w:space="0" w:color="auto"/>
            <w:bottom w:val="none" w:sz="0" w:space="0" w:color="auto"/>
            <w:right w:val="none" w:sz="0" w:space="0" w:color="auto"/>
          </w:divBdr>
        </w:div>
        <w:div w:id="1767924840">
          <w:marLeft w:val="0"/>
          <w:marRight w:val="0"/>
          <w:marTop w:val="0"/>
          <w:marBottom w:val="0"/>
          <w:divBdr>
            <w:top w:val="none" w:sz="0" w:space="0" w:color="auto"/>
            <w:left w:val="none" w:sz="0" w:space="0" w:color="auto"/>
            <w:bottom w:val="none" w:sz="0" w:space="0" w:color="auto"/>
            <w:right w:val="none" w:sz="0" w:space="0" w:color="auto"/>
          </w:divBdr>
        </w:div>
        <w:div w:id="2127310247">
          <w:marLeft w:val="0"/>
          <w:marRight w:val="0"/>
          <w:marTop w:val="0"/>
          <w:marBottom w:val="0"/>
          <w:divBdr>
            <w:top w:val="none" w:sz="0" w:space="0" w:color="auto"/>
            <w:left w:val="none" w:sz="0" w:space="0" w:color="auto"/>
            <w:bottom w:val="none" w:sz="0" w:space="0" w:color="auto"/>
            <w:right w:val="none" w:sz="0" w:space="0" w:color="auto"/>
          </w:divBdr>
        </w:div>
        <w:div w:id="1910188019">
          <w:marLeft w:val="0"/>
          <w:marRight w:val="0"/>
          <w:marTop w:val="0"/>
          <w:marBottom w:val="0"/>
          <w:divBdr>
            <w:top w:val="none" w:sz="0" w:space="0" w:color="auto"/>
            <w:left w:val="none" w:sz="0" w:space="0" w:color="auto"/>
            <w:bottom w:val="none" w:sz="0" w:space="0" w:color="auto"/>
            <w:right w:val="none" w:sz="0" w:space="0" w:color="auto"/>
          </w:divBdr>
        </w:div>
      </w:divsChild>
    </w:div>
    <w:div w:id="530411847">
      <w:bodyDiv w:val="1"/>
      <w:marLeft w:val="0"/>
      <w:marRight w:val="0"/>
      <w:marTop w:val="0"/>
      <w:marBottom w:val="0"/>
      <w:divBdr>
        <w:top w:val="none" w:sz="0" w:space="0" w:color="auto"/>
        <w:left w:val="none" w:sz="0" w:space="0" w:color="auto"/>
        <w:bottom w:val="none" w:sz="0" w:space="0" w:color="auto"/>
        <w:right w:val="none" w:sz="0" w:space="0" w:color="auto"/>
      </w:divBdr>
      <w:divsChild>
        <w:div w:id="85350469">
          <w:marLeft w:val="0"/>
          <w:marRight w:val="0"/>
          <w:marTop w:val="0"/>
          <w:marBottom w:val="0"/>
          <w:divBdr>
            <w:top w:val="none" w:sz="0" w:space="0" w:color="auto"/>
            <w:left w:val="none" w:sz="0" w:space="0" w:color="auto"/>
            <w:bottom w:val="none" w:sz="0" w:space="0" w:color="auto"/>
            <w:right w:val="none" w:sz="0" w:space="0" w:color="auto"/>
          </w:divBdr>
        </w:div>
        <w:div w:id="1772318065">
          <w:marLeft w:val="0"/>
          <w:marRight w:val="0"/>
          <w:marTop w:val="0"/>
          <w:marBottom w:val="0"/>
          <w:divBdr>
            <w:top w:val="none" w:sz="0" w:space="0" w:color="auto"/>
            <w:left w:val="none" w:sz="0" w:space="0" w:color="auto"/>
            <w:bottom w:val="none" w:sz="0" w:space="0" w:color="auto"/>
            <w:right w:val="none" w:sz="0" w:space="0" w:color="auto"/>
          </w:divBdr>
        </w:div>
        <w:div w:id="684097071">
          <w:marLeft w:val="0"/>
          <w:marRight w:val="0"/>
          <w:marTop w:val="0"/>
          <w:marBottom w:val="0"/>
          <w:divBdr>
            <w:top w:val="none" w:sz="0" w:space="0" w:color="auto"/>
            <w:left w:val="none" w:sz="0" w:space="0" w:color="auto"/>
            <w:bottom w:val="none" w:sz="0" w:space="0" w:color="auto"/>
            <w:right w:val="none" w:sz="0" w:space="0" w:color="auto"/>
          </w:divBdr>
        </w:div>
        <w:div w:id="1954897800">
          <w:marLeft w:val="0"/>
          <w:marRight w:val="0"/>
          <w:marTop w:val="0"/>
          <w:marBottom w:val="0"/>
          <w:divBdr>
            <w:top w:val="none" w:sz="0" w:space="0" w:color="auto"/>
            <w:left w:val="none" w:sz="0" w:space="0" w:color="auto"/>
            <w:bottom w:val="none" w:sz="0" w:space="0" w:color="auto"/>
            <w:right w:val="none" w:sz="0" w:space="0" w:color="auto"/>
          </w:divBdr>
        </w:div>
        <w:div w:id="2020960624">
          <w:marLeft w:val="0"/>
          <w:marRight w:val="0"/>
          <w:marTop w:val="0"/>
          <w:marBottom w:val="0"/>
          <w:divBdr>
            <w:top w:val="none" w:sz="0" w:space="0" w:color="auto"/>
            <w:left w:val="none" w:sz="0" w:space="0" w:color="auto"/>
            <w:bottom w:val="none" w:sz="0" w:space="0" w:color="auto"/>
            <w:right w:val="none" w:sz="0" w:space="0" w:color="auto"/>
          </w:divBdr>
        </w:div>
        <w:div w:id="489059262">
          <w:marLeft w:val="0"/>
          <w:marRight w:val="0"/>
          <w:marTop w:val="0"/>
          <w:marBottom w:val="0"/>
          <w:divBdr>
            <w:top w:val="none" w:sz="0" w:space="0" w:color="auto"/>
            <w:left w:val="none" w:sz="0" w:space="0" w:color="auto"/>
            <w:bottom w:val="none" w:sz="0" w:space="0" w:color="auto"/>
            <w:right w:val="none" w:sz="0" w:space="0" w:color="auto"/>
          </w:divBdr>
        </w:div>
        <w:div w:id="1812823771">
          <w:marLeft w:val="0"/>
          <w:marRight w:val="0"/>
          <w:marTop w:val="0"/>
          <w:marBottom w:val="0"/>
          <w:divBdr>
            <w:top w:val="none" w:sz="0" w:space="0" w:color="auto"/>
            <w:left w:val="none" w:sz="0" w:space="0" w:color="auto"/>
            <w:bottom w:val="none" w:sz="0" w:space="0" w:color="auto"/>
            <w:right w:val="none" w:sz="0" w:space="0" w:color="auto"/>
          </w:divBdr>
        </w:div>
        <w:div w:id="1041637062">
          <w:marLeft w:val="0"/>
          <w:marRight w:val="0"/>
          <w:marTop w:val="0"/>
          <w:marBottom w:val="0"/>
          <w:divBdr>
            <w:top w:val="none" w:sz="0" w:space="0" w:color="auto"/>
            <w:left w:val="none" w:sz="0" w:space="0" w:color="auto"/>
            <w:bottom w:val="none" w:sz="0" w:space="0" w:color="auto"/>
            <w:right w:val="none" w:sz="0" w:space="0" w:color="auto"/>
          </w:divBdr>
        </w:div>
      </w:divsChild>
    </w:div>
    <w:div w:id="533613691">
      <w:bodyDiv w:val="1"/>
      <w:marLeft w:val="0"/>
      <w:marRight w:val="0"/>
      <w:marTop w:val="0"/>
      <w:marBottom w:val="0"/>
      <w:divBdr>
        <w:top w:val="none" w:sz="0" w:space="0" w:color="auto"/>
        <w:left w:val="none" w:sz="0" w:space="0" w:color="auto"/>
        <w:bottom w:val="none" w:sz="0" w:space="0" w:color="auto"/>
        <w:right w:val="none" w:sz="0" w:space="0" w:color="auto"/>
      </w:divBdr>
      <w:divsChild>
        <w:div w:id="1914242306">
          <w:marLeft w:val="0"/>
          <w:marRight w:val="0"/>
          <w:marTop w:val="0"/>
          <w:marBottom w:val="0"/>
          <w:divBdr>
            <w:top w:val="none" w:sz="0" w:space="0" w:color="auto"/>
            <w:left w:val="none" w:sz="0" w:space="0" w:color="auto"/>
            <w:bottom w:val="none" w:sz="0" w:space="0" w:color="auto"/>
            <w:right w:val="none" w:sz="0" w:space="0" w:color="auto"/>
          </w:divBdr>
          <w:divsChild>
            <w:div w:id="430903647">
              <w:marLeft w:val="0"/>
              <w:marRight w:val="0"/>
              <w:marTop w:val="0"/>
              <w:marBottom w:val="0"/>
              <w:divBdr>
                <w:top w:val="none" w:sz="0" w:space="0" w:color="auto"/>
                <w:left w:val="none" w:sz="0" w:space="0" w:color="auto"/>
                <w:bottom w:val="none" w:sz="0" w:space="0" w:color="auto"/>
                <w:right w:val="none" w:sz="0" w:space="0" w:color="auto"/>
              </w:divBdr>
              <w:divsChild>
                <w:div w:id="1327704011">
                  <w:marLeft w:val="0"/>
                  <w:marRight w:val="0"/>
                  <w:marTop w:val="0"/>
                  <w:marBottom w:val="0"/>
                  <w:divBdr>
                    <w:top w:val="none" w:sz="0" w:space="0" w:color="auto"/>
                    <w:left w:val="none" w:sz="0" w:space="0" w:color="auto"/>
                    <w:bottom w:val="none" w:sz="0" w:space="0" w:color="auto"/>
                    <w:right w:val="none" w:sz="0" w:space="0" w:color="auto"/>
                  </w:divBdr>
                  <w:divsChild>
                    <w:div w:id="82277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974256">
      <w:bodyDiv w:val="1"/>
      <w:marLeft w:val="0"/>
      <w:marRight w:val="0"/>
      <w:marTop w:val="0"/>
      <w:marBottom w:val="0"/>
      <w:divBdr>
        <w:top w:val="none" w:sz="0" w:space="0" w:color="auto"/>
        <w:left w:val="none" w:sz="0" w:space="0" w:color="auto"/>
        <w:bottom w:val="none" w:sz="0" w:space="0" w:color="auto"/>
        <w:right w:val="none" w:sz="0" w:space="0" w:color="auto"/>
      </w:divBdr>
    </w:div>
    <w:div w:id="655499938">
      <w:bodyDiv w:val="1"/>
      <w:marLeft w:val="0"/>
      <w:marRight w:val="0"/>
      <w:marTop w:val="0"/>
      <w:marBottom w:val="0"/>
      <w:divBdr>
        <w:top w:val="none" w:sz="0" w:space="0" w:color="auto"/>
        <w:left w:val="none" w:sz="0" w:space="0" w:color="auto"/>
        <w:bottom w:val="none" w:sz="0" w:space="0" w:color="auto"/>
        <w:right w:val="none" w:sz="0" w:space="0" w:color="auto"/>
      </w:divBdr>
    </w:div>
    <w:div w:id="661010451">
      <w:bodyDiv w:val="1"/>
      <w:marLeft w:val="0"/>
      <w:marRight w:val="0"/>
      <w:marTop w:val="0"/>
      <w:marBottom w:val="0"/>
      <w:divBdr>
        <w:top w:val="none" w:sz="0" w:space="0" w:color="auto"/>
        <w:left w:val="none" w:sz="0" w:space="0" w:color="auto"/>
        <w:bottom w:val="none" w:sz="0" w:space="0" w:color="auto"/>
        <w:right w:val="none" w:sz="0" w:space="0" w:color="auto"/>
      </w:divBdr>
    </w:div>
    <w:div w:id="682047999">
      <w:bodyDiv w:val="1"/>
      <w:marLeft w:val="0"/>
      <w:marRight w:val="0"/>
      <w:marTop w:val="0"/>
      <w:marBottom w:val="0"/>
      <w:divBdr>
        <w:top w:val="none" w:sz="0" w:space="0" w:color="auto"/>
        <w:left w:val="none" w:sz="0" w:space="0" w:color="auto"/>
        <w:bottom w:val="none" w:sz="0" w:space="0" w:color="auto"/>
        <w:right w:val="none" w:sz="0" w:space="0" w:color="auto"/>
      </w:divBdr>
      <w:divsChild>
        <w:div w:id="354036237">
          <w:marLeft w:val="0"/>
          <w:marRight w:val="0"/>
          <w:marTop w:val="0"/>
          <w:marBottom w:val="0"/>
          <w:divBdr>
            <w:top w:val="none" w:sz="0" w:space="0" w:color="auto"/>
            <w:left w:val="none" w:sz="0" w:space="0" w:color="auto"/>
            <w:bottom w:val="none" w:sz="0" w:space="0" w:color="auto"/>
            <w:right w:val="none" w:sz="0" w:space="0" w:color="auto"/>
          </w:divBdr>
        </w:div>
        <w:div w:id="1516339136">
          <w:marLeft w:val="0"/>
          <w:marRight w:val="0"/>
          <w:marTop w:val="0"/>
          <w:marBottom w:val="0"/>
          <w:divBdr>
            <w:top w:val="none" w:sz="0" w:space="0" w:color="auto"/>
            <w:left w:val="none" w:sz="0" w:space="0" w:color="auto"/>
            <w:bottom w:val="none" w:sz="0" w:space="0" w:color="auto"/>
            <w:right w:val="none" w:sz="0" w:space="0" w:color="auto"/>
          </w:divBdr>
        </w:div>
        <w:div w:id="495070555">
          <w:marLeft w:val="0"/>
          <w:marRight w:val="0"/>
          <w:marTop w:val="0"/>
          <w:marBottom w:val="0"/>
          <w:divBdr>
            <w:top w:val="none" w:sz="0" w:space="0" w:color="auto"/>
            <w:left w:val="none" w:sz="0" w:space="0" w:color="auto"/>
            <w:bottom w:val="none" w:sz="0" w:space="0" w:color="auto"/>
            <w:right w:val="none" w:sz="0" w:space="0" w:color="auto"/>
          </w:divBdr>
        </w:div>
        <w:div w:id="358507422">
          <w:marLeft w:val="0"/>
          <w:marRight w:val="0"/>
          <w:marTop w:val="0"/>
          <w:marBottom w:val="0"/>
          <w:divBdr>
            <w:top w:val="none" w:sz="0" w:space="0" w:color="auto"/>
            <w:left w:val="none" w:sz="0" w:space="0" w:color="auto"/>
            <w:bottom w:val="none" w:sz="0" w:space="0" w:color="auto"/>
            <w:right w:val="none" w:sz="0" w:space="0" w:color="auto"/>
          </w:divBdr>
        </w:div>
        <w:div w:id="1384989019">
          <w:marLeft w:val="0"/>
          <w:marRight w:val="0"/>
          <w:marTop w:val="0"/>
          <w:marBottom w:val="0"/>
          <w:divBdr>
            <w:top w:val="none" w:sz="0" w:space="0" w:color="auto"/>
            <w:left w:val="none" w:sz="0" w:space="0" w:color="auto"/>
            <w:bottom w:val="none" w:sz="0" w:space="0" w:color="auto"/>
            <w:right w:val="none" w:sz="0" w:space="0" w:color="auto"/>
          </w:divBdr>
        </w:div>
        <w:div w:id="1826235446">
          <w:marLeft w:val="0"/>
          <w:marRight w:val="0"/>
          <w:marTop w:val="0"/>
          <w:marBottom w:val="0"/>
          <w:divBdr>
            <w:top w:val="none" w:sz="0" w:space="0" w:color="auto"/>
            <w:left w:val="none" w:sz="0" w:space="0" w:color="auto"/>
            <w:bottom w:val="none" w:sz="0" w:space="0" w:color="auto"/>
            <w:right w:val="none" w:sz="0" w:space="0" w:color="auto"/>
          </w:divBdr>
        </w:div>
        <w:div w:id="1178538256">
          <w:marLeft w:val="0"/>
          <w:marRight w:val="0"/>
          <w:marTop w:val="0"/>
          <w:marBottom w:val="0"/>
          <w:divBdr>
            <w:top w:val="none" w:sz="0" w:space="0" w:color="auto"/>
            <w:left w:val="none" w:sz="0" w:space="0" w:color="auto"/>
            <w:bottom w:val="none" w:sz="0" w:space="0" w:color="auto"/>
            <w:right w:val="none" w:sz="0" w:space="0" w:color="auto"/>
          </w:divBdr>
        </w:div>
        <w:div w:id="756554587">
          <w:marLeft w:val="0"/>
          <w:marRight w:val="0"/>
          <w:marTop w:val="0"/>
          <w:marBottom w:val="0"/>
          <w:divBdr>
            <w:top w:val="none" w:sz="0" w:space="0" w:color="auto"/>
            <w:left w:val="none" w:sz="0" w:space="0" w:color="auto"/>
            <w:bottom w:val="none" w:sz="0" w:space="0" w:color="auto"/>
            <w:right w:val="none" w:sz="0" w:space="0" w:color="auto"/>
          </w:divBdr>
        </w:div>
        <w:div w:id="44721533">
          <w:marLeft w:val="0"/>
          <w:marRight w:val="0"/>
          <w:marTop w:val="0"/>
          <w:marBottom w:val="0"/>
          <w:divBdr>
            <w:top w:val="none" w:sz="0" w:space="0" w:color="auto"/>
            <w:left w:val="none" w:sz="0" w:space="0" w:color="auto"/>
            <w:bottom w:val="none" w:sz="0" w:space="0" w:color="auto"/>
            <w:right w:val="none" w:sz="0" w:space="0" w:color="auto"/>
          </w:divBdr>
        </w:div>
        <w:div w:id="385109165">
          <w:marLeft w:val="0"/>
          <w:marRight w:val="0"/>
          <w:marTop w:val="0"/>
          <w:marBottom w:val="0"/>
          <w:divBdr>
            <w:top w:val="none" w:sz="0" w:space="0" w:color="auto"/>
            <w:left w:val="none" w:sz="0" w:space="0" w:color="auto"/>
            <w:bottom w:val="none" w:sz="0" w:space="0" w:color="auto"/>
            <w:right w:val="none" w:sz="0" w:space="0" w:color="auto"/>
          </w:divBdr>
        </w:div>
        <w:div w:id="654574662">
          <w:marLeft w:val="0"/>
          <w:marRight w:val="0"/>
          <w:marTop w:val="0"/>
          <w:marBottom w:val="0"/>
          <w:divBdr>
            <w:top w:val="none" w:sz="0" w:space="0" w:color="auto"/>
            <w:left w:val="none" w:sz="0" w:space="0" w:color="auto"/>
            <w:bottom w:val="none" w:sz="0" w:space="0" w:color="auto"/>
            <w:right w:val="none" w:sz="0" w:space="0" w:color="auto"/>
          </w:divBdr>
        </w:div>
        <w:div w:id="41637795">
          <w:marLeft w:val="0"/>
          <w:marRight w:val="0"/>
          <w:marTop w:val="0"/>
          <w:marBottom w:val="0"/>
          <w:divBdr>
            <w:top w:val="none" w:sz="0" w:space="0" w:color="auto"/>
            <w:left w:val="none" w:sz="0" w:space="0" w:color="auto"/>
            <w:bottom w:val="none" w:sz="0" w:space="0" w:color="auto"/>
            <w:right w:val="none" w:sz="0" w:space="0" w:color="auto"/>
          </w:divBdr>
        </w:div>
      </w:divsChild>
    </w:div>
    <w:div w:id="698824492">
      <w:bodyDiv w:val="1"/>
      <w:marLeft w:val="0"/>
      <w:marRight w:val="0"/>
      <w:marTop w:val="0"/>
      <w:marBottom w:val="0"/>
      <w:divBdr>
        <w:top w:val="none" w:sz="0" w:space="0" w:color="auto"/>
        <w:left w:val="none" w:sz="0" w:space="0" w:color="auto"/>
        <w:bottom w:val="none" w:sz="0" w:space="0" w:color="auto"/>
        <w:right w:val="none" w:sz="0" w:space="0" w:color="auto"/>
      </w:divBdr>
      <w:divsChild>
        <w:div w:id="209466665">
          <w:marLeft w:val="0"/>
          <w:marRight w:val="0"/>
          <w:marTop w:val="0"/>
          <w:marBottom w:val="0"/>
          <w:divBdr>
            <w:top w:val="none" w:sz="0" w:space="0" w:color="auto"/>
            <w:left w:val="none" w:sz="0" w:space="0" w:color="auto"/>
            <w:bottom w:val="none" w:sz="0" w:space="0" w:color="auto"/>
            <w:right w:val="none" w:sz="0" w:space="0" w:color="auto"/>
          </w:divBdr>
        </w:div>
        <w:div w:id="188950694">
          <w:marLeft w:val="0"/>
          <w:marRight w:val="0"/>
          <w:marTop w:val="0"/>
          <w:marBottom w:val="0"/>
          <w:divBdr>
            <w:top w:val="none" w:sz="0" w:space="0" w:color="auto"/>
            <w:left w:val="none" w:sz="0" w:space="0" w:color="auto"/>
            <w:bottom w:val="none" w:sz="0" w:space="0" w:color="auto"/>
            <w:right w:val="none" w:sz="0" w:space="0" w:color="auto"/>
          </w:divBdr>
        </w:div>
        <w:div w:id="2086344088">
          <w:marLeft w:val="0"/>
          <w:marRight w:val="0"/>
          <w:marTop w:val="0"/>
          <w:marBottom w:val="0"/>
          <w:divBdr>
            <w:top w:val="none" w:sz="0" w:space="0" w:color="auto"/>
            <w:left w:val="none" w:sz="0" w:space="0" w:color="auto"/>
            <w:bottom w:val="none" w:sz="0" w:space="0" w:color="auto"/>
            <w:right w:val="none" w:sz="0" w:space="0" w:color="auto"/>
          </w:divBdr>
        </w:div>
        <w:div w:id="2009476358">
          <w:marLeft w:val="0"/>
          <w:marRight w:val="0"/>
          <w:marTop w:val="0"/>
          <w:marBottom w:val="0"/>
          <w:divBdr>
            <w:top w:val="none" w:sz="0" w:space="0" w:color="auto"/>
            <w:left w:val="none" w:sz="0" w:space="0" w:color="auto"/>
            <w:bottom w:val="none" w:sz="0" w:space="0" w:color="auto"/>
            <w:right w:val="none" w:sz="0" w:space="0" w:color="auto"/>
          </w:divBdr>
        </w:div>
        <w:div w:id="1694334919">
          <w:marLeft w:val="0"/>
          <w:marRight w:val="0"/>
          <w:marTop w:val="0"/>
          <w:marBottom w:val="0"/>
          <w:divBdr>
            <w:top w:val="none" w:sz="0" w:space="0" w:color="auto"/>
            <w:left w:val="none" w:sz="0" w:space="0" w:color="auto"/>
            <w:bottom w:val="none" w:sz="0" w:space="0" w:color="auto"/>
            <w:right w:val="none" w:sz="0" w:space="0" w:color="auto"/>
          </w:divBdr>
        </w:div>
        <w:div w:id="901867611">
          <w:marLeft w:val="0"/>
          <w:marRight w:val="0"/>
          <w:marTop w:val="0"/>
          <w:marBottom w:val="0"/>
          <w:divBdr>
            <w:top w:val="none" w:sz="0" w:space="0" w:color="auto"/>
            <w:left w:val="none" w:sz="0" w:space="0" w:color="auto"/>
            <w:bottom w:val="none" w:sz="0" w:space="0" w:color="auto"/>
            <w:right w:val="none" w:sz="0" w:space="0" w:color="auto"/>
          </w:divBdr>
        </w:div>
        <w:div w:id="461384371">
          <w:marLeft w:val="0"/>
          <w:marRight w:val="0"/>
          <w:marTop w:val="0"/>
          <w:marBottom w:val="0"/>
          <w:divBdr>
            <w:top w:val="none" w:sz="0" w:space="0" w:color="auto"/>
            <w:left w:val="none" w:sz="0" w:space="0" w:color="auto"/>
            <w:bottom w:val="none" w:sz="0" w:space="0" w:color="auto"/>
            <w:right w:val="none" w:sz="0" w:space="0" w:color="auto"/>
          </w:divBdr>
        </w:div>
        <w:div w:id="562717847">
          <w:marLeft w:val="0"/>
          <w:marRight w:val="0"/>
          <w:marTop w:val="0"/>
          <w:marBottom w:val="0"/>
          <w:divBdr>
            <w:top w:val="none" w:sz="0" w:space="0" w:color="auto"/>
            <w:left w:val="none" w:sz="0" w:space="0" w:color="auto"/>
            <w:bottom w:val="none" w:sz="0" w:space="0" w:color="auto"/>
            <w:right w:val="none" w:sz="0" w:space="0" w:color="auto"/>
          </w:divBdr>
        </w:div>
        <w:div w:id="604311028">
          <w:marLeft w:val="0"/>
          <w:marRight w:val="0"/>
          <w:marTop w:val="0"/>
          <w:marBottom w:val="0"/>
          <w:divBdr>
            <w:top w:val="none" w:sz="0" w:space="0" w:color="auto"/>
            <w:left w:val="none" w:sz="0" w:space="0" w:color="auto"/>
            <w:bottom w:val="none" w:sz="0" w:space="0" w:color="auto"/>
            <w:right w:val="none" w:sz="0" w:space="0" w:color="auto"/>
          </w:divBdr>
        </w:div>
        <w:div w:id="1650283690">
          <w:marLeft w:val="0"/>
          <w:marRight w:val="0"/>
          <w:marTop w:val="0"/>
          <w:marBottom w:val="0"/>
          <w:divBdr>
            <w:top w:val="none" w:sz="0" w:space="0" w:color="auto"/>
            <w:left w:val="none" w:sz="0" w:space="0" w:color="auto"/>
            <w:bottom w:val="none" w:sz="0" w:space="0" w:color="auto"/>
            <w:right w:val="none" w:sz="0" w:space="0" w:color="auto"/>
          </w:divBdr>
        </w:div>
        <w:div w:id="274140638">
          <w:marLeft w:val="0"/>
          <w:marRight w:val="0"/>
          <w:marTop w:val="0"/>
          <w:marBottom w:val="0"/>
          <w:divBdr>
            <w:top w:val="none" w:sz="0" w:space="0" w:color="auto"/>
            <w:left w:val="none" w:sz="0" w:space="0" w:color="auto"/>
            <w:bottom w:val="none" w:sz="0" w:space="0" w:color="auto"/>
            <w:right w:val="none" w:sz="0" w:space="0" w:color="auto"/>
          </w:divBdr>
        </w:div>
        <w:div w:id="293027442">
          <w:marLeft w:val="0"/>
          <w:marRight w:val="0"/>
          <w:marTop w:val="0"/>
          <w:marBottom w:val="0"/>
          <w:divBdr>
            <w:top w:val="none" w:sz="0" w:space="0" w:color="auto"/>
            <w:left w:val="none" w:sz="0" w:space="0" w:color="auto"/>
            <w:bottom w:val="none" w:sz="0" w:space="0" w:color="auto"/>
            <w:right w:val="none" w:sz="0" w:space="0" w:color="auto"/>
          </w:divBdr>
        </w:div>
        <w:div w:id="778061856">
          <w:marLeft w:val="0"/>
          <w:marRight w:val="0"/>
          <w:marTop w:val="0"/>
          <w:marBottom w:val="0"/>
          <w:divBdr>
            <w:top w:val="none" w:sz="0" w:space="0" w:color="auto"/>
            <w:left w:val="none" w:sz="0" w:space="0" w:color="auto"/>
            <w:bottom w:val="none" w:sz="0" w:space="0" w:color="auto"/>
            <w:right w:val="none" w:sz="0" w:space="0" w:color="auto"/>
          </w:divBdr>
        </w:div>
        <w:div w:id="320500402">
          <w:marLeft w:val="0"/>
          <w:marRight w:val="0"/>
          <w:marTop w:val="0"/>
          <w:marBottom w:val="0"/>
          <w:divBdr>
            <w:top w:val="none" w:sz="0" w:space="0" w:color="auto"/>
            <w:left w:val="none" w:sz="0" w:space="0" w:color="auto"/>
            <w:bottom w:val="none" w:sz="0" w:space="0" w:color="auto"/>
            <w:right w:val="none" w:sz="0" w:space="0" w:color="auto"/>
          </w:divBdr>
        </w:div>
        <w:div w:id="950741763">
          <w:marLeft w:val="0"/>
          <w:marRight w:val="0"/>
          <w:marTop w:val="0"/>
          <w:marBottom w:val="0"/>
          <w:divBdr>
            <w:top w:val="none" w:sz="0" w:space="0" w:color="auto"/>
            <w:left w:val="none" w:sz="0" w:space="0" w:color="auto"/>
            <w:bottom w:val="none" w:sz="0" w:space="0" w:color="auto"/>
            <w:right w:val="none" w:sz="0" w:space="0" w:color="auto"/>
          </w:divBdr>
        </w:div>
        <w:div w:id="527990574">
          <w:marLeft w:val="0"/>
          <w:marRight w:val="0"/>
          <w:marTop w:val="0"/>
          <w:marBottom w:val="0"/>
          <w:divBdr>
            <w:top w:val="none" w:sz="0" w:space="0" w:color="auto"/>
            <w:left w:val="none" w:sz="0" w:space="0" w:color="auto"/>
            <w:bottom w:val="none" w:sz="0" w:space="0" w:color="auto"/>
            <w:right w:val="none" w:sz="0" w:space="0" w:color="auto"/>
          </w:divBdr>
        </w:div>
        <w:div w:id="604267526">
          <w:marLeft w:val="0"/>
          <w:marRight w:val="0"/>
          <w:marTop w:val="0"/>
          <w:marBottom w:val="0"/>
          <w:divBdr>
            <w:top w:val="none" w:sz="0" w:space="0" w:color="auto"/>
            <w:left w:val="none" w:sz="0" w:space="0" w:color="auto"/>
            <w:bottom w:val="none" w:sz="0" w:space="0" w:color="auto"/>
            <w:right w:val="none" w:sz="0" w:space="0" w:color="auto"/>
          </w:divBdr>
        </w:div>
        <w:div w:id="1561944408">
          <w:marLeft w:val="0"/>
          <w:marRight w:val="0"/>
          <w:marTop w:val="0"/>
          <w:marBottom w:val="0"/>
          <w:divBdr>
            <w:top w:val="none" w:sz="0" w:space="0" w:color="auto"/>
            <w:left w:val="none" w:sz="0" w:space="0" w:color="auto"/>
            <w:bottom w:val="none" w:sz="0" w:space="0" w:color="auto"/>
            <w:right w:val="none" w:sz="0" w:space="0" w:color="auto"/>
          </w:divBdr>
        </w:div>
        <w:div w:id="317539041">
          <w:marLeft w:val="0"/>
          <w:marRight w:val="0"/>
          <w:marTop w:val="0"/>
          <w:marBottom w:val="0"/>
          <w:divBdr>
            <w:top w:val="none" w:sz="0" w:space="0" w:color="auto"/>
            <w:left w:val="none" w:sz="0" w:space="0" w:color="auto"/>
            <w:bottom w:val="none" w:sz="0" w:space="0" w:color="auto"/>
            <w:right w:val="none" w:sz="0" w:space="0" w:color="auto"/>
          </w:divBdr>
        </w:div>
        <w:div w:id="1192573743">
          <w:marLeft w:val="0"/>
          <w:marRight w:val="0"/>
          <w:marTop w:val="0"/>
          <w:marBottom w:val="0"/>
          <w:divBdr>
            <w:top w:val="none" w:sz="0" w:space="0" w:color="auto"/>
            <w:left w:val="none" w:sz="0" w:space="0" w:color="auto"/>
            <w:bottom w:val="none" w:sz="0" w:space="0" w:color="auto"/>
            <w:right w:val="none" w:sz="0" w:space="0" w:color="auto"/>
          </w:divBdr>
        </w:div>
        <w:div w:id="534463679">
          <w:marLeft w:val="0"/>
          <w:marRight w:val="0"/>
          <w:marTop w:val="0"/>
          <w:marBottom w:val="0"/>
          <w:divBdr>
            <w:top w:val="none" w:sz="0" w:space="0" w:color="auto"/>
            <w:left w:val="none" w:sz="0" w:space="0" w:color="auto"/>
            <w:bottom w:val="none" w:sz="0" w:space="0" w:color="auto"/>
            <w:right w:val="none" w:sz="0" w:space="0" w:color="auto"/>
          </w:divBdr>
        </w:div>
        <w:div w:id="1999310591">
          <w:marLeft w:val="0"/>
          <w:marRight w:val="0"/>
          <w:marTop w:val="0"/>
          <w:marBottom w:val="0"/>
          <w:divBdr>
            <w:top w:val="none" w:sz="0" w:space="0" w:color="auto"/>
            <w:left w:val="none" w:sz="0" w:space="0" w:color="auto"/>
            <w:bottom w:val="none" w:sz="0" w:space="0" w:color="auto"/>
            <w:right w:val="none" w:sz="0" w:space="0" w:color="auto"/>
          </w:divBdr>
        </w:div>
        <w:div w:id="1372344280">
          <w:marLeft w:val="0"/>
          <w:marRight w:val="0"/>
          <w:marTop w:val="0"/>
          <w:marBottom w:val="0"/>
          <w:divBdr>
            <w:top w:val="none" w:sz="0" w:space="0" w:color="auto"/>
            <w:left w:val="none" w:sz="0" w:space="0" w:color="auto"/>
            <w:bottom w:val="none" w:sz="0" w:space="0" w:color="auto"/>
            <w:right w:val="none" w:sz="0" w:space="0" w:color="auto"/>
          </w:divBdr>
        </w:div>
      </w:divsChild>
    </w:div>
    <w:div w:id="730929560">
      <w:bodyDiv w:val="1"/>
      <w:marLeft w:val="0"/>
      <w:marRight w:val="0"/>
      <w:marTop w:val="0"/>
      <w:marBottom w:val="0"/>
      <w:divBdr>
        <w:top w:val="none" w:sz="0" w:space="0" w:color="auto"/>
        <w:left w:val="none" w:sz="0" w:space="0" w:color="auto"/>
        <w:bottom w:val="none" w:sz="0" w:space="0" w:color="auto"/>
        <w:right w:val="none" w:sz="0" w:space="0" w:color="auto"/>
      </w:divBdr>
    </w:div>
    <w:div w:id="734202110">
      <w:bodyDiv w:val="1"/>
      <w:marLeft w:val="0"/>
      <w:marRight w:val="0"/>
      <w:marTop w:val="0"/>
      <w:marBottom w:val="0"/>
      <w:divBdr>
        <w:top w:val="none" w:sz="0" w:space="0" w:color="auto"/>
        <w:left w:val="none" w:sz="0" w:space="0" w:color="auto"/>
        <w:bottom w:val="none" w:sz="0" w:space="0" w:color="auto"/>
        <w:right w:val="none" w:sz="0" w:space="0" w:color="auto"/>
      </w:divBdr>
    </w:div>
    <w:div w:id="735318420">
      <w:bodyDiv w:val="1"/>
      <w:marLeft w:val="0"/>
      <w:marRight w:val="0"/>
      <w:marTop w:val="0"/>
      <w:marBottom w:val="0"/>
      <w:divBdr>
        <w:top w:val="none" w:sz="0" w:space="0" w:color="auto"/>
        <w:left w:val="none" w:sz="0" w:space="0" w:color="auto"/>
        <w:bottom w:val="none" w:sz="0" w:space="0" w:color="auto"/>
        <w:right w:val="none" w:sz="0" w:space="0" w:color="auto"/>
      </w:divBdr>
      <w:divsChild>
        <w:div w:id="23144003">
          <w:marLeft w:val="0"/>
          <w:marRight w:val="0"/>
          <w:marTop w:val="0"/>
          <w:marBottom w:val="0"/>
          <w:divBdr>
            <w:top w:val="none" w:sz="0" w:space="0" w:color="auto"/>
            <w:left w:val="none" w:sz="0" w:space="0" w:color="auto"/>
            <w:bottom w:val="none" w:sz="0" w:space="0" w:color="auto"/>
            <w:right w:val="none" w:sz="0" w:space="0" w:color="auto"/>
          </w:divBdr>
        </w:div>
        <w:div w:id="1569918691">
          <w:marLeft w:val="0"/>
          <w:marRight w:val="0"/>
          <w:marTop w:val="0"/>
          <w:marBottom w:val="0"/>
          <w:divBdr>
            <w:top w:val="none" w:sz="0" w:space="0" w:color="auto"/>
            <w:left w:val="none" w:sz="0" w:space="0" w:color="auto"/>
            <w:bottom w:val="none" w:sz="0" w:space="0" w:color="auto"/>
            <w:right w:val="none" w:sz="0" w:space="0" w:color="auto"/>
          </w:divBdr>
        </w:div>
      </w:divsChild>
    </w:div>
    <w:div w:id="758410361">
      <w:bodyDiv w:val="1"/>
      <w:marLeft w:val="0"/>
      <w:marRight w:val="0"/>
      <w:marTop w:val="0"/>
      <w:marBottom w:val="0"/>
      <w:divBdr>
        <w:top w:val="none" w:sz="0" w:space="0" w:color="auto"/>
        <w:left w:val="none" w:sz="0" w:space="0" w:color="auto"/>
        <w:bottom w:val="none" w:sz="0" w:space="0" w:color="auto"/>
        <w:right w:val="none" w:sz="0" w:space="0" w:color="auto"/>
      </w:divBdr>
    </w:div>
    <w:div w:id="769356245">
      <w:bodyDiv w:val="1"/>
      <w:marLeft w:val="0"/>
      <w:marRight w:val="0"/>
      <w:marTop w:val="0"/>
      <w:marBottom w:val="0"/>
      <w:divBdr>
        <w:top w:val="none" w:sz="0" w:space="0" w:color="auto"/>
        <w:left w:val="none" w:sz="0" w:space="0" w:color="auto"/>
        <w:bottom w:val="none" w:sz="0" w:space="0" w:color="auto"/>
        <w:right w:val="none" w:sz="0" w:space="0" w:color="auto"/>
      </w:divBdr>
    </w:div>
    <w:div w:id="772556402">
      <w:bodyDiv w:val="1"/>
      <w:marLeft w:val="0"/>
      <w:marRight w:val="0"/>
      <w:marTop w:val="0"/>
      <w:marBottom w:val="0"/>
      <w:divBdr>
        <w:top w:val="none" w:sz="0" w:space="0" w:color="auto"/>
        <w:left w:val="none" w:sz="0" w:space="0" w:color="auto"/>
        <w:bottom w:val="none" w:sz="0" w:space="0" w:color="auto"/>
        <w:right w:val="none" w:sz="0" w:space="0" w:color="auto"/>
      </w:divBdr>
      <w:divsChild>
        <w:div w:id="1668897669">
          <w:marLeft w:val="0"/>
          <w:marRight w:val="0"/>
          <w:marTop w:val="0"/>
          <w:marBottom w:val="0"/>
          <w:divBdr>
            <w:top w:val="none" w:sz="0" w:space="0" w:color="auto"/>
            <w:left w:val="none" w:sz="0" w:space="0" w:color="auto"/>
            <w:bottom w:val="none" w:sz="0" w:space="0" w:color="auto"/>
            <w:right w:val="none" w:sz="0" w:space="0" w:color="auto"/>
          </w:divBdr>
          <w:divsChild>
            <w:div w:id="932133321">
              <w:marLeft w:val="0"/>
              <w:marRight w:val="0"/>
              <w:marTop w:val="0"/>
              <w:marBottom w:val="0"/>
              <w:divBdr>
                <w:top w:val="none" w:sz="0" w:space="0" w:color="auto"/>
                <w:left w:val="none" w:sz="0" w:space="0" w:color="auto"/>
                <w:bottom w:val="none" w:sz="0" w:space="0" w:color="auto"/>
                <w:right w:val="none" w:sz="0" w:space="0" w:color="auto"/>
              </w:divBdr>
              <w:divsChild>
                <w:div w:id="1236551099">
                  <w:marLeft w:val="0"/>
                  <w:marRight w:val="0"/>
                  <w:marTop w:val="0"/>
                  <w:marBottom w:val="0"/>
                  <w:divBdr>
                    <w:top w:val="none" w:sz="0" w:space="0" w:color="auto"/>
                    <w:left w:val="none" w:sz="0" w:space="0" w:color="auto"/>
                    <w:bottom w:val="none" w:sz="0" w:space="0" w:color="auto"/>
                    <w:right w:val="none" w:sz="0" w:space="0" w:color="auto"/>
                  </w:divBdr>
                  <w:divsChild>
                    <w:div w:id="10119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057403">
      <w:bodyDiv w:val="1"/>
      <w:marLeft w:val="0"/>
      <w:marRight w:val="0"/>
      <w:marTop w:val="0"/>
      <w:marBottom w:val="0"/>
      <w:divBdr>
        <w:top w:val="none" w:sz="0" w:space="0" w:color="auto"/>
        <w:left w:val="none" w:sz="0" w:space="0" w:color="auto"/>
        <w:bottom w:val="none" w:sz="0" w:space="0" w:color="auto"/>
        <w:right w:val="none" w:sz="0" w:space="0" w:color="auto"/>
      </w:divBdr>
    </w:div>
    <w:div w:id="778371520">
      <w:bodyDiv w:val="1"/>
      <w:marLeft w:val="0"/>
      <w:marRight w:val="0"/>
      <w:marTop w:val="0"/>
      <w:marBottom w:val="0"/>
      <w:divBdr>
        <w:top w:val="none" w:sz="0" w:space="0" w:color="auto"/>
        <w:left w:val="none" w:sz="0" w:space="0" w:color="auto"/>
        <w:bottom w:val="none" w:sz="0" w:space="0" w:color="auto"/>
        <w:right w:val="none" w:sz="0" w:space="0" w:color="auto"/>
      </w:divBdr>
    </w:div>
    <w:div w:id="801995107">
      <w:bodyDiv w:val="1"/>
      <w:marLeft w:val="0"/>
      <w:marRight w:val="0"/>
      <w:marTop w:val="0"/>
      <w:marBottom w:val="0"/>
      <w:divBdr>
        <w:top w:val="none" w:sz="0" w:space="0" w:color="auto"/>
        <w:left w:val="none" w:sz="0" w:space="0" w:color="auto"/>
        <w:bottom w:val="none" w:sz="0" w:space="0" w:color="auto"/>
        <w:right w:val="none" w:sz="0" w:space="0" w:color="auto"/>
      </w:divBdr>
    </w:div>
    <w:div w:id="809636543">
      <w:bodyDiv w:val="1"/>
      <w:marLeft w:val="0"/>
      <w:marRight w:val="0"/>
      <w:marTop w:val="0"/>
      <w:marBottom w:val="0"/>
      <w:divBdr>
        <w:top w:val="none" w:sz="0" w:space="0" w:color="auto"/>
        <w:left w:val="none" w:sz="0" w:space="0" w:color="auto"/>
        <w:bottom w:val="none" w:sz="0" w:space="0" w:color="auto"/>
        <w:right w:val="none" w:sz="0" w:space="0" w:color="auto"/>
      </w:divBdr>
      <w:divsChild>
        <w:div w:id="1672102452">
          <w:marLeft w:val="0"/>
          <w:marRight w:val="0"/>
          <w:marTop w:val="0"/>
          <w:marBottom w:val="0"/>
          <w:divBdr>
            <w:top w:val="none" w:sz="0" w:space="0" w:color="auto"/>
            <w:left w:val="none" w:sz="0" w:space="0" w:color="auto"/>
            <w:bottom w:val="none" w:sz="0" w:space="0" w:color="auto"/>
            <w:right w:val="none" w:sz="0" w:space="0" w:color="auto"/>
          </w:divBdr>
        </w:div>
        <w:div w:id="1335645341">
          <w:marLeft w:val="0"/>
          <w:marRight w:val="0"/>
          <w:marTop w:val="0"/>
          <w:marBottom w:val="0"/>
          <w:divBdr>
            <w:top w:val="none" w:sz="0" w:space="0" w:color="auto"/>
            <w:left w:val="none" w:sz="0" w:space="0" w:color="auto"/>
            <w:bottom w:val="none" w:sz="0" w:space="0" w:color="auto"/>
            <w:right w:val="none" w:sz="0" w:space="0" w:color="auto"/>
          </w:divBdr>
        </w:div>
        <w:div w:id="989334683">
          <w:marLeft w:val="0"/>
          <w:marRight w:val="0"/>
          <w:marTop w:val="0"/>
          <w:marBottom w:val="0"/>
          <w:divBdr>
            <w:top w:val="none" w:sz="0" w:space="0" w:color="auto"/>
            <w:left w:val="none" w:sz="0" w:space="0" w:color="auto"/>
            <w:bottom w:val="none" w:sz="0" w:space="0" w:color="auto"/>
            <w:right w:val="none" w:sz="0" w:space="0" w:color="auto"/>
          </w:divBdr>
        </w:div>
        <w:div w:id="851651592">
          <w:marLeft w:val="0"/>
          <w:marRight w:val="0"/>
          <w:marTop w:val="0"/>
          <w:marBottom w:val="0"/>
          <w:divBdr>
            <w:top w:val="none" w:sz="0" w:space="0" w:color="auto"/>
            <w:left w:val="none" w:sz="0" w:space="0" w:color="auto"/>
            <w:bottom w:val="none" w:sz="0" w:space="0" w:color="auto"/>
            <w:right w:val="none" w:sz="0" w:space="0" w:color="auto"/>
          </w:divBdr>
        </w:div>
        <w:div w:id="1018507788">
          <w:marLeft w:val="0"/>
          <w:marRight w:val="0"/>
          <w:marTop w:val="0"/>
          <w:marBottom w:val="0"/>
          <w:divBdr>
            <w:top w:val="none" w:sz="0" w:space="0" w:color="auto"/>
            <w:left w:val="none" w:sz="0" w:space="0" w:color="auto"/>
            <w:bottom w:val="none" w:sz="0" w:space="0" w:color="auto"/>
            <w:right w:val="none" w:sz="0" w:space="0" w:color="auto"/>
          </w:divBdr>
        </w:div>
        <w:div w:id="127014633">
          <w:marLeft w:val="0"/>
          <w:marRight w:val="0"/>
          <w:marTop w:val="0"/>
          <w:marBottom w:val="0"/>
          <w:divBdr>
            <w:top w:val="none" w:sz="0" w:space="0" w:color="auto"/>
            <w:left w:val="none" w:sz="0" w:space="0" w:color="auto"/>
            <w:bottom w:val="none" w:sz="0" w:space="0" w:color="auto"/>
            <w:right w:val="none" w:sz="0" w:space="0" w:color="auto"/>
          </w:divBdr>
        </w:div>
        <w:div w:id="19088158">
          <w:marLeft w:val="0"/>
          <w:marRight w:val="0"/>
          <w:marTop w:val="0"/>
          <w:marBottom w:val="0"/>
          <w:divBdr>
            <w:top w:val="none" w:sz="0" w:space="0" w:color="auto"/>
            <w:left w:val="none" w:sz="0" w:space="0" w:color="auto"/>
            <w:bottom w:val="none" w:sz="0" w:space="0" w:color="auto"/>
            <w:right w:val="none" w:sz="0" w:space="0" w:color="auto"/>
          </w:divBdr>
        </w:div>
        <w:div w:id="1627275120">
          <w:marLeft w:val="0"/>
          <w:marRight w:val="0"/>
          <w:marTop w:val="0"/>
          <w:marBottom w:val="0"/>
          <w:divBdr>
            <w:top w:val="none" w:sz="0" w:space="0" w:color="auto"/>
            <w:left w:val="none" w:sz="0" w:space="0" w:color="auto"/>
            <w:bottom w:val="none" w:sz="0" w:space="0" w:color="auto"/>
            <w:right w:val="none" w:sz="0" w:space="0" w:color="auto"/>
          </w:divBdr>
        </w:div>
        <w:div w:id="1028408765">
          <w:marLeft w:val="0"/>
          <w:marRight w:val="0"/>
          <w:marTop w:val="0"/>
          <w:marBottom w:val="0"/>
          <w:divBdr>
            <w:top w:val="none" w:sz="0" w:space="0" w:color="auto"/>
            <w:left w:val="none" w:sz="0" w:space="0" w:color="auto"/>
            <w:bottom w:val="none" w:sz="0" w:space="0" w:color="auto"/>
            <w:right w:val="none" w:sz="0" w:space="0" w:color="auto"/>
          </w:divBdr>
        </w:div>
        <w:div w:id="2039119535">
          <w:marLeft w:val="0"/>
          <w:marRight w:val="0"/>
          <w:marTop w:val="0"/>
          <w:marBottom w:val="0"/>
          <w:divBdr>
            <w:top w:val="none" w:sz="0" w:space="0" w:color="auto"/>
            <w:left w:val="none" w:sz="0" w:space="0" w:color="auto"/>
            <w:bottom w:val="none" w:sz="0" w:space="0" w:color="auto"/>
            <w:right w:val="none" w:sz="0" w:space="0" w:color="auto"/>
          </w:divBdr>
        </w:div>
        <w:div w:id="803039740">
          <w:marLeft w:val="0"/>
          <w:marRight w:val="0"/>
          <w:marTop w:val="0"/>
          <w:marBottom w:val="0"/>
          <w:divBdr>
            <w:top w:val="none" w:sz="0" w:space="0" w:color="auto"/>
            <w:left w:val="none" w:sz="0" w:space="0" w:color="auto"/>
            <w:bottom w:val="none" w:sz="0" w:space="0" w:color="auto"/>
            <w:right w:val="none" w:sz="0" w:space="0" w:color="auto"/>
          </w:divBdr>
        </w:div>
        <w:div w:id="248734957">
          <w:marLeft w:val="0"/>
          <w:marRight w:val="0"/>
          <w:marTop w:val="0"/>
          <w:marBottom w:val="0"/>
          <w:divBdr>
            <w:top w:val="none" w:sz="0" w:space="0" w:color="auto"/>
            <w:left w:val="none" w:sz="0" w:space="0" w:color="auto"/>
            <w:bottom w:val="none" w:sz="0" w:space="0" w:color="auto"/>
            <w:right w:val="none" w:sz="0" w:space="0" w:color="auto"/>
          </w:divBdr>
        </w:div>
        <w:div w:id="120617265">
          <w:marLeft w:val="0"/>
          <w:marRight w:val="0"/>
          <w:marTop w:val="0"/>
          <w:marBottom w:val="0"/>
          <w:divBdr>
            <w:top w:val="none" w:sz="0" w:space="0" w:color="auto"/>
            <w:left w:val="none" w:sz="0" w:space="0" w:color="auto"/>
            <w:bottom w:val="none" w:sz="0" w:space="0" w:color="auto"/>
            <w:right w:val="none" w:sz="0" w:space="0" w:color="auto"/>
          </w:divBdr>
        </w:div>
        <w:div w:id="151872831">
          <w:marLeft w:val="0"/>
          <w:marRight w:val="0"/>
          <w:marTop w:val="0"/>
          <w:marBottom w:val="0"/>
          <w:divBdr>
            <w:top w:val="none" w:sz="0" w:space="0" w:color="auto"/>
            <w:left w:val="none" w:sz="0" w:space="0" w:color="auto"/>
            <w:bottom w:val="none" w:sz="0" w:space="0" w:color="auto"/>
            <w:right w:val="none" w:sz="0" w:space="0" w:color="auto"/>
          </w:divBdr>
        </w:div>
        <w:div w:id="1294284927">
          <w:marLeft w:val="0"/>
          <w:marRight w:val="0"/>
          <w:marTop w:val="0"/>
          <w:marBottom w:val="0"/>
          <w:divBdr>
            <w:top w:val="none" w:sz="0" w:space="0" w:color="auto"/>
            <w:left w:val="none" w:sz="0" w:space="0" w:color="auto"/>
            <w:bottom w:val="none" w:sz="0" w:space="0" w:color="auto"/>
            <w:right w:val="none" w:sz="0" w:space="0" w:color="auto"/>
          </w:divBdr>
        </w:div>
        <w:div w:id="2039889382">
          <w:marLeft w:val="0"/>
          <w:marRight w:val="0"/>
          <w:marTop w:val="0"/>
          <w:marBottom w:val="0"/>
          <w:divBdr>
            <w:top w:val="none" w:sz="0" w:space="0" w:color="auto"/>
            <w:left w:val="none" w:sz="0" w:space="0" w:color="auto"/>
            <w:bottom w:val="none" w:sz="0" w:space="0" w:color="auto"/>
            <w:right w:val="none" w:sz="0" w:space="0" w:color="auto"/>
          </w:divBdr>
        </w:div>
        <w:div w:id="1215848491">
          <w:marLeft w:val="0"/>
          <w:marRight w:val="0"/>
          <w:marTop w:val="0"/>
          <w:marBottom w:val="0"/>
          <w:divBdr>
            <w:top w:val="none" w:sz="0" w:space="0" w:color="auto"/>
            <w:left w:val="none" w:sz="0" w:space="0" w:color="auto"/>
            <w:bottom w:val="none" w:sz="0" w:space="0" w:color="auto"/>
            <w:right w:val="none" w:sz="0" w:space="0" w:color="auto"/>
          </w:divBdr>
        </w:div>
        <w:div w:id="2081898950">
          <w:marLeft w:val="0"/>
          <w:marRight w:val="0"/>
          <w:marTop w:val="0"/>
          <w:marBottom w:val="0"/>
          <w:divBdr>
            <w:top w:val="none" w:sz="0" w:space="0" w:color="auto"/>
            <w:left w:val="none" w:sz="0" w:space="0" w:color="auto"/>
            <w:bottom w:val="none" w:sz="0" w:space="0" w:color="auto"/>
            <w:right w:val="none" w:sz="0" w:space="0" w:color="auto"/>
          </w:divBdr>
        </w:div>
        <w:div w:id="1705134999">
          <w:marLeft w:val="0"/>
          <w:marRight w:val="0"/>
          <w:marTop w:val="0"/>
          <w:marBottom w:val="0"/>
          <w:divBdr>
            <w:top w:val="none" w:sz="0" w:space="0" w:color="auto"/>
            <w:left w:val="none" w:sz="0" w:space="0" w:color="auto"/>
            <w:bottom w:val="none" w:sz="0" w:space="0" w:color="auto"/>
            <w:right w:val="none" w:sz="0" w:space="0" w:color="auto"/>
          </w:divBdr>
        </w:div>
        <w:div w:id="214701119">
          <w:marLeft w:val="0"/>
          <w:marRight w:val="0"/>
          <w:marTop w:val="0"/>
          <w:marBottom w:val="0"/>
          <w:divBdr>
            <w:top w:val="none" w:sz="0" w:space="0" w:color="auto"/>
            <w:left w:val="none" w:sz="0" w:space="0" w:color="auto"/>
            <w:bottom w:val="none" w:sz="0" w:space="0" w:color="auto"/>
            <w:right w:val="none" w:sz="0" w:space="0" w:color="auto"/>
          </w:divBdr>
        </w:div>
        <w:div w:id="894202361">
          <w:marLeft w:val="0"/>
          <w:marRight w:val="0"/>
          <w:marTop w:val="0"/>
          <w:marBottom w:val="0"/>
          <w:divBdr>
            <w:top w:val="none" w:sz="0" w:space="0" w:color="auto"/>
            <w:left w:val="none" w:sz="0" w:space="0" w:color="auto"/>
            <w:bottom w:val="none" w:sz="0" w:space="0" w:color="auto"/>
            <w:right w:val="none" w:sz="0" w:space="0" w:color="auto"/>
          </w:divBdr>
        </w:div>
        <w:div w:id="284428264">
          <w:marLeft w:val="0"/>
          <w:marRight w:val="0"/>
          <w:marTop w:val="0"/>
          <w:marBottom w:val="0"/>
          <w:divBdr>
            <w:top w:val="none" w:sz="0" w:space="0" w:color="auto"/>
            <w:left w:val="none" w:sz="0" w:space="0" w:color="auto"/>
            <w:bottom w:val="none" w:sz="0" w:space="0" w:color="auto"/>
            <w:right w:val="none" w:sz="0" w:space="0" w:color="auto"/>
          </w:divBdr>
        </w:div>
        <w:div w:id="1484588843">
          <w:marLeft w:val="0"/>
          <w:marRight w:val="0"/>
          <w:marTop w:val="0"/>
          <w:marBottom w:val="0"/>
          <w:divBdr>
            <w:top w:val="none" w:sz="0" w:space="0" w:color="auto"/>
            <w:left w:val="none" w:sz="0" w:space="0" w:color="auto"/>
            <w:bottom w:val="none" w:sz="0" w:space="0" w:color="auto"/>
            <w:right w:val="none" w:sz="0" w:space="0" w:color="auto"/>
          </w:divBdr>
        </w:div>
        <w:div w:id="2083289981">
          <w:marLeft w:val="0"/>
          <w:marRight w:val="0"/>
          <w:marTop w:val="0"/>
          <w:marBottom w:val="0"/>
          <w:divBdr>
            <w:top w:val="none" w:sz="0" w:space="0" w:color="auto"/>
            <w:left w:val="none" w:sz="0" w:space="0" w:color="auto"/>
            <w:bottom w:val="none" w:sz="0" w:space="0" w:color="auto"/>
            <w:right w:val="none" w:sz="0" w:space="0" w:color="auto"/>
          </w:divBdr>
        </w:div>
        <w:div w:id="429474359">
          <w:marLeft w:val="0"/>
          <w:marRight w:val="0"/>
          <w:marTop w:val="0"/>
          <w:marBottom w:val="0"/>
          <w:divBdr>
            <w:top w:val="none" w:sz="0" w:space="0" w:color="auto"/>
            <w:left w:val="none" w:sz="0" w:space="0" w:color="auto"/>
            <w:bottom w:val="none" w:sz="0" w:space="0" w:color="auto"/>
            <w:right w:val="none" w:sz="0" w:space="0" w:color="auto"/>
          </w:divBdr>
        </w:div>
        <w:div w:id="1207330434">
          <w:marLeft w:val="0"/>
          <w:marRight w:val="0"/>
          <w:marTop w:val="0"/>
          <w:marBottom w:val="0"/>
          <w:divBdr>
            <w:top w:val="none" w:sz="0" w:space="0" w:color="auto"/>
            <w:left w:val="none" w:sz="0" w:space="0" w:color="auto"/>
            <w:bottom w:val="none" w:sz="0" w:space="0" w:color="auto"/>
            <w:right w:val="none" w:sz="0" w:space="0" w:color="auto"/>
          </w:divBdr>
        </w:div>
        <w:div w:id="531306801">
          <w:marLeft w:val="0"/>
          <w:marRight w:val="0"/>
          <w:marTop w:val="0"/>
          <w:marBottom w:val="0"/>
          <w:divBdr>
            <w:top w:val="none" w:sz="0" w:space="0" w:color="auto"/>
            <w:left w:val="none" w:sz="0" w:space="0" w:color="auto"/>
            <w:bottom w:val="none" w:sz="0" w:space="0" w:color="auto"/>
            <w:right w:val="none" w:sz="0" w:space="0" w:color="auto"/>
          </w:divBdr>
        </w:div>
        <w:div w:id="1762219105">
          <w:marLeft w:val="0"/>
          <w:marRight w:val="0"/>
          <w:marTop w:val="0"/>
          <w:marBottom w:val="0"/>
          <w:divBdr>
            <w:top w:val="none" w:sz="0" w:space="0" w:color="auto"/>
            <w:left w:val="none" w:sz="0" w:space="0" w:color="auto"/>
            <w:bottom w:val="none" w:sz="0" w:space="0" w:color="auto"/>
            <w:right w:val="none" w:sz="0" w:space="0" w:color="auto"/>
          </w:divBdr>
        </w:div>
      </w:divsChild>
    </w:div>
    <w:div w:id="850755098">
      <w:bodyDiv w:val="1"/>
      <w:marLeft w:val="0"/>
      <w:marRight w:val="0"/>
      <w:marTop w:val="0"/>
      <w:marBottom w:val="0"/>
      <w:divBdr>
        <w:top w:val="none" w:sz="0" w:space="0" w:color="auto"/>
        <w:left w:val="none" w:sz="0" w:space="0" w:color="auto"/>
        <w:bottom w:val="none" w:sz="0" w:space="0" w:color="auto"/>
        <w:right w:val="none" w:sz="0" w:space="0" w:color="auto"/>
      </w:divBdr>
    </w:div>
    <w:div w:id="860433808">
      <w:bodyDiv w:val="1"/>
      <w:marLeft w:val="0"/>
      <w:marRight w:val="0"/>
      <w:marTop w:val="0"/>
      <w:marBottom w:val="0"/>
      <w:divBdr>
        <w:top w:val="none" w:sz="0" w:space="0" w:color="auto"/>
        <w:left w:val="none" w:sz="0" w:space="0" w:color="auto"/>
        <w:bottom w:val="none" w:sz="0" w:space="0" w:color="auto"/>
        <w:right w:val="none" w:sz="0" w:space="0" w:color="auto"/>
      </w:divBdr>
      <w:divsChild>
        <w:div w:id="1481770090">
          <w:marLeft w:val="0"/>
          <w:marRight w:val="0"/>
          <w:marTop w:val="0"/>
          <w:marBottom w:val="0"/>
          <w:divBdr>
            <w:top w:val="none" w:sz="0" w:space="0" w:color="auto"/>
            <w:left w:val="none" w:sz="0" w:space="0" w:color="auto"/>
            <w:bottom w:val="none" w:sz="0" w:space="0" w:color="auto"/>
            <w:right w:val="none" w:sz="0" w:space="0" w:color="auto"/>
          </w:divBdr>
        </w:div>
        <w:div w:id="1692756828">
          <w:marLeft w:val="0"/>
          <w:marRight w:val="0"/>
          <w:marTop w:val="0"/>
          <w:marBottom w:val="0"/>
          <w:divBdr>
            <w:top w:val="none" w:sz="0" w:space="0" w:color="auto"/>
            <w:left w:val="none" w:sz="0" w:space="0" w:color="auto"/>
            <w:bottom w:val="none" w:sz="0" w:space="0" w:color="auto"/>
            <w:right w:val="none" w:sz="0" w:space="0" w:color="auto"/>
          </w:divBdr>
        </w:div>
        <w:div w:id="1115753291">
          <w:marLeft w:val="0"/>
          <w:marRight w:val="0"/>
          <w:marTop w:val="0"/>
          <w:marBottom w:val="0"/>
          <w:divBdr>
            <w:top w:val="none" w:sz="0" w:space="0" w:color="auto"/>
            <w:left w:val="none" w:sz="0" w:space="0" w:color="auto"/>
            <w:bottom w:val="none" w:sz="0" w:space="0" w:color="auto"/>
            <w:right w:val="none" w:sz="0" w:space="0" w:color="auto"/>
          </w:divBdr>
        </w:div>
        <w:div w:id="1164011195">
          <w:marLeft w:val="0"/>
          <w:marRight w:val="0"/>
          <w:marTop w:val="0"/>
          <w:marBottom w:val="0"/>
          <w:divBdr>
            <w:top w:val="none" w:sz="0" w:space="0" w:color="auto"/>
            <w:left w:val="none" w:sz="0" w:space="0" w:color="auto"/>
            <w:bottom w:val="none" w:sz="0" w:space="0" w:color="auto"/>
            <w:right w:val="none" w:sz="0" w:space="0" w:color="auto"/>
          </w:divBdr>
        </w:div>
        <w:div w:id="1209101916">
          <w:marLeft w:val="0"/>
          <w:marRight w:val="0"/>
          <w:marTop w:val="0"/>
          <w:marBottom w:val="0"/>
          <w:divBdr>
            <w:top w:val="none" w:sz="0" w:space="0" w:color="auto"/>
            <w:left w:val="none" w:sz="0" w:space="0" w:color="auto"/>
            <w:bottom w:val="none" w:sz="0" w:space="0" w:color="auto"/>
            <w:right w:val="none" w:sz="0" w:space="0" w:color="auto"/>
          </w:divBdr>
        </w:div>
        <w:div w:id="1821075860">
          <w:marLeft w:val="0"/>
          <w:marRight w:val="0"/>
          <w:marTop w:val="0"/>
          <w:marBottom w:val="0"/>
          <w:divBdr>
            <w:top w:val="none" w:sz="0" w:space="0" w:color="auto"/>
            <w:left w:val="none" w:sz="0" w:space="0" w:color="auto"/>
            <w:bottom w:val="none" w:sz="0" w:space="0" w:color="auto"/>
            <w:right w:val="none" w:sz="0" w:space="0" w:color="auto"/>
          </w:divBdr>
        </w:div>
        <w:div w:id="1838034494">
          <w:marLeft w:val="0"/>
          <w:marRight w:val="0"/>
          <w:marTop w:val="0"/>
          <w:marBottom w:val="0"/>
          <w:divBdr>
            <w:top w:val="none" w:sz="0" w:space="0" w:color="auto"/>
            <w:left w:val="none" w:sz="0" w:space="0" w:color="auto"/>
            <w:bottom w:val="none" w:sz="0" w:space="0" w:color="auto"/>
            <w:right w:val="none" w:sz="0" w:space="0" w:color="auto"/>
          </w:divBdr>
        </w:div>
        <w:div w:id="448284299">
          <w:marLeft w:val="0"/>
          <w:marRight w:val="0"/>
          <w:marTop w:val="0"/>
          <w:marBottom w:val="0"/>
          <w:divBdr>
            <w:top w:val="none" w:sz="0" w:space="0" w:color="auto"/>
            <w:left w:val="none" w:sz="0" w:space="0" w:color="auto"/>
            <w:bottom w:val="none" w:sz="0" w:space="0" w:color="auto"/>
            <w:right w:val="none" w:sz="0" w:space="0" w:color="auto"/>
          </w:divBdr>
        </w:div>
        <w:div w:id="1805613126">
          <w:marLeft w:val="0"/>
          <w:marRight w:val="0"/>
          <w:marTop w:val="0"/>
          <w:marBottom w:val="0"/>
          <w:divBdr>
            <w:top w:val="none" w:sz="0" w:space="0" w:color="auto"/>
            <w:left w:val="none" w:sz="0" w:space="0" w:color="auto"/>
            <w:bottom w:val="none" w:sz="0" w:space="0" w:color="auto"/>
            <w:right w:val="none" w:sz="0" w:space="0" w:color="auto"/>
          </w:divBdr>
        </w:div>
        <w:div w:id="936518891">
          <w:marLeft w:val="0"/>
          <w:marRight w:val="0"/>
          <w:marTop w:val="0"/>
          <w:marBottom w:val="0"/>
          <w:divBdr>
            <w:top w:val="none" w:sz="0" w:space="0" w:color="auto"/>
            <w:left w:val="none" w:sz="0" w:space="0" w:color="auto"/>
            <w:bottom w:val="none" w:sz="0" w:space="0" w:color="auto"/>
            <w:right w:val="none" w:sz="0" w:space="0" w:color="auto"/>
          </w:divBdr>
        </w:div>
        <w:div w:id="1365785786">
          <w:marLeft w:val="0"/>
          <w:marRight w:val="0"/>
          <w:marTop w:val="0"/>
          <w:marBottom w:val="0"/>
          <w:divBdr>
            <w:top w:val="none" w:sz="0" w:space="0" w:color="auto"/>
            <w:left w:val="none" w:sz="0" w:space="0" w:color="auto"/>
            <w:bottom w:val="none" w:sz="0" w:space="0" w:color="auto"/>
            <w:right w:val="none" w:sz="0" w:space="0" w:color="auto"/>
          </w:divBdr>
        </w:div>
        <w:div w:id="1315253089">
          <w:marLeft w:val="0"/>
          <w:marRight w:val="0"/>
          <w:marTop w:val="0"/>
          <w:marBottom w:val="0"/>
          <w:divBdr>
            <w:top w:val="none" w:sz="0" w:space="0" w:color="auto"/>
            <w:left w:val="none" w:sz="0" w:space="0" w:color="auto"/>
            <w:bottom w:val="none" w:sz="0" w:space="0" w:color="auto"/>
            <w:right w:val="none" w:sz="0" w:space="0" w:color="auto"/>
          </w:divBdr>
        </w:div>
        <w:div w:id="931819535">
          <w:marLeft w:val="0"/>
          <w:marRight w:val="0"/>
          <w:marTop w:val="0"/>
          <w:marBottom w:val="0"/>
          <w:divBdr>
            <w:top w:val="none" w:sz="0" w:space="0" w:color="auto"/>
            <w:left w:val="none" w:sz="0" w:space="0" w:color="auto"/>
            <w:bottom w:val="none" w:sz="0" w:space="0" w:color="auto"/>
            <w:right w:val="none" w:sz="0" w:space="0" w:color="auto"/>
          </w:divBdr>
        </w:div>
        <w:div w:id="213321071">
          <w:marLeft w:val="0"/>
          <w:marRight w:val="0"/>
          <w:marTop w:val="0"/>
          <w:marBottom w:val="0"/>
          <w:divBdr>
            <w:top w:val="none" w:sz="0" w:space="0" w:color="auto"/>
            <w:left w:val="none" w:sz="0" w:space="0" w:color="auto"/>
            <w:bottom w:val="none" w:sz="0" w:space="0" w:color="auto"/>
            <w:right w:val="none" w:sz="0" w:space="0" w:color="auto"/>
          </w:divBdr>
        </w:div>
        <w:div w:id="127402145">
          <w:marLeft w:val="0"/>
          <w:marRight w:val="0"/>
          <w:marTop w:val="0"/>
          <w:marBottom w:val="0"/>
          <w:divBdr>
            <w:top w:val="none" w:sz="0" w:space="0" w:color="auto"/>
            <w:left w:val="none" w:sz="0" w:space="0" w:color="auto"/>
            <w:bottom w:val="none" w:sz="0" w:space="0" w:color="auto"/>
            <w:right w:val="none" w:sz="0" w:space="0" w:color="auto"/>
          </w:divBdr>
        </w:div>
        <w:div w:id="480663077">
          <w:marLeft w:val="0"/>
          <w:marRight w:val="0"/>
          <w:marTop w:val="0"/>
          <w:marBottom w:val="0"/>
          <w:divBdr>
            <w:top w:val="none" w:sz="0" w:space="0" w:color="auto"/>
            <w:left w:val="none" w:sz="0" w:space="0" w:color="auto"/>
            <w:bottom w:val="none" w:sz="0" w:space="0" w:color="auto"/>
            <w:right w:val="none" w:sz="0" w:space="0" w:color="auto"/>
          </w:divBdr>
        </w:div>
        <w:div w:id="2042245632">
          <w:marLeft w:val="0"/>
          <w:marRight w:val="0"/>
          <w:marTop w:val="0"/>
          <w:marBottom w:val="0"/>
          <w:divBdr>
            <w:top w:val="none" w:sz="0" w:space="0" w:color="auto"/>
            <w:left w:val="none" w:sz="0" w:space="0" w:color="auto"/>
            <w:bottom w:val="none" w:sz="0" w:space="0" w:color="auto"/>
            <w:right w:val="none" w:sz="0" w:space="0" w:color="auto"/>
          </w:divBdr>
        </w:div>
        <w:div w:id="1192689915">
          <w:marLeft w:val="0"/>
          <w:marRight w:val="0"/>
          <w:marTop w:val="0"/>
          <w:marBottom w:val="0"/>
          <w:divBdr>
            <w:top w:val="none" w:sz="0" w:space="0" w:color="auto"/>
            <w:left w:val="none" w:sz="0" w:space="0" w:color="auto"/>
            <w:bottom w:val="none" w:sz="0" w:space="0" w:color="auto"/>
            <w:right w:val="none" w:sz="0" w:space="0" w:color="auto"/>
          </w:divBdr>
        </w:div>
        <w:div w:id="504443816">
          <w:marLeft w:val="0"/>
          <w:marRight w:val="0"/>
          <w:marTop w:val="0"/>
          <w:marBottom w:val="0"/>
          <w:divBdr>
            <w:top w:val="none" w:sz="0" w:space="0" w:color="auto"/>
            <w:left w:val="none" w:sz="0" w:space="0" w:color="auto"/>
            <w:bottom w:val="none" w:sz="0" w:space="0" w:color="auto"/>
            <w:right w:val="none" w:sz="0" w:space="0" w:color="auto"/>
          </w:divBdr>
        </w:div>
        <w:div w:id="1054234151">
          <w:marLeft w:val="0"/>
          <w:marRight w:val="0"/>
          <w:marTop w:val="0"/>
          <w:marBottom w:val="0"/>
          <w:divBdr>
            <w:top w:val="none" w:sz="0" w:space="0" w:color="auto"/>
            <w:left w:val="none" w:sz="0" w:space="0" w:color="auto"/>
            <w:bottom w:val="none" w:sz="0" w:space="0" w:color="auto"/>
            <w:right w:val="none" w:sz="0" w:space="0" w:color="auto"/>
          </w:divBdr>
        </w:div>
        <w:div w:id="664210990">
          <w:marLeft w:val="0"/>
          <w:marRight w:val="0"/>
          <w:marTop w:val="0"/>
          <w:marBottom w:val="0"/>
          <w:divBdr>
            <w:top w:val="none" w:sz="0" w:space="0" w:color="auto"/>
            <w:left w:val="none" w:sz="0" w:space="0" w:color="auto"/>
            <w:bottom w:val="none" w:sz="0" w:space="0" w:color="auto"/>
            <w:right w:val="none" w:sz="0" w:space="0" w:color="auto"/>
          </w:divBdr>
        </w:div>
        <w:div w:id="75131372">
          <w:marLeft w:val="0"/>
          <w:marRight w:val="0"/>
          <w:marTop w:val="0"/>
          <w:marBottom w:val="0"/>
          <w:divBdr>
            <w:top w:val="none" w:sz="0" w:space="0" w:color="auto"/>
            <w:left w:val="none" w:sz="0" w:space="0" w:color="auto"/>
            <w:bottom w:val="none" w:sz="0" w:space="0" w:color="auto"/>
            <w:right w:val="none" w:sz="0" w:space="0" w:color="auto"/>
          </w:divBdr>
        </w:div>
        <w:div w:id="617177861">
          <w:marLeft w:val="0"/>
          <w:marRight w:val="0"/>
          <w:marTop w:val="0"/>
          <w:marBottom w:val="0"/>
          <w:divBdr>
            <w:top w:val="none" w:sz="0" w:space="0" w:color="auto"/>
            <w:left w:val="none" w:sz="0" w:space="0" w:color="auto"/>
            <w:bottom w:val="none" w:sz="0" w:space="0" w:color="auto"/>
            <w:right w:val="none" w:sz="0" w:space="0" w:color="auto"/>
          </w:divBdr>
        </w:div>
        <w:div w:id="1574047405">
          <w:marLeft w:val="0"/>
          <w:marRight w:val="0"/>
          <w:marTop w:val="0"/>
          <w:marBottom w:val="0"/>
          <w:divBdr>
            <w:top w:val="none" w:sz="0" w:space="0" w:color="auto"/>
            <w:left w:val="none" w:sz="0" w:space="0" w:color="auto"/>
            <w:bottom w:val="none" w:sz="0" w:space="0" w:color="auto"/>
            <w:right w:val="none" w:sz="0" w:space="0" w:color="auto"/>
          </w:divBdr>
        </w:div>
        <w:div w:id="2119789420">
          <w:marLeft w:val="0"/>
          <w:marRight w:val="0"/>
          <w:marTop w:val="0"/>
          <w:marBottom w:val="0"/>
          <w:divBdr>
            <w:top w:val="none" w:sz="0" w:space="0" w:color="auto"/>
            <w:left w:val="none" w:sz="0" w:space="0" w:color="auto"/>
            <w:bottom w:val="none" w:sz="0" w:space="0" w:color="auto"/>
            <w:right w:val="none" w:sz="0" w:space="0" w:color="auto"/>
          </w:divBdr>
        </w:div>
      </w:divsChild>
    </w:div>
    <w:div w:id="905069505">
      <w:bodyDiv w:val="1"/>
      <w:marLeft w:val="0"/>
      <w:marRight w:val="0"/>
      <w:marTop w:val="0"/>
      <w:marBottom w:val="0"/>
      <w:divBdr>
        <w:top w:val="none" w:sz="0" w:space="0" w:color="auto"/>
        <w:left w:val="none" w:sz="0" w:space="0" w:color="auto"/>
        <w:bottom w:val="none" w:sz="0" w:space="0" w:color="auto"/>
        <w:right w:val="none" w:sz="0" w:space="0" w:color="auto"/>
      </w:divBdr>
    </w:div>
    <w:div w:id="912932719">
      <w:bodyDiv w:val="1"/>
      <w:marLeft w:val="0"/>
      <w:marRight w:val="0"/>
      <w:marTop w:val="0"/>
      <w:marBottom w:val="0"/>
      <w:divBdr>
        <w:top w:val="none" w:sz="0" w:space="0" w:color="auto"/>
        <w:left w:val="none" w:sz="0" w:space="0" w:color="auto"/>
        <w:bottom w:val="none" w:sz="0" w:space="0" w:color="auto"/>
        <w:right w:val="none" w:sz="0" w:space="0" w:color="auto"/>
      </w:divBdr>
    </w:div>
    <w:div w:id="935600993">
      <w:bodyDiv w:val="1"/>
      <w:marLeft w:val="0"/>
      <w:marRight w:val="0"/>
      <w:marTop w:val="0"/>
      <w:marBottom w:val="0"/>
      <w:divBdr>
        <w:top w:val="none" w:sz="0" w:space="0" w:color="auto"/>
        <w:left w:val="none" w:sz="0" w:space="0" w:color="auto"/>
        <w:bottom w:val="none" w:sz="0" w:space="0" w:color="auto"/>
        <w:right w:val="none" w:sz="0" w:space="0" w:color="auto"/>
      </w:divBdr>
      <w:divsChild>
        <w:div w:id="1904482438">
          <w:marLeft w:val="0"/>
          <w:marRight w:val="0"/>
          <w:marTop w:val="0"/>
          <w:marBottom w:val="0"/>
          <w:divBdr>
            <w:top w:val="none" w:sz="0" w:space="0" w:color="auto"/>
            <w:left w:val="none" w:sz="0" w:space="0" w:color="auto"/>
            <w:bottom w:val="none" w:sz="0" w:space="0" w:color="auto"/>
            <w:right w:val="none" w:sz="0" w:space="0" w:color="auto"/>
          </w:divBdr>
        </w:div>
        <w:div w:id="1253928485">
          <w:marLeft w:val="0"/>
          <w:marRight w:val="0"/>
          <w:marTop w:val="0"/>
          <w:marBottom w:val="0"/>
          <w:divBdr>
            <w:top w:val="none" w:sz="0" w:space="0" w:color="auto"/>
            <w:left w:val="none" w:sz="0" w:space="0" w:color="auto"/>
            <w:bottom w:val="none" w:sz="0" w:space="0" w:color="auto"/>
            <w:right w:val="none" w:sz="0" w:space="0" w:color="auto"/>
          </w:divBdr>
        </w:div>
        <w:div w:id="530068331">
          <w:marLeft w:val="0"/>
          <w:marRight w:val="0"/>
          <w:marTop w:val="0"/>
          <w:marBottom w:val="0"/>
          <w:divBdr>
            <w:top w:val="none" w:sz="0" w:space="0" w:color="auto"/>
            <w:left w:val="none" w:sz="0" w:space="0" w:color="auto"/>
            <w:bottom w:val="none" w:sz="0" w:space="0" w:color="auto"/>
            <w:right w:val="none" w:sz="0" w:space="0" w:color="auto"/>
          </w:divBdr>
        </w:div>
        <w:div w:id="582572901">
          <w:marLeft w:val="0"/>
          <w:marRight w:val="0"/>
          <w:marTop w:val="0"/>
          <w:marBottom w:val="0"/>
          <w:divBdr>
            <w:top w:val="none" w:sz="0" w:space="0" w:color="auto"/>
            <w:left w:val="none" w:sz="0" w:space="0" w:color="auto"/>
            <w:bottom w:val="none" w:sz="0" w:space="0" w:color="auto"/>
            <w:right w:val="none" w:sz="0" w:space="0" w:color="auto"/>
          </w:divBdr>
        </w:div>
        <w:div w:id="1172456816">
          <w:marLeft w:val="0"/>
          <w:marRight w:val="0"/>
          <w:marTop w:val="0"/>
          <w:marBottom w:val="0"/>
          <w:divBdr>
            <w:top w:val="none" w:sz="0" w:space="0" w:color="auto"/>
            <w:left w:val="none" w:sz="0" w:space="0" w:color="auto"/>
            <w:bottom w:val="none" w:sz="0" w:space="0" w:color="auto"/>
            <w:right w:val="none" w:sz="0" w:space="0" w:color="auto"/>
          </w:divBdr>
        </w:div>
        <w:div w:id="1905948757">
          <w:marLeft w:val="0"/>
          <w:marRight w:val="0"/>
          <w:marTop w:val="0"/>
          <w:marBottom w:val="0"/>
          <w:divBdr>
            <w:top w:val="none" w:sz="0" w:space="0" w:color="auto"/>
            <w:left w:val="none" w:sz="0" w:space="0" w:color="auto"/>
            <w:bottom w:val="none" w:sz="0" w:space="0" w:color="auto"/>
            <w:right w:val="none" w:sz="0" w:space="0" w:color="auto"/>
          </w:divBdr>
        </w:div>
        <w:div w:id="211427839">
          <w:marLeft w:val="0"/>
          <w:marRight w:val="0"/>
          <w:marTop w:val="0"/>
          <w:marBottom w:val="0"/>
          <w:divBdr>
            <w:top w:val="none" w:sz="0" w:space="0" w:color="auto"/>
            <w:left w:val="none" w:sz="0" w:space="0" w:color="auto"/>
            <w:bottom w:val="none" w:sz="0" w:space="0" w:color="auto"/>
            <w:right w:val="none" w:sz="0" w:space="0" w:color="auto"/>
          </w:divBdr>
        </w:div>
        <w:div w:id="852113601">
          <w:marLeft w:val="0"/>
          <w:marRight w:val="0"/>
          <w:marTop w:val="0"/>
          <w:marBottom w:val="0"/>
          <w:divBdr>
            <w:top w:val="none" w:sz="0" w:space="0" w:color="auto"/>
            <w:left w:val="none" w:sz="0" w:space="0" w:color="auto"/>
            <w:bottom w:val="none" w:sz="0" w:space="0" w:color="auto"/>
            <w:right w:val="none" w:sz="0" w:space="0" w:color="auto"/>
          </w:divBdr>
        </w:div>
        <w:div w:id="1733232802">
          <w:marLeft w:val="0"/>
          <w:marRight w:val="0"/>
          <w:marTop w:val="0"/>
          <w:marBottom w:val="0"/>
          <w:divBdr>
            <w:top w:val="none" w:sz="0" w:space="0" w:color="auto"/>
            <w:left w:val="none" w:sz="0" w:space="0" w:color="auto"/>
            <w:bottom w:val="none" w:sz="0" w:space="0" w:color="auto"/>
            <w:right w:val="none" w:sz="0" w:space="0" w:color="auto"/>
          </w:divBdr>
        </w:div>
        <w:div w:id="797987906">
          <w:marLeft w:val="0"/>
          <w:marRight w:val="0"/>
          <w:marTop w:val="0"/>
          <w:marBottom w:val="0"/>
          <w:divBdr>
            <w:top w:val="none" w:sz="0" w:space="0" w:color="auto"/>
            <w:left w:val="none" w:sz="0" w:space="0" w:color="auto"/>
            <w:bottom w:val="none" w:sz="0" w:space="0" w:color="auto"/>
            <w:right w:val="none" w:sz="0" w:space="0" w:color="auto"/>
          </w:divBdr>
        </w:div>
        <w:div w:id="256211290">
          <w:marLeft w:val="0"/>
          <w:marRight w:val="0"/>
          <w:marTop w:val="0"/>
          <w:marBottom w:val="0"/>
          <w:divBdr>
            <w:top w:val="none" w:sz="0" w:space="0" w:color="auto"/>
            <w:left w:val="none" w:sz="0" w:space="0" w:color="auto"/>
            <w:bottom w:val="none" w:sz="0" w:space="0" w:color="auto"/>
            <w:right w:val="none" w:sz="0" w:space="0" w:color="auto"/>
          </w:divBdr>
        </w:div>
        <w:div w:id="412163595">
          <w:marLeft w:val="0"/>
          <w:marRight w:val="0"/>
          <w:marTop w:val="0"/>
          <w:marBottom w:val="0"/>
          <w:divBdr>
            <w:top w:val="none" w:sz="0" w:space="0" w:color="auto"/>
            <w:left w:val="none" w:sz="0" w:space="0" w:color="auto"/>
            <w:bottom w:val="none" w:sz="0" w:space="0" w:color="auto"/>
            <w:right w:val="none" w:sz="0" w:space="0" w:color="auto"/>
          </w:divBdr>
        </w:div>
        <w:div w:id="425073864">
          <w:marLeft w:val="0"/>
          <w:marRight w:val="0"/>
          <w:marTop w:val="0"/>
          <w:marBottom w:val="0"/>
          <w:divBdr>
            <w:top w:val="none" w:sz="0" w:space="0" w:color="auto"/>
            <w:left w:val="none" w:sz="0" w:space="0" w:color="auto"/>
            <w:bottom w:val="none" w:sz="0" w:space="0" w:color="auto"/>
            <w:right w:val="none" w:sz="0" w:space="0" w:color="auto"/>
          </w:divBdr>
        </w:div>
        <w:div w:id="782117904">
          <w:marLeft w:val="0"/>
          <w:marRight w:val="0"/>
          <w:marTop w:val="0"/>
          <w:marBottom w:val="0"/>
          <w:divBdr>
            <w:top w:val="none" w:sz="0" w:space="0" w:color="auto"/>
            <w:left w:val="none" w:sz="0" w:space="0" w:color="auto"/>
            <w:bottom w:val="none" w:sz="0" w:space="0" w:color="auto"/>
            <w:right w:val="none" w:sz="0" w:space="0" w:color="auto"/>
          </w:divBdr>
        </w:div>
        <w:div w:id="1879320418">
          <w:marLeft w:val="0"/>
          <w:marRight w:val="0"/>
          <w:marTop w:val="0"/>
          <w:marBottom w:val="0"/>
          <w:divBdr>
            <w:top w:val="none" w:sz="0" w:space="0" w:color="auto"/>
            <w:left w:val="none" w:sz="0" w:space="0" w:color="auto"/>
            <w:bottom w:val="none" w:sz="0" w:space="0" w:color="auto"/>
            <w:right w:val="none" w:sz="0" w:space="0" w:color="auto"/>
          </w:divBdr>
        </w:div>
        <w:div w:id="1991519718">
          <w:marLeft w:val="0"/>
          <w:marRight w:val="0"/>
          <w:marTop w:val="0"/>
          <w:marBottom w:val="0"/>
          <w:divBdr>
            <w:top w:val="none" w:sz="0" w:space="0" w:color="auto"/>
            <w:left w:val="none" w:sz="0" w:space="0" w:color="auto"/>
            <w:bottom w:val="none" w:sz="0" w:space="0" w:color="auto"/>
            <w:right w:val="none" w:sz="0" w:space="0" w:color="auto"/>
          </w:divBdr>
        </w:div>
        <w:div w:id="1737778551">
          <w:marLeft w:val="0"/>
          <w:marRight w:val="0"/>
          <w:marTop w:val="0"/>
          <w:marBottom w:val="0"/>
          <w:divBdr>
            <w:top w:val="none" w:sz="0" w:space="0" w:color="auto"/>
            <w:left w:val="none" w:sz="0" w:space="0" w:color="auto"/>
            <w:bottom w:val="none" w:sz="0" w:space="0" w:color="auto"/>
            <w:right w:val="none" w:sz="0" w:space="0" w:color="auto"/>
          </w:divBdr>
        </w:div>
        <w:div w:id="481316617">
          <w:marLeft w:val="0"/>
          <w:marRight w:val="0"/>
          <w:marTop w:val="0"/>
          <w:marBottom w:val="0"/>
          <w:divBdr>
            <w:top w:val="none" w:sz="0" w:space="0" w:color="auto"/>
            <w:left w:val="none" w:sz="0" w:space="0" w:color="auto"/>
            <w:bottom w:val="none" w:sz="0" w:space="0" w:color="auto"/>
            <w:right w:val="none" w:sz="0" w:space="0" w:color="auto"/>
          </w:divBdr>
        </w:div>
        <w:div w:id="873075280">
          <w:marLeft w:val="0"/>
          <w:marRight w:val="0"/>
          <w:marTop w:val="0"/>
          <w:marBottom w:val="0"/>
          <w:divBdr>
            <w:top w:val="none" w:sz="0" w:space="0" w:color="auto"/>
            <w:left w:val="none" w:sz="0" w:space="0" w:color="auto"/>
            <w:bottom w:val="none" w:sz="0" w:space="0" w:color="auto"/>
            <w:right w:val="none" w:sz="0" w:space="0" w:color="auto"/>
          </w:divBdr>
        </w:div>
        <w:div w:id="179127153">
          <w:marLeft w:val="0"/>
          <w:marRight w:val="0"/>
          <w:marTop w:val="0"/>
          <w:marBottom w:val="0"/>
          <w:divBdr>
            <w:top w:val="none" w:sz="0" w:space="0" w:color="auto"/>
            <w:left w:val="none" w:sz="0" w:space="0" w:color="auto"/>
            <w:bottom w:val="none" w:sz="0" w:space="0" w:color="auto"/>
            <w:right w:val="none" w:sz="0" w:space="0" w:color="auto"/>
          </w:divBdr>
        </w:div>
        <w:div w:id="1426724953">
          <w:marLeft w:val="0"/>
          <w:marRight w:val="0"/>
          <w:marTop w:val="0"/>
          <w:marBottom w:val="0"/>
          <w:divBdr>
            <w:top w:val="none" w:sz="0" w:space="0" w:color="auto"/>
            <w:left w:val="none" w:sz="0" w:space="0" w:color="auto"/>
            <w:bottom w:val="none" w:sz="0" w:space="0" w:color="auto"/>
            <w:right w:val="none" w:sz="0" w:space="0" w:color="auto"/>
          </w:divBdr>
        </w:div>
        <w:div w:id="177426131">
          <w:marLeft w:val="0"/>
          <w:marRight w:val="0"/>
          <w:marTop w:val="0"/>
          <w:marBottom w:val="0"/>
          <w:divBdr>
            <w:top w:val="none" w:sz="0" w:space="0" w:color="auto"/>
            <w:left w:val="none" w:sz="0" w:space="0" w:color="auto"/>
            <w:bottom w:val="none" w:sz="0" w:space="0" w:color="auto"/>
            <w:right w:val="none" w:sz="0" w:space="0" w:color="auto"/>
          </w:divBdr>
        </w:div>
        <w:div w:id="148448705">
          <w:marLeft w:val="0"/>
          <w:marRight w:val="0"/>
          <w:marTop w:val="0"/>
          <w:marBottom w:val="0"/>
          <w:divBdr>
            <w:top w:val="none" w:sz="0" w:space="0" w:color="auto"/>
            <w:left w:val="none" w:sz="0" w:space="0" w:color="auto"/>
            <w:bottom w:val="none" w:sz="0" w:space="0" w:color="auto"/>
            <w:right w:val="none" w:sz="0" w:space="0" w:color="auto"/>
          </w:divBdr>
        </w:div>
        <w:div w:id="1945648057">
          <w:marLeft w:val="0"/>
          <w:marRight w:val="0"/>
          <w:marTop w:val="0"/>
          <w:marBottom w:val="0"/>
          <w:divBdr>
            <w:top w:val="none" w:sz="0" w:space="0" w:color="auto"/>
            <w:left w:val="none" w:sz="0" w:space="0" w:color="auto"/>
            <w:bottom w:val="none" w:sz="0" w:space="0" w:color="auto"/>
            <w:right w:val="none" w:sz="0" w:space="0" w:color="auto"/>
          </w:divBdr>
        </w:div>
        <w:div w:id="1412312600">
          <w:marLeft w:val="0"/>
          <w:marRight w:val="0"/>
          <w:marTop w:val="0"/>
          <w:marBottom w:val="0"/>
          <w:divBdr>
            <w:top w:val="none" w:sz="0" w:space="0" w:color="auto"/>
            <w:left w:val="none" w:sz="0" w:space="0" w:color="auto"/>
            <w:bottom w:val="none" w:sz="0" w:space="0" w:color="auto"/>
            <w:right w:val="none" w:sz="0" w:space="0" w:color="auto"/>
          </w:divBdr>
        </w:div>
        <w:div w:id="1579245354">
          <w:marLeft w:val="0"/>
          <w:marRight w:val="0"/>
          <w:marTop w:val="0"/>
          <w:marBottom w:val="0"/>
          <w:divBdr>
            <w:top w:val="none" w:sz="0" w:space="0" w:color="auto"/>
            <w:left w:val="none" w:sz="0" w:space="0" w:color="auto"/>
            <w:bottom w:val="none" w:sz="0" w:space="0" w:color="auto"/>
            <w:right w:val="none" w:sz="0" w:space="0" w:color="auto"/>
          </w:divBdr>
        </w:div>
        <w:div w:id="1666129668">
          <w:marLeft w:val="0"/>
          <w:marRight w:val="0"/>
          <w:marTop w:val="0"/>
          <w:marBottom w:val="0"/>
          <w:divBdr>
            <w:top w:val="none" w:sz="0" w:space="0" w:color="auto"/>
            <w:left w:val="none" w:sz="0" w:space="0" w:color="auto"/>
            <w:bottom w:val="none" w:sz="0" w:space="0" w:color="auto"/>
            <w:right w:val="none" w:sz="0" w:space="0" w:color="auto"/>
          </w:divBdr>
        </w:div>
        <w:div w:id="1876310905">
          <w:marLeft w:val="0"/>
          <w:marRight w:val="0"/>
          <w:marTop w:val="0"/>
          <w:marBottom w:val="0"/>
          <w:divBdr>
            <w:top w:val="none" w:sz="0" w:space="0" w:color="auto"/>
            <w:left w:val="none" w:sz="0" w:space="0" w:color="auto"/>
            <w:bottom w:val="none" w:sz="0" w:space="0" w:color="auto"/>
            <w:right w:val="none" w:sz="0" w:space="0" w:color="auto"/>
          </w:divBdr>
        </w:div>
      </w:divsChild>
    </w:div>
    <w:div w:id="937375747">
      <w:bodyDiv w:val="1"/>
      <w:marLeft w:val="0"/>
      <w:marRight w:val="0"/>
      <w:marTop w:val="0"/>
      <w:marBottom w:val="0"/>
      <w:divBdr>
        <w:top w:val="none" w:sz="0" w:space="0" w:color="auto"/>
        <w:left w:val="none" w:sz="0" w:space="0" w:color="auto"/>
        <w:bottom w:val="none" w:sz="0" w:space="0" w:color="auto"/>
        <w:right w:val="none" w:sz="0" w:space="0" w:color="auto"/>
      </w:divBdr>
      <w:divsChild>
        <w:div w:id="870341039">
          <w:marLeft w:val="0"/>
          <w:marRight w:val="0"/>
          <w:marTop w:val="0"/>
          <w:marBottom w:val="0"/>
          <w:divBdr>
            <w:top w:val="none" w:sz="0" w:space="0" w:color="auto"/>
            <w:left w:val="none" w:sz="0" w:space="0" w:color="auto"/>
            <w:bottom w:val="none" w:sz="0" w:space="0" w:color="auto"/>
            <w:right w:val="none" w:sz="0" w:space="0" w:color="auto"/>
          </w:divBdr>
        </w:div>
        <w:div w:id="738213057">
          <w:marLeft w:val="0"/>
          <w:marRight w:val="0"/>
          <w:marTop w:val="0"/>
          <w:marBottom w:val="0"/>
          <w:divBdr>
            <w:top w:val="none" w:sz="0" w:space="0" w:color="auto"/>
            <w:left w:val="none" w:sz="0" w:space="0" w:color="auto"/>
            <w:bottom w:val="none" w:sz="0" w:space="0" w:color="auto"/>
            <w:right w:val="none" w:sz="0" w:space="0" w:color="auto"/>
          </w:divBdr>
        </w:div>
        <w:div w:id="1080829949">
          <w:marLeft w:val="0"/>
          <w:marRight w:val="0"/>
          <w:marTop w:val="0"/>
          <w:marBottom w:val="0"/>
          <w:divBdr>
            <w:top w:val="none" w:sz="0" w:space="0" w:color="auto"/>
            <w:left w:val="none" w:sz="0" w:space="0" w:color="auto"/>
            <w:bottom w:val="none" w:sz="0" w:space="0" w:color="auto"/>
            <w:right w:val="none" w:sz="0" w:space="0" w:color="auto"/>
          </w:divBdr>
        </w:div>
        <w:div w:id="387652179">
          <w:marLeft w:val="0"/>
          <w:marRight w:val="0"/>
          <w:marTop w:val="0"/>
          <w:marBottom w:val="0"/>
          <w:divBdr>
            <w:top w:val="none" w:sz="0" w:space="0" w:color="auto"/>
            <w:left w:val="none" w:sz="0" w:space="0" w:color="auto"/>
            <w:bottom w:val="none" w:sz="0" w:space="0" w:color="auto"/>
            <w:right w:val="none" w:sz="0" w:space="0" w:color="auto"/>
          </w:divBdr>
        </w:div>
        <w:div w:id="1791825175">
          <w:marLeft w:val="0"/>
          <w:marRight w:val="0"/>
          <w:marTop w:val="0"/>
          <w:marBottom w:val="0"/>
          <w:divBdr>
            <w:top w:val="none" w:sz="0" w:space="0" w:color="auto"/>
            <w:left w:val="none" w:sz="0" w:space="0" w:color="auto"/>
            <w:bottom w:val="none" w:sz="0" w:space="0" w:color="auto"/>
            <w:right w:val="none" w:sz="0" w:space="0" w:color="auto"/>
          </w:divBdr>
        </w:div>
        <w:div w:id="242420650">
          <w:marLeft w:val="0"/>
          <w:marRight w:val="0"/>
          <w:marTop w:val="0"/>
          <w:marBottom w:val="0"/>
          <w:divBdr>
            <w:top w:val="none" w:sz="0" w:space="0" w:color="auto"/>
            <w:left w:val="none" w:sz="0" w:space="0" w:color="auto"/>
            <w:bottom w:val="none" w:sz="0" w:space="0" w:color="auto"/>
            <w:right w:val="none" w:sz="0" w:space="0" w:color="auto"/>
          </w:divBdr>
        </w:div>
        <w:div w:id="70548922">
          <w:marLeft w:val="0"/>
          <w:marRight w:val="0"/>
          <w:marTop w:val="0"/>
          <w:marBottom w:val="0"/>
          <w:divBdr>
            <w:top w:val="none" w:sz="0" w:space="0" w:color="auto"/>
            <w:left w:val="none" w:sz="0" w:space="0" w:color="auto"/>
            <w:bottom w:val="none" w:sz="0" w:space="0" w:color="auto"/>
            <w:right w:val="none" w:sz="0" w:space="0" w:color="auto"/>
          </w:divBdr>
        </w:div>
        <w:div w:id="1738355228">
          <w:marLeft w:val="0"/>
          <w:marRight w:val="0"/>
          <w:marTop w:val="0"/>
          <w:marBottom w:val="0"/>
          <w:divBdr>
            <w:top w:val="none" w:sz="0" w:space="0" w:color="auto"/>
            <w:left w:val="none" w:sz="0" w:space="0" w:color="auto"/>
            <w:bottom w:val="none" w:sz="0" w:space="0" w:color="auto"/>
            <w:right w:val="none" w:sz="0" w:space="0" w:color="auto"/>
          </w:divBdr>
        </w:div>
        <w:div w:id="1665668802">
          <w:marLeft w:val="0"/>
          <w:marRight w:val="0"/>
          <w:marTop w:val="0"/>
          <w:marBottom w:val="0"/>
          <w:divBdr>
            <w:top w:val="none" w:sz="0" w:space="0" w:color="auto"/>
            <w:left w:val="none" w:sz="0" w:space="0" w:color="auto"/>
            <w:bottom w:val="none" w:sz="0" w:space="0" w:color="auto"/>
            <w:right w:val="none" w:sz="0" w:space="0" w:color="auto"/>
          </w:divBdr>
        </w:div>
        <w:div w:id="607812811">
          <w:marLeft w:val="0"/>
          <w:marRight w:val="0"/>
          <w:marTop w:val="0"/>
          <w:marBottom w:val="0"/>
          <w:divBdr>
            <w:top w:val="none" w:sz="0" w:space="0" w:color="auto"/>
            <w:left w:val="none" w:sz="0" w:space="0" w:color="auto"/>
            <w:bottom w:val="none" w:sz="0" w:space="0" w:color="auto"/>
            <w:right w:val="none" w:sz="0" w:space="0" w:color="auto"/>
          </w:divBdr>
        </w:div>
        <w:div w:id="690575066">
          <w:marLeft w:val="0"/>
          <w:marRight w:val="0"/>
          <w:marTop w:val="0"/>
          <w:marBottom w:val="0"/>
          <w:divBdr>
            <w:top w:val="none" w:sz="0" w:space="0" w:color="auto"/>
            <w:left w:val="none" w:sz="0" w:space="0" w:color="auto"/>
            <w:bottom w:val="none" w:sz="0" w:space="0" w:color="auto"/>
            <w:right w:val="none" w:sz="0" w:space="0" w:color="auto"/>
          </w:divBdr>
        </w:div>
        <w:div w:id="180558947">
          <w:marLeft w:val="0"/>
          <w:marRight w:val="0"/>
          <w:marTop w:val="0"/>
          <w:marBottom w:val="0"/>
          <w:divBdr>
            <w:top w:val="none" w:sz="0" w:space="0" w:color="auto"/>
            <w:left w:val="none" w:sz="0" w:space="0" w:color="auto"/>
            <w:bottom w:val="none" w:sz="0" w:space="0" w:color="auto"/>
            <w:right w:val="none" w:sz="0" w:space="0" w:color="auto"/>
          </w:divBdr>
        </w:div>
        <w:div w:id="194464939">
          <w:marLeft w:val="0"/>
          <w:marRight w:val="0"/>
          <w:marTop w:val="0"/>
          <w:marBottom w:val="0"/>
          <w:divBdr>
            <w:top w:val="none" w:sz="0" w:space="0" w:color="auto"/>
            <w:left w:val="none" w:sz="0" w:space="0" w:color="auto"/>
            <w:bottom w:val="none" w:sz="0" w:space="0" w:color="auto"/>
            <w:right w:val="none" w:sz="0" w:space="0" w:color="auto"/>
          </w:divBdr>
        </w:div>
        <w:div w:id="1368411358">
          <w:marLeft w:val="0"/>
          <w:marRight w:val="0"/>
          <w:marTop w:val="0"/>
          <w:marBottom w:val="0"/>
          <w:divBdr>
            <w:top w:val="none" w:sz="0" w:space="0" w:color="auto"/>
            <w:left w:val="none" w:sz="0" w:space="0" w:color="auto"/>
            <w:bottom w:val="none" w:sz="0" w:space="0" w:color="auto"/>
            <w:right w:val="none" w:sz="0" w:space="0" w:color="auto"/>
          </w:divBdr>
        </w:div>
        <w:div w:id="2129926477">
          <w:marLeft w:val="0"/>
          <w:marRight w:val="0"/>
          <w:marTop w:val="0"/>
          <w:marBottom w:val="0"/>
          <w:divBdr>
            <w:top w:val="none" w:sz="0" w:space="0" w:color="auto"/>
            <w:left w:val="none" w:sz="0" w:space="0" w:color="auto"/>
            <w:bottom w:val="none" w:sz="0" w:space="0" w:color="auto"/>
            <w:right w:val="none" w:sz="0" w:space="0" w:color="auto"/>
          </w:divBdr>
        </w:div>
        <w:div w:id="942345990">
          <w:marLeft w:val="0"/>
          <w:marRight w:val="0"/>
          <w:marTop w:val="0"/>
          <w:marBottom w:val="0"/>
          <w:divBdr>
            <w:top w:val="none" w:sz="0" w:space="0" w:color="auto"/>
            <w:left w:val="none" w:sz="0" w:space="0" w:color="auto"/>
            <w:bottom w:val="none" w:sz="0" w:space="0" w:color="auto"/>
            <w:right w:val="none" w:sz="0" w:space="0" w:color="auto"/>
          </w:divBdr>
        </w:div>
        <w:div w:id="1985502919">
          <w:marLeft w:val="0"/>
          <w:marRight w:val="0"/>
          <w:marTop w:val="0"/>
          <w:marBottom w:val="0"/>
          <w:divBdr>
            <w:top w:val="none" w:sz="0" w:space="0" w:color="auto"/>
            <w:left w:val="none" w:sz="0" w:space="0" w:color="auto"/>
            <w:bottom w:val="none" w:sz="0" w:space="0" w:color="auto"/>
            <w:right w:val="none" w:sz="0" w:space="0" w:color="auto"/>
          </w:divBdr>
        </w:div>
        <w:div w:id="762577640">
          <w:marLeft w:val="0"/>
          <w:marRight w:val="0"/>
          <w:marTop w:val="0"/>
          <w:marBottom w:val="0"/>
          <w:divBdr>
            <w:top w:val="none" w:sz="0" w:space="0" w:color="auto"/>
            <w:left w:val="none" w:sz="0" w:space="0" w:color="auto"/>
            <w:bottom w:val="none" w:sz="0" w:space="0" w:color="auto"/>
            <w:right w:val="none" w:sz="0" w:space="0" w:color="auto"/>
          </w:divBdr>
        </w:div>
        <w:div w:id="1960065592">
          <w:marLeft w:val="0"/>
          <w:marRight w:val="0"/>
          <w:marTop w:val="0"/>
          <w:marBottom w:val="0"/>
          <w:divBdr>
            <w:top w:val="none" w:sz="0" w:space="0" w:color="auto"/>
            <w:left w:val="none" w:sz="0" w:space="0" w:color="auto"/>
            <w:bottom w:val="none" w:sz="0" w:space="0" w:color="auto"/>
            <w:right w:val="none" w:sz="0" w:space="0" w:color="auto"/>
          </w:divBdr>
        </w:div>
        <w:div w:id="518784257">
          <w:marLeft w:val="0"/>
          <w:marRight w:val="0"/>
          <w:marTop w:val="0"/>
          <w:marBottom w:val="0"/>
          <w:divBdr>
            <w:top w:val="none" w:sz="0" w:space="0" w:color="auto"/>
            <w:left w:val="none" w:sz="0" w:space="0" w:color="auto"/>
            <w:bottom w:val="none" w:sz="0" w:space="0" w:color="auto"/>
            <w:right w:val="none" w:sz="0" w:space="0" w:color="auto"/>
          </w:divBdr>
        </w:div>
        <w:div w:id="161970601">
          <w:marLeft w:val="0"/>
          <w:marRight w:val="0"/>
          <w:marTop w:val="0"/>
          <w:marBottom w:val="0"/>
          <w:divBdr>
            <w:top w:val="none" w:sz="0" w:space="0" w:color="auto"/>
            <w:left w:val="none" w:sz="0" w:space="0" w:color="auto"/>
            <w:bottom w:val="none" w:sz="0" w:space="0" w:color="auto"/>
            <w:right w:val="none" w:sz="0" w:space="0" w:color="auto"/>
          </w:divBdr>
        </w:div>
        <w:div w:id="111822030">
          <w:marLeft w:val="0"/>
          <w:marRight w:val="0"/>
          <w:marTop w:val="0"/>
          <w:marBottom w:val="0"/>
          <w:divBdr>
            <w:top w:val="none" w:sz="0" w:space="0" w:color="auto"/>
            <w:left w:val="none" w:sz="0" w:space="0" w:color="auto"/>
            <w:bottom w:val="none" w:sz="0" w:space="0" w:color="auto"/>
            <w:right w:val="none" w:sz="0" w:space="0" w:color="auto"/>
          </w:divBdr>
        </w:div>
        <w:div w:id="1059131592">
          <w:marLeft w:val="0"/>
          <w:marRight w:val="0"/>
          <w:marTop w:val="0"/>
          <w:marBottom w:val="0"/>
          <w:divBdr>
            <w:top w:val="none" w:sz="0" w:space="0" w:color="auto"/>
            <w:left w:val="none" w:sz="0" w:space="0" w:color="auto"/>
            <w:bottom w:val="none" w:sz="0" w:space="0" w:color="auto"/>
            <w:right w:val="none" w:sz="0" w:space="0" w:color="auto"/>
          </w:divBdr>
        </w:div>
        <w:div w:id="1171724900">
          <w:marLeft w:val="0"/>
          <w:marRight w:val="0"/>
          <w:marTop w:val="0"/>
          <w:marBottom w:val="0"/>
          <w:divBdr>
            <w:top w:val="none" w:sz="0" w:space="0" w:color="auto"/>
            <w:left w:val="none" w:sz="0" w:space="0" w:color="auto"/>
            <w:bottom w:val="none" w:sz="0" w:space="0" w:color="auto"/>
            <w:right w:val="none" w:sz="0" w:space="0" w:color="auto"/>
          </w:divBdr>
        </w:div>
        <w:div w:id="1988197784">
          <w:marLeft w:val="0"/>
          <w:marRight w:val="0"/>
          <w:marTop w:val="0"/>
          <w:marBottom w:val="0"/>
          <w:divBdr>
            <w:top w:val="none" w:sz="0" w:space="0" w:color="auto"/>
            <w:left w:val="none" w:sz="0" w:space="0" w:color="auto"/>
            <w:bottom w:val="none" w:sz="0" w:space="0" w:color="auto"/>
            <w:right w:val="none" w:sz="0" w:space="0" w:color="auto"/>
          </w:divBdr>
        </w:div>
        <w:div w:id="1650209105">
          <w:marLeft w:val="0"/>
          <w:marRight w:val="0"/>
          <w:marTop w:val="0"/>
          <w:marBottom w:val="0"/>
          <w:divBdr>
            <w:top w:val="none" w:sz="0" w:space="0" w:color="auto"/>
            <w:left w:val="none" w:sz="0" w:space="0" w:color="auto"/>
            <w:bottom w:val="none" w:sz="0" w:space="0" w:color="auto"/>
            <w:right w:val="none" w:sz="0" w:space="0" w:color="auto"/>
          </w:divBdr>
        </w:div>
        <w:div w:id="10616941">
          <w:marLeft w:val="0"/>
          <w:marRight w:val="0"/>
          <w:marTop w:val="0"/>
          <w:marBottom w:val="0"/>
          <w:divBdr>
            <w:top w:val="none" w:sz="0" w:space="0" w:color="auto"/>
            <w:left w:val="none" w:sz="0" w:space="0" w:color="auto"/>
            <w:bottom w:val="none" w:sz="0" w:space="0" w:color="auto"/>
            <w:right w:val="none" w:sz="0" w:space="0" w:color="auto"/>
          </w:divBdr>
        </w:div>
        <w:div w:id="1553694269">
          <w:marLeft w:val="0"/>
          <w:marRight w:val="0"/>
          <w:marTop w:val="0"/>
          <w:marBottom w:val="0"/>
          <w:divBdr>
            <w:top w:val="none" w:sz="0" w:space="0" w:color="auto"/>
            <w:left w:val="none" w:sz="0" w:space="0" w:color="auto"/>
            <w:bottom w:val="none" w:sz="0" w:space="0" w:color="auto"/>
            <w:right w:val="none" w:sz="0" w:space="0" w:color="auto"/>
          </w:divBdr>
        </w:div>
        <w:div w:id="490102015">
          <w:marLeft w:val="0"/>
          <w:marRight w:val="0"/>
          <w:marTop w:val="0"/>
          <w:marBottom w:val="0"/>
          <w:divBdr>
            <w:top w:val="none" w:sz="0" w:space="0" w:color="auto"/>
            <w:left w:val="none" w:sz="0" w:space="0" w:color="auto"/>
            <w:bottom w:val="none" w:sz="0" w:space="0" w:color="auto"/>
            <w:right w:val="none" w:sz="0" w:space="0" w:color="auto"/>
          </w:divBdr>
        </w:div>
      </w:divsChild>
    </w:div>
    <w:div w:id="949555252">
      <w:bodyDiv w:val="1"/>
      <w:marLeft w:val="0"/>
      <w:marRight w:val="0"/>
      <w:marTop w:val="0"/>
      <w:marBottom w:val="0"/>
      <w:divBdr>
        <w:top w:val="none" w:sz="0" w:space="0" w:color="auto"/>
        <w:left w:val="none" w:sz="0" w:space="0" w:color="auto"/>
        <w:bottom w:val="none" w:sz="0" w:space="0" w:color="auto"/>
        <w:right w:val="none" w:sz="0" w:space="0" w:color="auto"/>
      </w:divBdr>
    </w:div>
    <w:div w:id="953362462">
      <w:bodyDiv w:val="1"/>
      <w:marLeft w:val="0"/>
      <w:marRight w:val="0"/>
      <w:marTop w:val="0"/>
      <w:marBottom w:val="0"/>
      <w:divBdr>
        <w:top w:val="none" w:sz="0" w:space="0" w:color="auto"/>
        <w:left w:val="none" w:sz="0" w:space="0" w:color="auto"/>
        <w:bottom w:val="none" w:sz="0" w:space="0" w:color="auto"/>
        <w:right w:val="none" w:sz="0" w:space="0" w:color="auto"/>
      </w:divBdr>
      <w:divsChild>
        <w:div w:id="1532184275">
          <w:marLeft w:val="0"/>
          <w:marRight w:val="0"/>
          <w:marTop w:val="0"/>
          <w:marBottom w:val="0"/>
          <w:divBdr>
            <w:top w:val="none" w:sz="0" w:space="0" w:color="auto"/>
            <w:left w:val="none" w:sz="0" w:space="0" w:color="auto"/>
            <w:bottom w:val="none" w:sz="0" w:space="0" w:color="auto"/>
            <w:right w:val="none" w:sz="0" w:space="0" w:color="auto"/>
          </w:divBdr>
        </w:div>
        <w:div w:id="432283735">
          <w:marLeft w:val="0"/>
          <w:marRight w:val="0"/>
          <w:marTop w:val="0"/>
          <w:marBottom w:val="0"/>
          <w:divBdr>
            <w:top w:val="none" w:sz="0" w:space="0" w:color="auto"/>
            <w:left w:val="none" w:sz="0" w:space="0" w:color="auto"/>
            <w:bottom w:val="none" w:sz="0" w:space="0" w:color="auto"/>
            <w:right w:val="none" w:sz="0" w:space="0" w:color="auto"/>
          </w:divBdr>
        </w:div>
        <w:div w:id="1197158145">
          <w:marLeft w:val="0"/>
          <w:marRight w:val="0"/>
          <w:marTop w:val="0"/>
          <w:marBottom w:val="0"/>
          <w:divBdr>
            <w:top w:val="none" w:sz="0" w:space="0" w:color="auto"/>
            <w:left w:val="none" w:sz="0" w:space="0" w:color="auto"/>
            <w:bottom w:val="none" w:sz="0" w:space="0" w:color="auto"/>
            <w:right w:val="none" w:sz="0" w:space="0" w:color="auto"/>
          </w:divBdr>
        </w:div>
        <w:div w:id="1332677497">
          <w:marLeft w:val="0"/>
          <w:marRight w:val="0"/>
          <w:marTop w:val="0"/>
          <w:marBottom w:val="0"/>
          <w:divBdr>
            <w:top w:val="none" w:sz="0" w:space="0" w:color="auto"/>
            <w:left w:val="none" w:sz="0" w:space="0" w:color="auto"/>
            <w:bottom w:val="none" w:sz="0" w:space="0" w:color="auto"/>
            <w:right w:val="none" w:sz="0" w:space="0" w:color="auto"/>
          </w:divBdr>
        </w:div>
        <w:div w:id="628825379">
          <w:marLeft w:val="0"/>
          <w:marRight w:val="0"/>
          <w:marTop w:val="0"/>
          <w:marBottom w:val="0"/>
          <w:divBdr>
            <w:top w:val="none" w:sz="0" w:space="0" w:color="auto"/>
            <w:left w:val="none" w:sz="0" w:space="0" w:color="auto"/>
            <w:bottom w:val="none" w:sz="0" w:space="0" w:color="auto"/>
            <w:right w:val="none" w:sz="0" w:space="0" w:color="auto"/>
          </w:divBdr>
        </w:div>
        <w:div w:id="1660228335">
          <w:marLeft w:val="0"/>
          <w:marRight w:val="0"/>
          <w:marTop w:val="0"/>
          <w:marBottom w:val="0"/>
          <w:divBdr>
            <w:top w:val="none" w:sz="0" w:space="0" w:color="auto"/>
            <w:left w:val="none" w:sz="0" w:space="0" w:color="auto"/>
            <w:bottom w:val="none" w:sz="0" w:space="0" w:color="auto"/>
            <w:right w:val="none" w:sz="0" w:space="0" w:color="auto"/>
          </w:divBdr>
        </w:div>
        <w:div w:id="1440178959">
          <w:marLeft w:val="0"/>
          <w:marRight w:val="0"/>
          <w:marTop w:val="0"/>
          <w:marBottom w:val="0"/>
          <w:divBdr>
            <w:top w:val="none" w:sz="0" w:space="0" w:color="auto"/>
            <w:left w:val="none" w:sz="0" w:space="0" w:color="auto"/>
            <w:bottom w:val="none" w:sz="0" w:space="0" w:color="auto"/>
            <w:right w:val="none" w:sz="0" w:space="0" w:color="auto"/>
          </w:divBdr>
        </w:div>
        <w:div w:id="1377123575">
          <w:marLeft w:val="0"/>
          <w:marRight w:val="0"/>
          <w:marTop w:val="0"/>
          <w:marBottom w:val="0"/>
          <w:divBdr>
            <w:top w:val="none" w:sz="0" w:space="0" w:color="auto"/>
            <w:left w:val="none" w:sz="0" w:space="0" w:color="auto"/>
            <w:bottom w:val="none" w:sz="0" w:space="0" w:color="auto"/>
            <w:right w:val="none" w:sz="0" w:space="0" w:color="auto"/>
          </w:divBdr>
        </w:div>
        <w:div w:id="1503277065">
          <w:marLeft w:val="0"/>
          <w:marRight w:val="0"/>
          <w:marTop w:val="0"/>
          <w:marBottom w:val="0"/>
          <w:divBdr>
            <w:top w:val="none" w:sz="0" w:space="0" w:color="auto"/>
            <w:left w:val="none" w:sz="0" w:space="0" w:color="auto"/>
            <w:bottom w:val="none" w:sz="0" w:space="0" w:color="auto"/>
            <w:right w:val="none" w:sz="0" w:space="0" w:color="auto"/>
          </w:divBdr>
        </w:div>
        <w:div w:id="1479615954">
          <w:marLeft w:val="0"/>
          <w:marRight w:val="0"/>
          <w:marTop w:val="0"/>
          <w:marBottom w:val="0"/>
          <w:divBdr>
            <w:top w:val="none" w:sz="0" w:space="0" w:color="auto"/>
            <w:left w:val="none" w:sz="0" w:space="0" w:color="auto"/>
            <w:bottom w:val="none" w:sz="0" w:space="0" w:color="auto"/>
            <w:right w:val="none" w:sz="0" w:space="0" w:color="auto"/>
          </w:divBdr>
        </w:div>
        <w:div w:id="105126992">
          <w:marLeft w:val="0"/>
          <w:marRight w:val="0"/>
          <w:marTop w:val="0"/>
          <w:marBottom w:val="0"/>
          <w:divBdr>
            <w:top w:val="none" w:sz="0" w:space="0" w:color="auto"/>
            <w:left w:val="none" w:sz="0" w:space="0" w:color="auto"/>
            <w:bottom w:val="none" w:sz="0" w:space="0" w:color="auto"/>
            <w:right w:val="none" w:sz="0" w:space="0" w:color="auto"/>
          </w:divBdr>
        </w:div>
        <w:div w:id="993025380">
          <w:marLeft w:val="0"/>
          <w:marRight w:val="0"/>
          <w:marTop w:val="0"/>
          <w:marBottom w:val="0"/>
          <w:divBdr>
            <w:top w:val="none" w:sz="0" w:space="0" w:color="auto"/>
            <w:left w:val="none" w:sz="0" w:space="0" w:color="auto"/>
            <w:bottom w:val="none" w:sz="0" w:space="0" w:color="auto"/>
            <w:right w:val="none" w:sz="0" w:space="0" w:color="auto"/>
          </w:divBdr>
        </w:div>
        <w:div w:id="1849756439">
          <w:marLeft w:val="0"/>
          <w:marRight w:val="0"/>
          <w:marTop w:val="0"/>
          <w:marBottom w:val="0"/>
          <w:divBdr>
            <w:top w:val="none" w:sz="0" w:space="0" w:color="auto"/>
            <w:left w:val="none" w:sz="0" w:space="0" w:color="auto"/>
            <w:bottom w:val="none" w:sz="0" w:space="0" w:color="auto"/>
            <w:right w:val="none" w:sz="0" w:space="0" w:color="auto"/>
          </w:divBdr>
        </w:div>
        <w:div w:id="1894734905">
          <w:marLeft w:val="0"/>
          <w:marRight w:val="0"/>
          <w:marTop w:val="0"/>
          <w:marBottom w:val="0"/>
          <w:divBdr>
            <w:top w:val="none" w:sz="0" w:space="0" w:color="auto"/>
            <w:left w:val="none" w:sz="0" w:space="0" w:color="auto"/>
            <w:bottom w:val="none" w:sz="0" w:space="0" w:color="auto"/>
            <w:right w:val="none" w:sz="0" w:space="0" w:color="auto"/>
          </w:divBdr>
        </w:div>
        <w:div w:id="550731685">
          <w:marLeft w:val="0"/>
          <w:marRight w:val="0"/>
          <w:marTop w:val="0"/>
          <w:marBottom w:val="0"/>
          <w:divBdr>
            <w:top w:val="none" w:sz="0" w:space="0" w:color="auto"/>
            <w:left w:val="none" w:sz="0" w:space="0" w:color="auto"/>
            <w:bottom w:val="none" w:sz="0" w:space="0" w:color="auto"/>
            <w:right w:val="none" w:sz="0" w:space="0" w:color="auto"/>
          </w:divBdr>
        </w:div>
        <w:div w:id="21326602">
          <w:marLeft w:val="0"/>
          <w:marRight w:val="0"/>
          <w:marTop w:val="0"/>
          <w:marBottom w:val="0"/>
          <w:divBdr>
            <w:top w:val="none" w:sz="0" w:space="0" w:color="auto"/>
            <w:left w:val="none" w:sz="0" w:space="0" w:color="auto"/>
            <w:bottom w:val="none" w:sz="0" w:space="0" w:color="auto"/>
            <w:right w:val="none" w:sz="0" w:space="0" w:color="auto"/>
          </w:divBdr>
        </w:div>
        <w:div w:id="130902665">
          <w:marLeft w:val="0"/>
          <w:marRight w:val="0"/>
          <w:marTop w:val="0"/>
          <w:marBottom w:val="0"/>
          <w:divBdr>
            <w:top w:val="none" w:sz="0" w:space="0" w:color="auto"/>
            <w:left w:val="none" w:sz="0" w:space="0" w:color="auto"/>
            <w:bottom w:val="none" w:sz="0" w:space="0" w:color="auto"/>
            <w:right w:val="none" w:sz="0" w:space="0" w:color="auto"/>
          </w:divBdr>
        </w:div>
        <w:div w:id="1097408502">
          <w:marLeft w:val="0"/>
          <w:marRight w:val="0"/>
          <w:marTop w:val="0"/>
          <w:marBottom w:val="0"/>
          <w:divBdr>
            <w:top w:val="none" w:sz="0" w:space="0" w:color="auto"/>
            <w:left w:val="none" w:sz="0" w:space="0" w:color="auto"/>
            <w:bottom w:val="none" w:sz="0" w:space="0" w:color="auto"/>
            <w:right w:val="none" w:sz="0" w:space="0" w:color="auto"/>
          </w:divBdr>
        </w:div>
        <w:div w:id="970550560">
          <w:marLeft w:val="0"/>
          <w:marRight w:val="0"/>
          <w:marTop w:val="0"/>
          <w:marBottom w:val="0"/>
          <w:divBdr>
            <w:top w:val="none" w:sz="0" w:space="0" w:color="auto"/>
            <w:left w:val="none" w:sz="0" w:space="0" w:color="auto"/>
            <w:bottom w:val="none" w:sz="0" w:space="0" w:color="auto"/>
            <w:right w:val="none" w:sz="0" w:space="0" w:color="auto"/>
          </w:divBdr>
        </w:div>
        <w:div w:id="2140225366">
          <w:marLeft w:val="0"/>
          <w:marRight w:val="0"/>
          <w:marTop w:val="0"/>
          <w:marBottom w:val="0"/>
          <w:divBdr>
            <w:top w:val="none" w:sz="0" w:space="0" w:color="auto"/>
            <w:left w:val="none" w:sz="0" w:space="0" w:color="auto"/>
            <w:bottom w:val="none" w:sz="0" w:space="0" w:color="auto"/>
            <w:right w:val="none" w:sz="0" w:space="0" w:color="auto"/>
          </w:divBdr>
        </w:div>
        <w:div w:id="1721637584">
          <w:marLeft w:val="0"/>
          <w:marRight w:val="0"/>
          <w:marTop w:val="0"/>
          <w:marBottom w:val="0"/>
          <w:divBdr>
            <w:top w:val="none" w:sz="0" w:space="0" w:color="auto"/>
            <w:left w:val="none" w:sz="0" w:space="0" w:color="auto"/>
            <w:bottom w:val="none" w:sz="0" w:space="0" w:color="auto"/>
            <w:right w:val="none" w:sz="0" w:space="0" w:color="auto"/>
          </w:divBdr>
        </w:div>
      </w:divsChild>
    </w:div>
    <w:div w:id="954217312">
      <w:bodyDiv w:val="1"/>
      <w:marLeft w:val="0"/>
      <w:marRight w:val="0"/>
      <w:marTop w:val="0"/>
      <w:marBottom w:val="0"/>
      <w:divBdr>
        <w:top w:val="none" w:sz="0" w:space="0" w:color="auto"/>
        <w:left w:val="none" w:sz="0" w:space="0" w:color="auto"/>
        <w:bottom w:val="none" w:sz="0" w:space="0" w:color="auto"/>
        <w:right w:val="none" w:sz="0" w:space="0" w:color="auto"/>
      </w:divBdr>
    </w:div>
    <w:div w:id="1005398777">
      <w:bodyDiv w:val="1"/>
      <w:marLeft w:val="0"/>
      <w:marRight w:val="0"/>
      <w:marTop w:val="0"/>
      <w:marBottom w:val="0"/>
      <w:divBdr>
        <w:top w:val="none" w:sz="0" w:space="0" w:color="auto"/>
        <w:left w:val="none" w:sz="0" w:space="0" w:color="auto"/>
        <w:bottom w:val="none" w:sz="0" w:space="0" w:color="auto"/>
        <w:right w:val="none" w:sz="0" w:space="0" w:color="auto"/>
      </w:divBdr>
    </w:div>
    <w:div w:id="1015885122">
      <w:bodyDiv w:val="1"/>
      <w:marLeft w:val="0"/>
      <w:marRight w:val="0"/>
      <w:marTop w:val="0"/>
      <w:marBottom w:val="0"/>
      <w:divBdr>
        <w:top w:val="none" w:sz="0" w:space="0" w:color="auto"/>
        <w:left w:val="none" w:sz="0" w:space="0" w:color="auto"/>
        <w:bottom w:val="none" w:sz="0" w:space="0" w:color="auto"/>
        <w:right w:val="none" w:sz="0" w:space="0" w:color="auto"/>
      </w:divBdr>
      <w:divsChild>
        <w:div w:id="1132098543">
          <w:marLeft w:val="0"/>
          <w:marRight w:val="0"/>
          <w:marTop w:val="0"/>
          <w:marBottom w:val="0"/>
          <w:divBdr>
            <w:top w:val="none" w:sz="0" w:space="0" w:color="auto"/>
            <w:left w:val="none" w:sz="0" w:space="0" w:color="auto"/>
            <w:bottom w:val="none" w:sz="0" w:space="0" w:color="auto"/>
            <w:right w:val="none" w:sz="0" w:space="0" w:color="auto"/>
          </w:divBdr>
        </w:div>
        <w:div w:id="874806680">
          <w:marLeft w:val="0"/>
          <w:marRight w:val="0"/>
          <w:marTop w:val="0"/>
          <w:marBottom w:val="0"/>
          <w:divBdr>
            <w:top w:val="none" w:sz="0" w:space="0" w:color="auto"/>
            <w:left w:val="none" w:sz="0" w:space="0" w:color="auto"/>
            <w:bottom w:val="none" w:sz="0" w:space="0" w:color="auto"/>
            <w:right w:val="none" w:sz="0" w:space="0" w:color="auto"/>
          </w:divBdr>
        </w:div>
        <w:div w:id="1742174757">
          <w:marLeft w:val="0"/>
          <w:marRight w:val="0"/>
          <w:marTop w:val="0"/>
          <w:marBottom w:val="0"/>
          <w:divBdr>
            <w:top w:val="none" w:sz="0" w:space="0" w:color="auto"/>
            <w:left w:val="none" w:sz="0" w:space="0" w:color="auto"/>
            <w:bottom w:val="none" w:sz="0" w:space="0" w:color="auto"/>
            <w:right w:val="none" w:sz="0" w:space="0" w:color="auto"/>
          </w:divBdr>
        </w:div>
        <w:div w:id="266431040">
          <w:marLeft w:val="0"/>
          <w:marRight w:val="0"/>
          <w:marTop w:val="0"/>
          <w:marBottom w:val="0"/>
          <w:divBdr>
            <w:top w:val="none" w:sz="0" w:space="0" w:color="auto"/>
            <w:left w:val="none" w:sz="0" w:space="0" w:color="auto"/>
            <w:bottom w:val="none" w:sz="0" w:space="0" w:color="auto"/>
            <w:right w:val="none" w:sz="0" w:space="0" w:color="auto"/>
          </w:divBdr>
        </w:div>
        <w:div w:id="1240407777">
          <w:marLeft w:val="0"/>
          <w:marRight w:val="0"/>
          <w:marTop w:val="0"/>
          <w:marBottom w:val="0"/>
          <w:divBdr>
            <w:top w:val="none" w:sz="0" w:space="0" w:color="auto"/>
            <w:left w:val="none" w:sz="0" w:space="0" w:color="auto"/>
            <w:bottom w:val="none" w:sz="0" w:space="0" w:color="auto"/>
            <w:right w:val="none" w:sz="0" w:space="0" w:color="auto"/>
          </w:divBdr>
        </w:div>
        <w:div w:id="699208474">
          <w:marLeft w:val="0"/>
          <w:marRight w:val="0"/>
          <w:marTop w:val="0"/>
          <w:marBottom w:val="0"/>
          <w:divBdr>
            <w:top w:val="none" w:sz="0" w:space="0" w:color="auto"/>
            <w:left w:val="none" w:sz="0" w:space="0" w:color="auto"/>
            <w:bottom w:val="none" w:sz="0" w:space="0" w:color="auto"/>
            <w:right w:val="none" w:sz="0" w:space="0" w:color="auto"/>
          </w:divBdr>
        </w:div>
        <w:div w:id="1829594431">
          <w:marLeft w:val="0"/>
          <w:marRight w:val="0"/>
          <w:marTop w:val="0"/>
          <w:marBottom w:val="0"/>
          <w:divBdr>
            <w:top w:val="none" w:sz="0" w:space="0" w:color="auto"/>
            <w:left w:val="none" w:sz="0" w:space="0" w:color="auto"/>
            <w:bottom w:val="none" w:sz="0" w:space="0" w:color="auto"/>
            <w:right w:val="none" w:sz="0" w:space="0" w:color="auto"/>
          </w:divBdr>
        </w:div>
        <w:div w:id="1383866982">
          <w:marLeft w:val="0"/>
          <w:marRight w:val="0"/>
          <w:marTop w:val="0"/>
          <w:marBottom w:val="0"/>
          <w:divBdr>
            <w:top w:val="none" w:sz="0" w:space="0" w:color="auto"/>
            <w:left w:val="none" w:sz="0" w:space="0" w:color="auto"/>
            <w:bottom w:val="none" w:sz="0" w:space="0" w:color="auto"/>
            <w:right w:val="none" w:sz="0" w:space="0" w:color="auto"/>
          </w:divBdr>
        </w:div>
      </w:divsChild>
    </w:div>
    <w:div w:id="1028221308">
      <w:bodyDiv w:val="1"/>
      <w:marLeft w:val="0"/>
      <w:marRight w:val="0"/>
      <w:marTop w:val="0"/>
      <w:marBottom w:val="0"/>
      <w:divBdr>
        <w:top w:val="none" w:sz="0" w:space="0" w:color="auto"/>
        <w:left w:val="none" w:sz="0" w:space="0" w:color="auto"/>
        <w:bottom w:val="none" w:sz="0" w:space="0" w:color="auto"/>
        <w:right w:val="none" w:sz="0" w:space="0" w:color="auto"/>
      </w:divBdr>
      <w:divsChild>
        <w:div w:id="170068145">
          <w:marLeft w:val="0"/>
          <w:marRight w:val="0"/>
          <w:marTop w:val="0"/>
          <w:marBottom w:val="0"/>
          <w:divBdr>
            <w:top w:val="none" w:sz="0" w:space="0" w:color="auto"/>
            <w:left w:val="none" w:sz="0" w:space="0" w:color="auto"/>
            <w:bottom w:val="none" w:sz="0" w:space="0" w:color="auto"/>
            <w:right w:val="none" w:sz="0" w:space="0" w:color="auto"/>
          </w:divBdr>
        </w:div>
        <w:div w:id="133177698">
          <w:marLeft w:val="0"/>
          <w:marRight w:val="0"/>
          <w:marTop w:val="0"/>
          <w:marBottom w:val="0"/>
          <w:divBdr>
            <w:top w:val="none" w:sz="0" w:space="0" w:color="auto"/>
            <w:left w:val="none" w:sz="0" w:space="0" w:color="auto"/>
            <w:bottom w:val="none" w:sz="0" w:space="0" w:color="auto"/>
            <w:right w:val="none" w:sz="0" w:space="0" w:color="auto"/>
          </w:divBdr>
        </w:div>
        <w:div w:id="952244424">
          <w:marLeft w:val="0"/>
          <w:marRight w:val="0"/>
          <w:marTop w:val="0"/>
          <w:marBottom w:val="0"/>
          <w:divBdr>
            <w:top w:val="none" w:sz="0" w:space="0" w:color="auto"/>
            <w:left w:val="none" w:sz="0" w:space="0" w:color="auto"/>
            <w:bottom w:val="none" w:sz="0" w:space="0" w:color="auto"/>
            <w:right w:val="none" w:sz="0" w:space="0" w:color="auto"/>
          </w:divBdr>
        </w:div>
        <w:div w:id="1329138078">
          <w:marLeft w:val="0"/>
          <w:marRight w:val="0"/>
          <w:marTop w:val="0"/>
          <w:marBottom w:val="0"/>
          <w:divBdr>
            <w:top w:val="none" w:sz="0" w:space="0" w:color="auto"/>
            <w:left w:val="none" w:sz="0" w:space="0" w:color="auto"/>
            <w:bottom w:val="none" w:sz="0" w:space="0" w:color="auto"/>
            <w:right w:val="none" w:sz="0" w:space="0" w:color="auto"/>
          </w:divBdr>
        </w:div>
        <w:div w:id="157313811">
          <w:marLeft w:val="0"/>
          <w:marRight w:val="0"/>
          <w:marTop w:val="0"/>
          <w:marBottom w:val="0"/>
          <w:divBdr>
            <w:top w:val="none" w:sz="0" w:space="0" w:color="auto"/>
            <w:left w:val="none" w:sz="0" w:space="0" w:color="auto"/>
            <w:bottom w:val="none" w:sz="0" w:space="0" w:color="auto"/>
            <w:right w:val="none" w:sz="0" w:space="0" w:color="auto"/>
          </w:divBdr>
        </w:div>
        <w:div w:id="1806507856">
          <w:marLeft w:val="0"/>
          <w:marRight w:val="0"/>
          <w:marTop w:val="0"/>
          <w:marBottom w:val="0"/>
          <w:divBdr>
            <w:top w:val="none" w:sz="0" w:space="0" w:color="auto"/>
            <w:left w:val="none" w:sz="0" w:space="0" w:color="auto"/>
            <w:bottom w:val="none" w:sz="0" w:space="0" w:color="auto"/>
            <w:right w:val="none" w:sz="0" w:space="0" w:color="auto"/>
          </w:divBdr>
        </w:div>
        <w:div w:id="1287541748">
          <w:marLeft w:val="0"/>
          <w:marRight w:val="0"/>
          <w:marTop w:val="0"/>
          <w:marBottom w:val="0"/>
          <w:divBdr>
            <w:top w:val="none" w:sz="0" w:space="0" w:color="auto"/>
            <w:left w:val="none" w:sz="0" w:space="0" w:color="auto"/>
            <w:bottom w:val="none" w:sz="0" w:space="0" w:color="auto"/>
            <w:right w:val="none" w:sz="0" w:space="0" w:color="auto"/>
          </w:divBdr>
        </w:div>
        <w:div w:id="1345743920">
          <w:marLeft w:val="0"/>
          <w:marRight w:val="0"/>
          <w:marTop w:val="0"/>
          <w:marBottom w:val="0"/>
          <w:divBdr>
            <w:top w:val="none" w:sz="0" w:space="0" w:color="auto"/>
            <w:left w:val="none" w:sz="0" w:space="0" w:color="auto"/>
            <w:bottom w:val="none" w:sz="0" w:space="0" w:color="auto"/>
            <w:right w:val="none" w:sz="0" w:space="0" w:color="auto"/>
          </w:divBdr>
        </w:div>
        <w:div w:id="465391760">
          <w:marLeft w:val="0"/>
          <w:marRight w:val="0"/>
          <w:marTop w:val="0"/>
          <w:marBottom w:val="0"/>
          <w:divBdr>
            <w:top w:val="none" w:sz="0" w:space="0" w:color="auto"/>
            <w:left w:val="none" w:sz="0" w:space="0" w:color="auto"/>
            <w:bottom w:val="none" w:sz="0" w:space="0" w:color="auto"/>
            <w:right w:val="none" w:sz="0" w:space="0" w:color="auto"/>
          </w:divBdr>
        </w:div>
        <w:div w:id="1394503574">
          <w:marLeft w:val="0"/>
          <w:marRight w:val="0"/>
          <w:marTop w:val="0"/>
          <w:marBottom w:val="0"/>
          <w:divBdr>
            <w:top w:val="none" w:sz="0" w:space="0" w:color="auto"/>
            <w:left w:val="none" w:sz="0" w:space="0" w:color="auto"/>
            <w:bottom w:val="none" w:sz="0" w:space="0" w:color="auto"/>
            <w:right w:val="none" w:sz="0" w:space="0" w:color="auto"/>
          </w:divBdr>
        </w:div>
        <w:div w:id="109279312">
          <w:marLeft w:val="0"/>
          <w:marRight w:val="0"/>
          <w:marTop w:val="0"/>
          <w:marBottom w:val="0"/>
          <w:divBdr>
            <w:top w:val="none" w:sz="0" w:space="0" w:color="auto"/>
            <w:left w:val="none" w:sz="0" w:space="0" w:color="auto"/>
            <w:bottom w:val="none" w:sz="0" w:space="0" w:color="auto"/>
            <w:right w:val="none" w:sz="0" w:space="0" w:color="auto"/>
          </w:divBdr>
        </w:div>
        <w:div w:id="1152526815">
          <w:marLeft w:val="0"/>
          <w:marRight w:val="0"/>
          <w:marTop w:val="0"/>
          <w:marBottom w:val="0"/>
          <w:divBdr>
            <w:top w:val="none" w:sz="0" w:space="0" w:color="auto"/>
            <w:left w:val="none" w:sz="0" w:space="0" w:color="auto"/>
            <w:bottom w:val="none" w:sz="0" w:space="0" w:color="auto"/>
            <w:right w:val="none" w:sz="0" w:space="0" w:color="auto"/>
          </w:divBdr>
        </w:div>
        <w:div w:id="1405224556">
          <w:marLeft w:val="0"/>
          <w:marRight w:val="0"/>
          <w:marTop w:val="0"/>
          <w:marBottom w:val="0"/>
          <w:divBdr>
            <w:top w:val="none" w:sz="0" w:space="0" w:color="auto"/>
            <w:left w:val="none" w:sz="0" w:space="0" w:color="auto"/>
            <w:bottom w:val="none" w:sz="0" w:space="0" w:color="auto"/>
            <w:right w:val="none" w:sz="0" w:space="0" w:color="auto"/>
          </w:divBdr>
        </w:div>
        <w:div w:id="1555390212">
          <w:marLeft w:val="0"/>
          <w:marRight w:val="0"/>
          <w:marTop w:val="0"/>
          <w:marBottom w:val="0"/>
          <w:divBdr>
            <w:top w:val="none" w:sz="0" w:space="0" w:color="auto"/>
            <w:left w:val="none" w:sz="0" w:space="0" w:color="auto"/>
            <w:bottom w:val="none" w:sz="0" w:space="0" w:color="auto"/>
            <w:right w:val="none" w:sz="0" w:space="0" w:color="auto"/>
          </w:divBdr>
        </w:div>
        <w:div w:id="922032359">
          <w:marLeft w:val="0"/>
          <w:marRight w:val="0"/>
          <w:marTop w:val="0"/>
          <w:marBottom w:val="0"/>
          <w:divBdr>
            <w:top w:val="none" w:sz="0" w:space="0" w:color="auto"/>
            <w:left w:val="none" w:sz="0" w:space="0" w:color="auto"/>
            <w:bottom w:val="none" w:sz="0" w:space="0" w:color="auto"/>
            <w:right w:val="none" w:sz="0" w:space="0" w:color="auto"/>
          </w:divBdr>
        </w:div>
        <w:div w:id="1598901118">
          <w:marLeft w:val="0"/>
          <w:marRight w:val="0"/>
          <w:marTop w:val="0"/>
          <w:marBottom w:val="0"/>
          <w:divBdr>
            <w:top w:val="none" w:sz="0" w:space="0" w:color="auto"/>
            <w:left w:val="none" w:sz="0" w:space="0" w:color="auto"/>
            <w:bottom w:val="none" w:sz="0" w:space="0" w:color="auto"/>
            <w:right w:val="none" w:sz="0" w:space="0" w:color="auto"/>
          </w:divBdr>
        </w:div>
        <w:div w:id="1369725124">
          <w:marLeft w:val="0"/>
          <w:marRight w:val="0"/>
          <w:marTop w:val="0"/>
          <w:marBottom w:val="0"/>
          <w:divBdr>
            <w:top w:val="none" w:sz="0" w:space="0" w:color="auto"/>
            <w:left w:val="none" w:sz="0" w:space="0" w:color="auto"/>
            <w:bottom w:val="none" w:sz="0" w:space="0" w:color="auto"/>
            <w:right w:val="none" w:sz="0" w:space="0" w:color="auto"/>
          </w:divBdr>
        </w:div>
        <w:div w:id="1790316355">
          <w:marLeft w:val="0"/>
          <w:marRight w:val="0"/>
          <w:marTop w:val="0"/>
          <w:marBottom w:val="0"/>
          <w:divBdr>
            <w:top w:val="none" w:sz="0" w:space="0" w:color="auto"/>
            <w:left w:val="none" w:sz="0" w:space="0" w:color="auto"/>
            <w:bottom w:val="none" w:sz="0" w:space="0" w:color="auto"/>
            <w:right w:val="none" w:sz="0" w:space="0" w:color="auto"/>
          </w:divBdr>
        </w:div>
        <w:div w:id="345518030">
          <w:marLeft w:val="0"/>
          <w:marRight w:val="0"/>
          <w:marTop w:val="0"/>
          <w:marBottom w:val="0"/>
          <w:divBdr>
            <w:top w:val="none" w:sz="0" w:space="0" w:color="auto"/>
            <w:left w:val="none" w:sz="0" w:space="0" w:color="auto"/>
            <w:bottom w:val="none" w:sz="0" w:space="0" w:color="auto"/>
            <w:right w:val="none" w:sz="0" w:space="0" w:color="auto"/>
          </w:divBdr>
        </w:div>
        <w:div w:id="200945052">
          <w:marLeft w:val="0"/>
          <w:marRight w:val="0"/>
          <w:marTop w:val="0"/>
          <w:marBottom w:val="0"/>
          <w:divBdr>
            <w:top w:val="none" w:sz="0" w:space="0" w:color="auto"/>
            <w:left w:val="none" w:sz="0" w:space="0" w:color="auto"/>
            <w:bottom w:val="none" w:sz="0" w:space="0" w:color="auto"/>
            <w:right w:val="none" w:sz="0" w:space="0" w:color="auto"/>
          </w:divBdr>
        </w:div>
        <w:div w:id="1647776757">
          <w:marLeft w:val="0"/>
          <w:marRight w:val="0"/>
          <w:marTop w:val="0"/>
          <w:marBottom w:val="0"/>
          <w:divBdr>
            <w:top w:val="none" w:sz="0" w:space="0" w:color="auto"/>
            <w:left w:val="none" w:sz="0" w:space="0" w:color="auto"/>
            <w:bottom w:val="none" w:sz="0" w:space="0" w:color="auto"/>
            <w:right w:val="none" w:sz="0" w:space="0" w:color="auto"/>
          </w:divBdr>
        </w:div>
        <w:div w:id="422260829">
          <w:marLeft w:val="0"/>
          <w:marRight w:val="0"/>
          <w:marTop w:val="0"/>
          <w:marBottom w:val="0"/>
          <w:divBdr>
            <w:top w:val="none" w:sz="0" w:space="0" w:color="auto"/>
            <w:left w:val="none" w:sz="0" w:space="0" w:color="auto"/>
            <w:bottom w:val="none" w:sz="0" w:space="0" w:color="auto"/>
            <w:right w:val="none" w:sz="0" w:space="0" w:color="auto"/>
          </w:divBdr>
        </w:div>
        <w:div w:id="1820535317">
          <w:marLeft w:val="0"/>
          <w:marRight w:val="0"/>
          <w:marTop w:val="0"/>
          <w:marBottom w:val="0"/>
          <w:divBdr>
            <w:top w:val="none" w:sz="0" w:space="0" w:color="auto"/>
            <w:left w:val="none" w:sz="0" w:space="0" w:color="auto"/>
            <w:bottom w:val="none" w:sz="0" w:space="0" w:color="auto"/>
            <w:right w:val="none" w:sz="0" w:space="0" w:color="auto"/>
          </w:divBdr>
        </w:div>
        <w:div w:id="2023970219">
          <w:marLeft w:val="0"/>
          <w:marRight w:val="0"/>
          <w:marTop w:val="0"/>
          <w:marBottom w:val="0"/>
          <w:divBdr>
            <w:top w:val="none" w:sz="0" w:space="0" w:color="auto"/>
            <w:left w:val="none" w:sz="0" w:space="0" w:color="auto"/>
            <w:bottom w:val="none" w:sz="0" w:space="0" w:color="auto"/>
            <w:right w:val="none" w:sz="0" w:space="0" w:color="auto"/>
          </w:divBdr>
        </w:div>
        <w:div w:id="790635027">
          <w:marLeft w:val="0"/>
          <w:marRight w:val="0"/>
          <w:marTop w:val="0"/>
          <w:marBottom w:val="0"/>
          <w:divBdr>
            <w:top w:val="none" w:sz="0" w:space="0" w:color="auto"/>
            <w:left w:val="none" w:sz="0" w:space="0" w:color="auto"/>
            <w:bottom w:val="none" w:sz="0" w:space="0" w:color="auto"/>
            <w:right w:val="none" w:sz="0" w:space="0" w:color="auto"/>
          </w:divBdr>
        </w:div>
        <w:div w:id="1157261394">
          <w:marLeft w:val="0"/>
          <w:marRight w:val="0"/>
          <w:marTop w:val="0"/>
          <w:marBottom w:val="0"/>
          <w:divBdr>
            <w:top w:val="none" w:sz="0" w:space="0" w:color="auto"/>
            <w:left w:val="none" w:sz="0" w:space="0" w:color="auto"/>
            <w:bottom w:val="none" w:sz="0" w:space="0" w:color="auto"/>
            <w:right w:val="none" w:sz="0" w:space="0" w:color="auto"/>
          </w:divBdr>
        </w:div>
        <w:div w:id="1170677130">
          <w:marLeft w:val="0"/>
          <w:marRight w:val="0"/>
          <w:marTop w:val="0"/>
          <w:marBottom w:val="0"/>
          <w:divBdr>
            <w:top w:val="none" w:sz="0" w:space="0" w:color="auto"/>
            <w:left w:val="none" w:sz="0" w:space="0" w:color="auto"/>
            <w:bottom w:val="none" w:sz="0" w:space="0" w:color="auto"/>
            <w:right w:val="none" w:sz="0" w:space="0" w:color="auto"/>
          </w:divBdr>
        </w:div>
      </w:divsChild>
    </w:div>
    <w:div w:id="1034889184">
      <w:bodyDiv w:val="1"/>
      <w:marLeft w:val="0"/>
      <w:marRight w:val="0"/>
      <w:marTop w:val="0"/>
      <w:marBottom w:val="0"/>
      <w:divBdr>
        <w:top w:val="none" w:sz="0" w:space="0" w:color="auto"/>
        <w:left w:val="none" w:sz="0" w:space="0" w:color="auto"/>
        <w:bottom w:val="none" w:sz="0" w:space="0" w:color="auto"/>
        <w:right w:val="none" w:sz="0" w:space="0" w:color="auto"/>
      </w:divBdr>
    </w:div>
    <w:div w:id="1039547920">
      <w:bodyDiv w:val="1"/>
      <w:marLeft w:val="0"/>
      <w:marRight w:val="0"/>
      <w:marTop w:val="0"/>
      <w:marBottom w:val="0"/>
      <w:divBdr>
        <w:top w:val="none" w:sz="0" w:space="0" w:color="auto"/>
        <w:left w:val="none" w:sz="0" w:space="0" w:color="auto"/>
        <w:bottom w:val="none" w:sz="0" w:space="0" w:color="auto"/>
        <w:right w:val="none" w:sz="0" w:space="0" w:color="auto"/>
      </w:divBdr>
      <w:divsChild>
        <w:div w:id="1510481194">
          <w:marLeft w:val="0"/>
          <w:marRight w:val="0"/>
          <w:marTop w:val="0"/>
          <w:marBottom w:val="0"/>
          <w:divBdr>
            <w:top w:val="none" w:sz="0" w:space="0" w:color="auto"/>
            <w:left w:val="none" w:sz="0" w:space="0" w:color="auto"/>
            <w:bottom w:val="none" w:sz="0" w:space="0" w:color="auto"/>
            <w:right w:val="none" w:sz="0" w:space="0" w:color="auto"/>
          </w:divBdr>
        </w:div>
        <w:div w:id="1383596778">
          <w:marLeft w:val="0"/>
          <w:marRight w:val="0"/>
          <w:marTop w:val="0"/>
          <w:marBottom w:val="0"/>
          <w:divBdr>
            <w:top w:val="none" w:sz="0" w:space="0" w:color="auto"/>
            <w:left w:val="none" w:sz="0" w:space="0" w:color="auto"/>
            <w:bottom w:val="none" w:sz="0" w:space="0" w:color="auto"/>
            <w:right w:val="none" w:sz="0" w:space="0" w:color="auto"/>
          </w:divBdr>
        </w:div>
        <w:div w:id="1692534536">
          <w:marLeft w:val="0"/>
          <w:marRight w:val="0"/>
          <w:marTop w:val="0"/>
          <w:marBottom w:val="0"/>
          <w:divBdr>
            <w:top w:val="none" w:sz="0" w:space="0" w:color="auto"/>
            <w:left w:val="none" w:sz="0" w:space="0" w:color="auto"/>
            <w:bottom w:val="none" w:sz="0" w:space="0" w:color="auto"/>
            <w:right w:val="none" w:sz="0" w:space="0" w:color="auto"/>
          </w:divBdr>
        </w:div>
        <w:div w:id="950894548">
          <w:marLeft w:val="0"/>
          <w:marRight w:val="0"/>
          <w:marTop w:val="0"/>
          <w:marBottom w:val="0"/>
          <w:divBdr>
            <w:top w:val="none" w:sz="0" w:space="0" w:color="auto"/>
            <w:left w:val="none" w:sz="0" w:space="0" w:color="auto"/>
            <w:bottom w:val="none" w:sz="0" w:space="0" w:color="auto"/>
            <w:right w:val="none" w:sz="0" w:space="0" w:color="auto"/>
          </w:divBdr>
        </w:div>
        <w:div w:id="567302511">
          <w:marLeft w:val="0"/>
          <w:marRight w:val="0"/>
          <w:marTop w:val="0"/>
          <w:marBottom w:val="0"/>
          <w:divBdr>
            <w:top w:val="none" w:sz="0" w:space="0" w:color="auto"/>
            <w:left w:val="none" w:sz="0" w:space="0" w:color="auto"/>
            <w:bottom w:val="none" w:sz="0" w:space="0" w:color="auto"/>
            <w:right w:val="none" w:sz="0" w:space="0" w:color="auto"/>
          </w:divBdr>
        </w:div>
        <w:div w:id="354843250">
          <w:marLeft w:val="0"/>
          <w:marRight w:val="0"/>
          <w:marTop w:val="0"/>
          <w:marBottom w:val="0"/>
          <w:divBdr>
            <w:top w:val="none" w:sz="0" w:space="0" w:color="auto"/>
            <w:left w:val="none" w:sz="0" w:space="0" w:color="auto"/>
            <w:bottom w:val="none" w:sz="0" w:space="0" w:color="auto"/>
            <w:right w:val="none" w:sz="0" w:space="0" w:color="auto"/>
          </w:divBdr>
        </w:div>
        <w:div w:id="340400520">
          <w:marLeft w:val="0"/>
          <w:marRight w:val="0"/>
          <w:marTop w:val="0"/>
          <w:marBottom w:val="0"/>
          <w:divBdr>
            <w:top w:val="none" w:sz="0" w:space="0" w:color="auto"/>
            <w:left w:val="none" w:sz="0" w:space="0" w:color="auto"/>
            <w:bottom w:val="none" w:sz="0" w:space="0" w:color="auto"/>
            <w:right w:val="none" w:sz="0" w:space="0" w:color="auto"/>
          </w:divBdr>
        </w:div>
        <w:div w:id="241566693">
          <w:marLeft w:val="0"/>
          <w:marRight w:val="0"/>
          <w:marTop w:val="0"/>
          <w:marBottom w:val="0"/>
          <w:divBdr>
            <w:top w:val="none" w:sz="0" w:space="0" w:color="auto"/>
            <w:left w:val="none" w:sz="0" w:space="0" w:color="auto"/>
            <w:bottom w:val="none" w:sz="0" w:space="0" w:color="auto"/>
            <w:right w:val="none" w:sz="0" w:space="0" w:color="auto"/>
          </w:divBdr>
        </w:div>
        <w:div w:id="2042054457">
          <w:marLeft w:val="0"/>
          <w:marRight w:val="0"/>
          <w:marTop w:val="0"/>
          <w:marBottom w:val="0"/>
          <w:divBdr>
            <w:top w:val="none" w:sz="0" w:space="0" w:color="auto"/>
            <w:left w:val="none" w:sz="0" w:space="0" w:color="auto"/>
            <w:bottom w:val="none" w:sz="0" w:space="0" w:color="auto"/>
            <w:right w:val="none" w:sz="0" w:space="0" w:color="auto"/>
          </w:divBdr>
        </w:div>
        <w:div w:id="1782335223">
          <w:marLeft w:val="0"/>
          <w:marRight w:val="0"/>
          <w:marTop w:val="0"/>
          <w:marBottom w:val="0"/>
          <w:divBdr>
            <w:top w:val="none" w:sz="0" w:space="0" w:color="auto"/>
            <w:left w:val="none" w:sz="0" w:space="0" w:color="auto"/>
            <w:bottom w:val="none" w:sz="0" w:space="0" w:color="auto"/>
            <w:right w:val="none" w:sz="0" w:space="0" w:color="auto"/>
          </w:divBdr>
        </w:div>
        <w:div w:id="562058868">
          <w:marLeft w:val="0"/>
          <w:marRight w:val="0"/>
          <w:marTop w:val="0"/>
          <w:marBottom w:val="0"/>
          <w:divBdr>
            <w:top w:val="none" w:sz="0" w:space="0" w:color="auto"/>
            <w:left w:val="none" w:sz="0" w:space="0" w:color="auto"/>
            <w:bottom w:val="none" w:sz="0" w:space="0" w:color="auto"/>
            <w:right w:val="none" w:sz="0" w:space="0" w:color="auto"/>
          </w:divBdr>
        </w:div>
        <w:div w:id="1294365205">
          <w:marLeft w:val="0"/>
          <w:marRight w:val="0"/>
          <w:marTop w:val="0"/>
          <w:marBottom w:val="0"/>
          <w:divBdr>
            <w:top w:val="none" w:sz="0" w:space="0" w:color="auto"/>
            <w:left w:val="none" w:sz="0" w:space="0" w:color="auto"/>
            <w:bottom w:val="none" w:sz="0" w:space="0" w:color="auto"/>
            <w:right w:val="none" w:sz="0" w:space="0" w:color="auto"/>
          </w:divBdr>
        </w:div>
        <w:div w:id="859245457">
          <w:marLeft w:val="0"/>
          <w:marRight w:val="0"/>
          <w:marTop w:val="0"/>
          <w:marBottom w:val="0"/>
          <w:divBdr>
            <w:top w:val="none" w:sz="0" w:space="0" w:color="auto"/>
            <w:left w:val="none" w:sz="0" w:space="0" w:color="auto"/>
            <w:bottom w:val="none" w:sz="0" w:space="0" w:color="auto"/>
            <w:right w:val="none" w:sz="0" w:space="0" w:color="auto"/>
          </w:divBdr>
        </w:div>
        <w:div w:id="845292111">
          <w:marLeft w:val="0"/>
          <w:marRight w:val="0"/>
          <w:marTop w:val="0"/>
          <w:marBottom w:val="0"/>
          <w:divBdr>
            <w:top w:val="none" w:sz="0" w:space="0" w:color="auto"/>
            <w:left w:val="none" w:sz="0" w:space="0" w:color="auto"/>
            <w:bottom w:val="none" w:sz="0" w:space="0" w:color="auto"/>
            <w:right w:val="none" w:sz="0" w:space="0" w:color="auto"/>
          </w:divBdr>
        </w:div>
        <w:div w:id="874779587">
          <w:marLeft w:val="0"/>
          <w:marRight w:val="0"/>
          <w:marTop w:val="0"/>
          <w:marBottom w:val="0"/>
          <w:divBdr>
            <w:top w:val="none" w:sz="0" w:space="0" w:color="auto"/>
            <w:left w:val="none" w:sz="0" w:space="0" w:color="auto"/>
            <w:bottom w:val="none" w:sz="0" w:space="0" w:color="auto"/>
            <w:right w:val="none" w:sz="0" w:space="0" w:color="auto"/>
          </w:divBdr>
        </w:div>
        <w:div w:id="994794674">
          <w:marLeft w:val="0"/>
          <w:marRight w:val="0"/>
          <w:marTop w:val="0"/>
          <w:marBottom w:val="0"/>
          <w:divBdr>
            <w:top w:val="none" w:sz="0" w:space="0" w:color="auto"/>
            <w:left w:val="none" w:sz="0" w:space="0" w:color="auto"/>
            <w:bottom w:val="none" w:sz="0" w:space="0" w:color="auto"/>
            <w:right w:val="none" w:sz="0" w:space="0" w:color="auto"/>
          </w:divBdr>
        </w:div>
        <w:div w:id="1026979296">
          <w:marLeft w:val="0"/>
          <w:marRight w:val="0"/>
          <w:marTop w:val="0"/>
          <w:marBottom w:val="0"/>
          <w:divBdr>
            <w:top w:val="none" w:sz="0" w:space="0" w:color="auto"/>
            <w:left w:val="none" w:sz="0" w:space="0" w:color="auto"/>
            <w:bottom w:val="none" w:sz="0" w:space="0" w:color="auto"/>
            <w:right w:val="none" w:sz="0" w:space="0" w:color="auto"/>
          </w:divBdr>
        </w:div>
        <w:div w:id="1189488515">
          <w:marLeft w:val="0"/>
          <w:marRight w:val="0"/>
          <w:marTop w:val="0"/>
          <w:marBottom w:val="0"/>
          <w:divBdr>
            <w:top w:val="none" w:sz="0" w:space="0" w:color="auto"/>
            <w:left w:val="none" w:sz="0" w:space="0" w:color="auto"/>
            <w:bottom w:val="none" w:sz="0" w:space="0" w:color="auto"/>
            <w:right w:val="none" w:sz="0" w:space="0" w:color="auto"/>
          </w:divBdr>
        </w:div>
        <w:div w:id="1431126145">
          <w:marLeft w:val="0"/>
          <w:marRight w:val="0"/>
          <w:marTop w:val="0"/>
          <w:marBottom w:val="0"/>
          <w:divBdr>
            <w:top w:val="none" w:sz="0" w:space="0" w:color="auto"/>
            <w:left w:val="none" w:sz="0" w:space="0" w:color="auto"/>
            <w:bottom w:val="none" w:sz="0" w:space="0" w:color="auto"/>
            <w:right w:val="none" w:sz="0" w:space="0" w:color="auto"/>
          </w:divBdr>
        </w:div>
        <w:div w:id="903417774">
          <w:marLeft w:val="0"/>
          <w:marRight w:val="0"/>
          <w:marTop w:val="0"/>
          <w:marBottom w:val="0"/>
          <w:divBdr>
            <w:top w:val="none" w:sz="0" w:space="0" w:color="auto"/>
            <w:left w:val="none" w:sz="0" w:space="0" w:color="auto"/>
            <w:bottom w:val="none" w:sz="0" w:space="0" w:color="auto"/>
            <w:right w:val="none" w:sz="0" w:space="0" w:color="auto"/>
          </w:divBdr>
        </w:div>
        <w:div w:id="619530049">
          <w:marLeft w:val="0"/>
          <w:marRight w:val="0"/>
          <w:marTop w:val="0"/>
          <w:marBottom w:val="0"/>
          <w:divBdr>
            <w:top w:val="none" w:sz="0" w:space="0" w:color="auto"/>
            <w:left w:val="none" w:sz="0" w:space="0" w:color="auto"/>
            <w:bottom w:val="none" w:sz="0" w:space="0" w:color="auto"/>
            <w:right w:val="none" w:sz="0" w:space="0" w:color="auto"/>
          </w:divBdr>
        </w:div>
        <w:div w:id="501623778">
          <w:marLeft w:val="0"/>
          <w:marRight w:val="0"/>
          <w:marTop w:val="0"/>
          <w:marBottom w:val="0"/>
          <w:divBdr>
            <w:top w:val="none" w:sz="0" w:space="0" w:color="auto"/>
            <w:left w:val="none" w:sz="0" w:space="0" w:color="auto"/>
            <w:bottom w:val="none" w:sz="0" w:space="0" w:color="auto"/>
            <w:right w:val="none" w:sz="0" w:space="0" w:color="auto"/>
          </w:divBdr>
        </w:div>
        <w:div w:id="614097624">
          <w:marLeft w:val="0"/>
          <w:marRight w:val="0"/>
          <w:marTop w:val="0"/>
          <w:marBottom w:val="0"/>
          <w:divBdr>
            <w:top w:val="none" w:sz="0" w:space="0" w:color="auto"/>
            <w:left w:val="none" w:sz="0" w:space="0" w:color="auto"/>
            <w:bottom w:val="none" w:sz="0" w:space="0" w:color="auto"/>
            <w:right w:val="none" w:sz="0" w:space="0" w:color="auto"/>
          </w:divBdr>
        </w:div>
        <w:div w:id="364789154">
          <w:marLeft w:val="0"/>
          <w:marRight w:val="0"/>
          <w:marTop w:val="0"/>
          <w:marBottom w:val="0"/>
          <w:divBdr>
            <w:top w:val="none" w:sz="0" w:space="0" w:color="auto"/>
            <w:left w:val="none" w:sz="0" w:space="0" w:color="auto"/>
            <w:bottom w:val="none" w:sz="0" w:space="0" w:color="auto"/>
            <w:right w:val="none" w:sz="0" w:space="0" w:color="auto"/>
          </w:divBdr>
        </w:div>
        <w:div w:id="2015955411">
          <w:marLeft w:val="0"/>
          <w:marRight w:val="0"/>
          <w:marTop w:val="0"/>
          <w:marBottom w:val="0"/>
          <w:divBdr>
            <w:top w:val="none" w:sz="0" w:space="0" w:color="auto"/>
            <w:left w:val="none" w:sz="0" w:space="0" w:color="auto"/>
            <w:bottom w:val="none" w:sz="0" w:space="0" w:color="auto"/>
            <w:right w:val="none" w:sz="0" w:space="0" w:color="auto"/>
          </w:divBdr>
        </w:div>
        <w:div w:id="2009431989">
          <w:marLeft w:val="0"/>
          <w:marRight w:val="0"/>
          <w:marTop w:val="0"/>
          <w:marBottom w:val="0"/>
          <w:divBdr>
            <w:top w:val="none" w:sz="0" w:space="0" w:color="auto"/>
            <w:left w:val="none" w:sz="0" w:space="0" w:color="auto"/>
            <w:bottom w:val="none" w:sz="0" w:space="0" w:color="auto"/>
            <w:right w:val="none" w:sz="0" w:space="0" w:color="auto"/>
          </w:divBdr>
        </w:div>
        <w:div w:id="1818833967">
          <w:marLeft w:val="0"/>
          <w:marRight w:val="0"/>
          <w:marTop w:val="0"/>
          <w:marBottom w:val="0"/>
          <w:divBdr>
            <w:top w:val="none" w:sz="0" w:space="0" w:color="auto"/>
            <w:left w:val="none" w:sz="0" w:space="0" w:color="auto"/>
            <w:bottom w:val="none" w:sz="0" w:space="0" w:color="auto"/>
            <w:right w:val="none" w:sz="0" w:space="0" w:color="auto"/>
          </w:divBdr>
        </w:div>
        <w:div w:id="255134947">
          <w:marLeft w:val="0"/>
          <w:marRight w:val="0"/>
          <w:marTop w:val="0"/>
          <w:marBottom w:val="0"/>
          <w:divBdr>
            <w:top w:val="none" w:sz="0" w:space="0" w:color="auto"/>
            <w:left w:val="none" w:sz="0" w:space="0" w:color="auto"/>
            <w:bottom w:val="none" w:sz="0" w:space="0" w:color="auto"/>
            <w:right w:val="none" w:sz="0" w:space="0" w:color="auto"/>
          </w:divBdr>
        </w:div>
        <w:div w:id="2060548066">
          <w:marLeft w:val="0"/>
          <w:marRight w:val="0"/>
          <w:marTop w:val="0"/>
          <w:marBottom w:val="0"/>
          <w:divBdr>
            <w:top w:val="none" w:sz="0" w:space="0" w:color="auto"/>
            <w:left w:val="none" w:sz="0" w:space="0" w:color="auto"/>
            <w:bottom w:val="none" w:sz="0" w:space="0" w:color="auto"/>
            <w:right w:val="none" w:sz="0" w:space="0" w:color="auto"/>
          </w:divBdr>
        </w:div>
      </w:divsChild>
    </w:div>
    <w:div w:id="1054354317">
      <w:bodyDiv w:val="1"/>
      <w:marLeft w:val="0"/>
      <w:marRight w:val="0"/>
      <w:marTop w:val="0"/>
      <w:marBottom w:val="0"/>
      <w:divBdr>
        <w:top w:val="none" w:sz="0" w:space="0" w:color="auto"/>
        <w:left w:val="none" w:sz="0" w:space="0" w:color="auto"/>
        <w:bottom w:val="none" w:sz="0" w:space="0" w:color="auto"/>
        <w:right w:val="none" w:sz="0" w:space="0" w:color="auto"/>
      </w:divBdr>
    </w:div>
    <w:div w:id="1063873260">
      <w:bodyDiv w:val="1"/>
      <w:marLeft w:val="0"/>
      <w:marRight w:val="0"/>
      <w:marTop w:val="0"/>
      <w:marBottom w:val="0"/>
      <w:divBdr>
        <w:top w:val="none" w:sz="0" w:space="0" w:color="auto"/>
        <w:left w:val="none" w:sz="0" w:space="0" w:color="auto"/>
        <w:bottom w:val="none" w:sz="0" w:space="0" w:color="auto"/>
        <w:right w:val="none" w:sz="0" w:space="0" w:color="auto"/>
      </w:divBdr>
    </w:div>
    <w:div w:id="1093434407">
      <w:bodyDiv w:val="1"/>
      <w:marLeft w:val="0"/>
      <w:marRight w:val="0"/>
      <w:marTop w:val="0"/>
      <w:marBottom w:val="0"/>
      <w:divBdr>
        <w:top w:val="none" w:sz="0" w:space="0" w:color="auto"/>
        <w:left w:val="none" w:sz="0" w:space="0" w:color="auto"/>
        <w:bottom w:val="none" w:sz="0" w:space="0" w:color="auto"/>
        <w:right w:val="none" w:sz="0" w:space="0" w:color="auto"/>
      </w:divBdr>
    </w:div>
    <w:div w:id="1114980867">
      <w:bodyDiv w:val="1"/>
      <w:marLeft w:val="0"/>
      <w:marRight w:val="0"/>
      <w:marTop w:val="0"/>
      <w:marBottom w:val="0"/>
      <w:divBdr>
        <w:top w:val="none" w:sz="0" w:space="0" w:color="auto"/>
        <w:left w:val="none" w:sz="0" w:space="0" w:color="auto"/>
        <w:bottom w:val="none" w:sz="0" w:space="0" w:color="auto"/>
        <w:right w:val="none" w:sz="0" w:space="0" w:color="auto"/>
      </w:divBdr>
      <w:divsChild>
        <w:div w:id="1172455286">
          <w:marLeft w:val="0"/>
          <w:marRight w:val="0"/>
          <w:marTop w:val="0"/>
          <w:marBottom w:val="0"/>
          <w:divBdr>
            <w:top w:val="none" w:sz="0" w:space="0" w:color="auto"/>
            <w:left w:val="none" w:sz="0" w:space="0" w:color="auto"/>
            <w:bottom w:val="none" w:sz="0" w:space="0" w:color="auto"/>
            <w:right w:val="none" w:sz="0" w:space="0" w:color="auto"/>
          </w:divBdr>
        </w:div>
        <w:div w:id="610741102">
          <w:marLeft w:val="0"/>
          <w:marRight w:val="0"/>
          <w:marTop w:val="0"/>
          <w:marBottom w:val="0"/>
          <w:divBdr>
            <w:top w:val="none" w:sz="0" w:space="0" w:color="auto"/>
            <w:left w:val="none" w:sz="0" w:space="0" w:color="auto"/>
            <w:bottom w:val="none" w:sz="0" w:space="0" w:color="auto"/>
            <w:right w:val="none" w:sz="0" w:space="0" w:color="auto"/>
          </w:divBdr>
        </w:div>
      </w:divsChild>
    </w:div>
    <w:div w:id="1119296667">
      <w:bodyDiv w:val="1"/>
      <w:marLeft w:val="0"/>
      <w:marRight w:val="0"/>
      <w:marTop w:val="0"/>
      <w:marBottom w:val="0"/>
      <w:divBdr>
        <w:top w:val="none" w:sz="0" w:space="0" w:color="auto"/>
        <w:left w:val="none" w:sz="0" w:space="0" w:color="auto"/>
        <w:bottom w:val="none" w:sz="0" w:space="0" w:color="auto"/>
        <w:right w:val="none" w:sz="0" w:space="0" w:color="auto"/>
      </w:divBdr>
      <w:divsChild>
        <w:div w:id="444423186">
          <w:marLeft w:val="0"/>
          <w:marRight w:val="0"/>
          <w:marTop w:val="0"/>
          <w:marBottom w:val="0"/>
          <w:divBdr>
            <w:top w:val="none" w:sz="0" w:space="0" w:color="auto"/>
            <w:left w:val="none" w:sz="0" w:space="0" w:color="auto"/>
            <w:bottom w:val="none" w:sz="0" w:space="0" w:color="auto"/>
            <w:right w:val="none" w:sz="0" w:space="0" w:color="auto"/>
          </w:divBdr>
        </w:div>
      </w:divsChild>
    </w:div>
    <w:div w:id="1132821562">
      <w:bodyDiv w:val="1"/>
      <w:marLeft w:val="0"/>
      <w:marRight w:val="0"/>
      <w:marTop w:val="0"/>
      <w:marBottom w:val="0"/>
      <w:divBdr>
        <w:top w:val="none" w:sz="0" w:space="0" w:color="auto"/>
        <w:left w:val="none" w:sz="0" w:space="0" w:color="auto"/>
        <w:bottom w:val="none" w:sz="0" w:space="0" w:color="auto"/>
        <w:right w:val="none" w:sz="0" w:space="0" w:color="auto"/>
      </w:divBdr>
      <w:divsChild>
        <w:div w:id="385032994">
          <w:marLeft w:val="0"/>
          <w:marRight w:val="0"/>
          <w:marTop w:val="0"/>
          <w:marBottom w:val="0"/>
          <w:divBdr>
            <w:top w:val="none" w:sz="0" w:space="0" w:color="auto"/>
            <w:left w:val="none" w:sz="0" w:space="0" w:color="auto"/>
            <w:bottom w:val="none" w:sz="0" w:space="0" w:color="auto"/>
            <w:right w:val="none" w:sz="0" w:space="0" w:color="auto"/>
          </w:divBdr>
        </w:div>
        <w:div w:id="1747528409">
          <w:marLeft w:val="0"/>
          <w:marRight w:val="0"/>
          <w:marTop w:val="0"/>
          <w:marBottom w:val="0"/>
          <w:divBdr>
            <w:top w:val="none" w:sz="0" w:space="0" w:color="auto"/>
            <w:left w:val="none" w:sz="0" w:space="0" w:color="auto"/>
            <w:bottom w:val="none" w:sz="0" w:space="0" w:color="auto"/>
            <w:right w:val="none" w:sz="0" w:space="0" w:color="auto"/>
          </w:divBdr>
        </w:div>
        <w:div w:id="1409770472">
          <w:marLeft w:val="0"/>
          <w:marRight w:val="0"/>
          <w:marTop w:val="0"/>
          <w:marBottom w:val="0"/>
          <w:divBdr>
            <w:top w:val="none" w:sz="0" w:space="0" w:color="auto"/>
            <w:left w:val="none" w:sz="0" w:space="0" w:color="auto"/>
            <w:bottom w:val="none" w:sz="0" w:space="0" w:color="auto"/>
            <w:right w:val="none" w:sz="0" w:space="0" w:color="auto"/>
          </w:divBdr>
        </w:div>
        <w:div w:id="1325931892">
          <w:marLeft w:val="0"/>
          <w:marRight w:val="0"/>
          <w:marTop w:val="0"/>
          <w:marBottom w:val="0"/>
          <w:divBdr>
            <w:top w:val="none" w:sz="0" w:space="0" w:color="auto"/>
            <w:left w:val="none" w:sz="0" w:space="0" w:color="auto"/>
            <w:bottom w:val="none" w:sz="0" w:space="0" w:color="auto"/>
            <w:right w:val="none" w:sz="0" w:space="0" w:color="auto"/>
          </w:divBdr>
        </w:div>
        <w:div w:id="1988126747">
          <w:marLeft w:val="0"/>
          <w:marRight w:val="0"/>
          <w:marTop w:val="0"/>
          <w:marBottom w:val="0"/>
          <w:divBdr>
            <w:top w:val="none" w:sz="0" w:space="0" w:color="auto"/>
            <w:left w:val="none" w:sz="0" w:space="0" w:color="auto"/>
            <w:bottom w:val="none" w:sz="0" w:space="0" w:color="auto"/>
            <w:right w:val="none" w:sz="0" w:space="0" w:color="auto"/>
          </w:divBdr>
        </w:div>
        <w:div w:id="1960649259">
          <w:marLeft w:val="0"/>
          <w:marRight w:val="0"/>
          <w:marTop w:val="0"/>
          <w:marBottom w:val="0"/>
          <w:divBdr>
            <w:top w:val="none" w:sz="0" w:space="0" w:color="auto"/>
            <w:left w:val="none" w:sz="0" w:space="0" w:color="auto"/>
            <w:bottom w:val="none" w:sz="0" w:space="0" w:color="auto"/>
            <w:right w:val="none" w:sz="0" w:space="0" w:color="auto"/>
          </w:divBdr>
        </w:div>
        <w:div w:id="1343628961">
          <w:marLeft w:val="0"/>
          <w:marRight w:val="0"/>
          <w:marTop w:val="0"/>
          <w:marBottom w:val="0"/>
          <w:divBdr>
            <w:top w:val="none" w:sz="0" w:space="0" w:color="auto"/>
            <w:left w:val="none" w:sz="0" w:space="0" w:color="auto"/>
            <w:bottom w:val="none" w:sz="0" w:space="0" w:color="auto"/>
            <w:right w:val="none" w:sz="0" w:space="0" w:color="auto"/>
          </w:divBdr>
        </w:div>
        <w:div w:id="2099517428">
          <w:marLeft w:val="0"/>
          <w:marRight w:val="0"/>
          <w:marTop w:val="0"/>
          <w:marBottom w:val="0"/>
          <w:divBdr>
            <w:top w:val="none" w:sz="0" w:space="0" w:color="auto"/>
            <w:left w:val="none" w:sz="0" w:space="0" w:color="auto"/>
            <w:bottom w:val="none" w:sz="0" w:space="0" w:color="auto"/>
            <w:right w:val="none" w:sz="0" w:space="0" w:color="auto"/>
          </w:divBdr>
        </w:div>
        <w:div w:id="154304399">
          <w:marLeft w:val="0"/>
          <w:marRight w:val="0"/>
          <w:marTop w:val="0"/>
          <w:marBottom w:val="0"/>
          <w:divBdr>
            <w:top w:val="none" w:sz="0" w:space="0" w:color="auto"/>
            <w:left w:val="none" w:sz="0" w:space="0" w:color="auto"/>
            <w:bottom w:val="none" w:sz="0" w:space="0" w:color="auto"/>
            <w:right w:val="none" w:sz="0" w:space="0" w:color="auto"/>
          </w:divBdr>
        </w:div>
        <w:div w:id="1220628403">
          <w:marLeft w:val="0"/>
          <w:marRight w:val="0"/>
          <w:marTop w:val="0"/>
          <w:marBottom w:val="0"/>
          <w:divBdr>
            <w:top w:val="none" w:sz="0" w:space="0" w:color="auto"/>
            <w:left w:val="none" w:sz="0" w:space="0" w:color="auto"/>
            <w:bottom w:val="none" w:sz="0" w:space="0" w:color="auto"/>
            <w:right w:val="none" w:sz="0" w:space="0" w:color="auto"/>
          </w:divBdr>
        </w:div>
        <w:div w:id="457064572">
          <w:marLeft w:val="0"/>
          <w:marRight w:val="0"/>
          <w:marTop w:val="0"/>
          <w:marBottom w:val="0"/>
          <w:divBdr>
            <w:top w:val="none" w:sz="0" w:space="0" w:color="auto"/>
            <w:left w:val="none" w:sz="0" w:space="0" w:color="auto"/>
            <w:bottom w:val="none" w:sz="0" w:space="0" w:color="auto"/>
            <w:right w:val="none" w:sz="0" w:space="0" w:color="auto"/>
          </w:divBdr>
        </w:div>
        <w:div w:id="1616205101">
          <w:marLeft w:val="0"/>
          <w:marRight w:val="0"/>
          <w:marTop w:val="0"/>
          <w:marBottom w:val="0"/>
          <w:divBdr>
            <w:top w:val="none" w:sz="0" w:space="0" w:color="auto"/>
            <w:left w:val="none" w:sz="0" w:space="0" w:color="auto"/>
            <w:bottom w:val="none" w:sz="0" w:space="0" w:color="auto"/>
            <w:right w:val="none" w:sz="0" w:space="0" w:color="auto"/>
          </w:divBdr>
        </w:div>
        <w:div w:id="1004936981">
          <w:marLeft w:val="0"/>
          <w:marRight w:val="0"/>
          <w:marTop w:val="0"/>
          <w:marBottom w:val="0"/>
          <w:divBdr>
            <w:top w:val="none" w:sz="0" w:space="0" w:color="auto"/>
            <w:left w:val="none" w:sz="0" w:space="0" w:color="auto"/>
            <w:bottom w:val="none" w:sz="0" w:space="0" w:color="auto"/>
            <w:right w:val="none" w:sz="0" w:space="0" w:color="auto"/>
          </w:divBdr>
        </w:div>
        <w:div w:id="2131590136">
          <w:marLeft w:val="0"/>
          <w:marRight w:val="0"/>
          <w:marTop w:val="0"/>
          <w:marBottom w:val="0"/>
          <w:divBdr>
            <w:top w:val="none" w:sz="0" w:space="0" w:color="auto"/>
            <w:left w:val="none" w:sz="0" w:space="0" w:color="auto"/>
            <w:bottom w:val="none" w:sz="0" w:space="0" w:color="auto"/>
            <w:right w:val="none" w:sz="0" w:space="0" w:color="auto"/>
          </w:divBdr>
        </w:div>
        <w:div w:id="225336351">
          <w:marLeft w:val="0"/>
          <w:marRight w:val="0"/>
          <w:marTop w:val="0"/>
          <w:marBottom w:val="0"/>
          <w:divBdr>
            <w:top w:val="none" w:sz="0" w:space="0" w:color="auto"/>
            <w:left w:val="none" w:sz="0" w:space="0" w:color="auto"/>
            <w:bottom w:val="none" w:sz="0" w:space="0" w:color="auto"/>
            <w:right w:val="none" w:sz="0" w:space="0" w:color="auto"/>
          </w:divBdr>
        </w:div>
        <w:div w:id="1033454797">
          <w:marLeft w:val="0"/>
          <w:marRight w:val="0"/>
          <w:marTop w:val="0"/>
          <w:marBottom w:val="0"/>
          <w:divBdr>
            <w:top w:val="none" w:sz="0" w:space="0" w:color="auto"/>
            <w:left w:val="none" w:sz="0" w:space="0" w:color="auto"/>
            <w:bottom w:val="none" w:sz="0" w:space="0" w:color="auto"/>
            <w:right w:val="none" w:sz="0" w:space="0" w:color="auto"/>
          </w:divBdr>
        </w:div>
        <w:div w:id="188110736">
          <w:marLeft w:val="0"/>
          <w:marRight w:val="0"/>
          <w:marTop w:val="0"/>
          <w:marBottom w:val="0"/>
          <w:divBdr>
            <w:top w:val="none" w:sz="0" w:space="0" w:color="auto"/>
            <w:left w:val="none" w:sz="0" w:space="0" w:color="auto"/>
            <w:bottom w:val="none" w:sz="0" w:space="0" w:color="auto"/>
            <w:right w:val="none" w:sz="0" w:space="0" w:color="auto"/>
          </w:divBdr>
        </w:div>
        <w:div w:id="1371997801">
          <w:marLeft w:val="0"/>
          <w:marRight w:val="0"/>
          <w:marTop w:val="0"/>
          <w:marBottom w:val="0"/>
          <w:divBdr>
            <w:top w:val="none" w:sz="0" w:space="0" w:color="auto"/>
            <w:left w:val="none" w:sz="0" w:space="0" w:color="auto"/>
            <w:bottom w:val="none" w:sz="0" w:space="0" w:color="auto"/>
            <w:right w:val="none" w:sz="0" w:space="0" w:color="auto"/>
          </w:divBdr>
        </w:div>
        <w:div w:id="1633704067">
          <w:marLeft w:val="0"/>
          <w:marRight w:val="0"/>
          <w:marTop w:val="0"/>
          <w:marBottom w:val="0"/>
          <w:divBdr>
            <w:top w:val="none" w:sz="0" w:space="0" w:color="auto"/>
            <w:left w:val="none" w:sz="0" w:space="0" w:color="auto"/>
            <w:bottom w:val="none" w:sz="0" w:space="0" w:color="auto"/>
            <w:right w:val="none" w:sz="0" w:space="0" w:color="auto"/>
          </w:divBdr>
        </w:div>
        <w:div w:id="744030818">
          <w:marLeft w:val="0"/>
          <w:marRight w:val="0"/>
          <w:marTop w:val="0"/>
          <w:marBottom w:val="0"/>
          <w:divBdr>
            <w:top w:val="none" w:sz="0" w:space="0" w:color="auto"/>
            <w:left w:val="none" w:sz="0" w:space="0" w:color="auto"/>
            <w:bottom w:val="none" w:sz="0" w:space="0" w:color="auto"/>
            <w:right w:val="none" w:sz="0" w:space="0" w:color="auto"/>
          </w:divBdr>
        </w:div>
        <w:div w:id="2116754845">
          <w:marLeft w:val="0"/>
          <w:marRight w:val="0"/>
          <w:marTop w:val="0"/>
          <w:marBottom w:val="0"/>
          <w:divBdr>
            <w:top w:val="none" w:sz="0" w:space="0" w:color="auto"/>
            <w:left w:val="none" w:sz="0" w:space="0" w:color="auto"/>
            <w:bottom w:val="none" w:sz="0" w:space="0" w:color="auto"/>
            <w:right w:val="none" w:sz="0" w:space="0" w:color="auto"/>
          </w:divBdr>
        </w:div>
        <w:div w:id="734670208">
          <w:marLeft w:val="0"/>
          <w:marRight w:val="0"/>
          <w:marTop w:val="0"/>
          <w:marBottom w:val="0"/>
          <w:divBdr>
            <w:top w:val="none" w:sz="0" w:space="0" w:color="auto"/>
            <w:left w:val="none" w:sz="0" w:space="0" w:color="auto"/>
            <w:bottom w:val="none" w:sz="0" w:space="0" w:color="auto"/>
            <w:right w:val="none" w:sz="0" w:space="0" w:color="auto"/>
          </w:divBdr>
        </w:div>
        <w:div w:id="490294787">
          <w:marLeft w:val="0"/>
          <w:marRight w:val="0"/>
          <w:marTop w:val="0"/>
          <w:marBottom w:val="0"/>
          <w:divBdr>
            <w:top w:val="none" w:sz="0" w:space="0" w:color="auto"/>
            <w:left w:val="none" w:sz="0" w:space="0" w:color="auto"/>
            <w:bottom w:val="none" w:sz="0" w:space="0" w:color="auto"/>
            <w:right w:val="none" w:sz="0" w:space="0" w:color="auto"/>
          </w:divBdr>
        </w:div>
        <w:div w:id="1817986081">
          <w:marLeft w:val="0"/>
          <w:marRight w:val="0"/>
          <w:marTop w:val="0"/>
          <w:marBottom w:val="0"/>
          <w:divBdr>
            <w:top w:val="none" w:sz="0" w:space="0" w:color="auto"/>
            <w:left w:val="none" w:sz="0" w:space="0" w:color="auto"/>
            <w:bottom w:val="none" w:sz="0" w:space="0" w:color="auto"/>
            <w:right w:val="none" w:sz="0" w:space="0" w:color="auto"/>
          </w:divBdr>
        </w:div>
        <w:div w:id="1100488458">
          <w:marLeft w:val="0"/>
          <w:marRight w:val="0"/>
          <w:marTop w:val="0"/>
          <w:marBottom w:val="0"/>
          <w:divBdr>
            <w:top w:val="none" w:sz="0" w:space="0" w:color="auto"/>
            <w:left w:val="none" w:sz="0" w:space="0" w:color="auto"/>
            <w:bottom w:val="none" w:sz="0" w:space="0" w:color="auto"/>
            <w:right w:val="none" w:sz="0" w:space="0" w:color="auto"/>
          </w:divBdr>
        </w:div>
        <w:div w:id="1631015381">
          <w:marLeft w:val="0"/>
          <w:marRight w:val="0"/>
          <w:marTop w:val="0"/>
          <w:marBottom w:val="0"/>
          <w:divBdr>
            <w:top w:val="none" w:sz="0" w:space="0" w:color="auto"/>
            <w:left w:val="none" w:sz="0" w:space="0" w:color="auto"/>
            <w:bottom w:val="none" w:sz="0" w:space="0" w:color="auto"/>
            <w:right w:val="none" w:sz="0" w:space="0" w:color="auto"/>
          </w:divBdr>
        </w:div>
        <w:div w:id="28914797">
          <w:marLeft w:val="0"/>
          <w:marRight w:val="0"/>
          <w:marTop w:val="0"/>
          <w:marBottom w:val="0"/>
          <w:divBdr>
            <w:top w:val="none" w:sz="0" w:space="0" w:color="auto"/>
            <w:left w:val="none" w:sz="0" w:space="0" w:color="auto"/>
            <w:bottom w:val="none" w:sz="0" w:space="0" w:color="auto"/>
            <w:right w:val="none" w:sz="0" w:space="0" w:color="auto"/>
          </w:divBdr>
        </w:div>
      </w:divsChild>
    </w:div>
    <w:div w:id="1150437148">
      <w:bodyDiv w:val="1"/>
      <w:marLeft w:val="0"/>
      <w:marRight w:val="0"/>
      <w:marTop w:val="0"/>
      <w:marBottom w:val="0"/>
      <w:divBdr>
        <w:top w:val="none" w:sz="0" w:space="0" w:color="auto"/>
        <w:left w:val="none" w:sz="0" w:space="0" w:color="auto"/>
        <w:bottom w:val="none" w:sz="0" w:space="0" w:color="auto"/>
        <w:right w:val="none" w:sz="0" w:space="0" w:color="auto"/>
      </w:divBdr>
    </w:div>
    <w:div w:id="1151100361">
      <w:marLeft w:val="0"/>
      <w:marRight w:val="0"/>
      <w:marTop w:val="0"/>
      <w:marBottom w:val="0"/>
      <w:divBdr>
        <w:top w:val="none" w:sz="0" w:space="0" w:color="auto"/>
        <w:left w:val="none" w:sz="0" w:space="0" w:color="auto"/>
        <w:bottom w:val="none" w:sz="0" w:space="0" w:color="auto"/>
        <w:right w:val="none" w:sz="0" w:space="0" w:color="auto"/>
      </w:divBdr>
    </w:div>
    <w:div w:id="1151100364">
      <w:marLeft w:val="0"/>
      <w:marRight w:val="0"/>
      <w:marTop w:val="0"/>
      <w:marBottom w:val="0"/>
      <w:divBdr>
        <w:top w:val="none" w:sz="0" w:space="0" w:color="auto"/>
        <w:left w:val="none" w:sz="0" w:space="0" w:color="auto"/>
        <w:bottom w:val="none" w:sz="0" w:space="0" w:color="auto"/>
        <w:right w:val="none" w:sz="0" w:space="0" w:color="auto"/>
      </w:divBdr>
      <w:divsChild>
        <w:div w:id="1151100363">
          <w:marLeft w:val="0"/>
          <w:marRight w:val="0"/>
          <w:marTop w:val="0"/>
          <w:marBottom w:val="0"/>
          <w:divBdr>
            <w:top w:val="none" w:sz="0" w:space="0" w:color="auto"/>
            <w:left w:val="none" w:sz="0" w:space="0" w:color="auto"/>
            <w:bottom w:val="none" w:sz="0" w:space="0" w:color="auto"/>
            <w:right w:val="none" w:sz="0" w:space="0" w:color="auto"/>
          </w:divBdr>
          <w:divsChild>
            <w:div w:id="1151100368">
              <w:marLeft w:val="0"/>
              <w:marRight w:val="0"/>
              <w:marTop w:val="0"/>
              <w:marBottom w:val="0"/>
              <w:divBdr>
                <w:top w:val="none" w:sz="0" w:space="0" w:color="auto"/>
                <w:left w:val="none" w:sz="0" w:space="0" w:color="auto"/>
                <w:bottom w:val="none" w:sz="0" w:space="0" w:color="auto"/>
                <w:right w:val="none" w:sz="0" w:space="0" w:color="auto"/>
              </w:divBdr>
              <w:divsChild>
                <w:div w:id="1151100358">
                  <w:marLeft w:val="0"/>
                  <w:marRight w:val="0"/>
                  <w:marTop w:val="0"/>
                  <w:marBottom w:val="0"/>
                  <w:divBdr>
                    <w:top w:val="none" w:sz="0" w:space="0" w:color="auto"/>
                    <w:left w:val="none" w:sz="0" w:space="0" w:color="auto"/>
                    <w:bottom w:val="none" w:sz="0" w:space="0" w:color="auto"/>
                    <w:right w:val="none" w:sz="0" w:space="0" w:color="auto"/>
                  </w:divBdr>
                  <w:divsChild>
                    <w:div w:id="11511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100365">
      <w:marLeft w:val="0"/>
      <w:marRight w:val="0"/>
      <w:marTop w:val="0"/>
      <w:marBottom w:val="0"/>
      <w:divBdr>
        <w:top w:val="none" w:sz="0" w:space="0" w:color="auto"/>
        <w:left w:val="none" w:sz="0" w:space="0" w:color="auto"/>
        <w:bottom w:val="none" w:sz="0" w:space="0" w:color="auto"/>
        <w:right w:val="none" w:sz="0" w:space="0" w:color="auto"/>
      </w:divBdr>
      <w:divsChild>
        <w:div w:id="1151100371">
          <w:marLeft w:val="0"/>
          <w:marRight w:val="0"/>
          <w:marTop w:val="0"/>
          <w:marBottom w:val="0"/>
          <w:divBdr>
            <w:top w:val="none" w:sz="0" w:space="0" w:color="auto"/>
            <w:left w:val="none" w:sz="0" w:space="0" w:color="auto"/>
            <w:bottom w:val="none" w:sz="0" w:space="0" w:color="auto"/>
            <w:right w:val="none" w:sz="0" w:space="0" w:color="auto"/>
          </w:divBdr>
          <w:divsChild>
            <w:div w:id="1151100495">
              <w:marLeft w:val="0"/>
              <w:marRight w:val="0"/>
              <w:marTop w:val="0"/>
              <w:marBottom w:val="0"/>
              <w:divBdr>
                <w:top w:val="none" w:sz="0" w:space="0" w:color="auto"/>
                <w:left w:val="none" w:sz="0" w:space="0" w:color="auto"/>
                <w:bottom w:val="none" w:sz="0" w:space="0" w:color="auto"/>
                <w:right w:val="none" w:sz="0" w:space="0" w:color="auto"/>
              </w:divBdr>
              <w:divsChild>
                <w:div w:id="1151100370">
                  <w:marLeft w:val="0"/>
                  <w:marRight w:val="0"/>
                  <w:marTop w:val="0"/>
                  <w:marBottom w:val="0"/>
                  <w:divBdr>
                    <w:top w:val="none" w:sz="0" w:space="0" w:color="auto"/>
                    <w:left w:val="none" w:sz="0" w:space="0" w:color="auto"/>
                    <w:bottom w:val="none" w:sz="0" w:space="0" w:color="auto"/>
                    <w:right w:val="none" w:sz="0" w:space="0" w:color="auto"/>
                  </w:divBdr>
                  <w:divsChild>
                    <w:div w:id="115110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100373">
      <w:marLeft w:val="0"/>
      <w:marRight w:val="0"/>
      <w:marTop w:val="0"/>
      <w:marBottom w:val="0"/>
      <w:divBdr>
        <w:top w:val="none" w:sz="0" w:space="0" w:color="auto"/>
        <w:left w:val="none" w:sz="0" w:space="0" w:color="auto"/>
        <w:bottom w:val="none" w:sz="0" w:space="0" w:color="auto"/>
        <w:right w:val="none" w:sz="0" w:space="0" w:color="auto"/>
      </w:divBdr>
      <w:divsChild>
        <w:div w:id="1151100362">
          <w:marLeft w:val="0"/>
          <w:marRight w:val="0"/>
          <w:marTop w:val="0"/>
          <w:marBottom w:val="0"/>
          <w:divBdr>
            <w:top w:val="none" w:sz="0" w:space="0" w:color="auto"/>
            <w:left w:val="none" w:sz="0" w:space="0" w:color="auto"/>
            <w:bottom w:val="none" w:sz="0" w:space="0" w:color="auto"/>
            <w:right w:val="none" w:sz="0" w:space="0" w:color="auto"/>
          </w:divBdr>
          <w:divsChild>
            <w:div w:id="1151100369">
              <w:marLeft w:val="0"/>
              <w:marRight w:val="0"/>
              <w:marTop w:val="0"/>
              <w:marBottom w:val="0"/>
              <w:divBdr>
                <w:top w:val="none" w:sz="0" w:space="0" w:color="auto"/>
                <w:left w:val="none" w:sz="0" w:space="0" w:color="auto"/>
                <w:bottom w:val="none" w:sz="0" w:space="0" w:color="auto"/>
                <w:right w:val="none" w:sz="0" w:space="0" w:color="auto"/>
              </w:divBdr>
              <w:divsChild>
                <w:div w:id="1151100497">
                  <w:marLeft w:val="0"/>
                  <w:marRight w:val="0"/>
                  <w:marTop w:val="0"/>
                  <w:marBottom w:val="0"/>
                  <w:divBdr>
                    <w:top w:val="none" w:sz="0" w:space="0" w:color="auto"/>
                    <w:left w:val="none" w:sz="0" w:space="0" w:color="auto"/>
                    <w:bottom w:val="none" w:sz="0" w:space="0" w:color="auto"/>
                    <w:right w:val="none" w:sz="0" w:space="0" w:color="auto"/>
                  </w:divBdr>
                  <w:divsChild>
                    <w:div w:id="11511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100376">
      <w:marLeft w:val="0"/>
      <w:marRight w:val="0"/>
      <w:marTop w:val="0"/>
      <w:marBottom w:val="0"/>
      <w:divBdr>
        <w:top w:val="none" w:sz="0" w:space="0" w:color="auto"/>
        <w:left w:val="none" w:sz="0" w:space="0" w:color="auto"/>
        <w:bottom w:val="none" w:sz="0" w:space="0" w:color="auto"/>
        <w:right w:val="none" w:sz="0" w:space="0" w:color="auto"/>
      </w:divBdr>
      <w:divsChild>
        <w:div w:id="1151100498">
          <w:marLeft w:val="0"/>
          <w:marRight w:val="0"/>
          <w:marTop w:val="0"/>
          <w:marBottom w:val="0"/>
          <w:divBdr>
            <w:top w:val="none" w:sz="0" w:space="0" w:color="auto"/>
            <w:left w:val="none" w:sz="0" w:space="0" w:color="auto"/>
            <w:bottom w:val="none" w:sz="0" w:space="0" w:color="auto"/>
            <w:right w:val="none" w:sz="0" w:space="0" w:color="auto"/>
          </w:divBdr>
          <w:divsChild>
            <w:div w:id="1151100360">
              <w:marLeft w:val="0"/>
              <w:marRight w:val="0"/>
              <w:marTop w:val="0"/>
              <w:marBottom w:val="0"/>
              <w:divBdr>
                <w:top w:val="none" w:sz="0" w:space="0" w:color="auto"/>
                <w:left w:val="none" w:sz="0" w:space="0" w:color="auto"/>
                <w:bottom w:val="none" w:sz="0" w:space="0" w:color="auto"/>
                <w:right w:val="none" w:sz="0" w:space="0" w:color="auto"/>
              </w:divBdr>
              <w:divsChild>
                <w:div w:id="1151100378">
                  <w:marLeft w:val="0"/>
                  <w:marRight w:val="0"/>
                  <w:marTop w:val="0"/>
                  <w:marBottom w:val="0"/>
                  <w:divBdr>
                    <w:top w:val="none" w:sz="0" w:space="0" w:color="auto"/>
                    <w:left w:val="none" w:sz="0" w:space="0" w:color="auto"/>
                    <w:bottom w:val="none" w:sz="0" w:space="0" w:color="auto"/>
                    <w:right w:val="none" w:sz="0" w:space="0" w:color="auto"/>
                  </w:divBdr>
                  <w:divsChild>
                    <w:div w:id="115110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100377">
      <w:marLeft w:val="0"/>
      <w:marRight w:val="0"/>
      <w:marTop w:val="0"/>
      <w:marBottom w:val="0"/>
      <w:divBdr>
        <w:top w:val="none" w:sz="0" w:space="0" w:color="auto"/>
        <w:left w:val="none" w:sz="0" w:space="0" w:color="auto"/>
        <w:bottom w:val="none" w:sz="0" w:space="0" w:color="auto"/>
        <w:right w:val="none" w:sz="0" w:space="0" w:color="auto"/>
      </w:divBdr>
    </w:div>
    <w:div w:id="1151100379">
      <w:marLeft w:val="0"/>
      <w:marRight w:val="0"/>
      <w:marTop w:val="0"/>
      <w:marBottom w:val="0"/>
      <w:divBdr>
        <w:top w:val="none" w:sz="0" w:space="0" w:color="auto"/>
        <w:left w:val="none" w:sz="0" w:space="0" w:color="auto"/>
        <w:bottom w:val="none" w:sz="0" w:space="0" w:color="auto"/>
        <w:right w:val="none" w:sz="0" w:space="0" w:color="auto"/>
      </w:divBdr>
    </w:div>
    <w:div w:id="1151100380">
      <w:marLeft w:val="0"/>
      <w:marRight w:val="0"/>
      <w:marTop w:val="0"/>
      <w:marBottom w:val="0"/>
      <w:divBdr>
        <w:top w:val="none" w:sz="0" w:space="0" w:color="auto"/>
        <w:left w:val="none" w:sz="0" w:space="0" w:color="auto"/>
        <w:bottom w:val="none" w:sz="0" w:space="0" w:color="auto"/>
        <w:right w:val="none" w:sz="0" w:space="0" w:color="auto"/>
      </w:divBdr>
    </w:div>
    <w:div w:id="1151100381">
      <w:marLeft w:val="0"/>
      <w:marRight w:val="0"/>
      <w:marTop w:val="0"/>
      <w:marBottom w:val="0"/>
      <w:divBdr>
        <w:top w:val="none" w:sz="0" w:space="0" w:color="auto"/>
        <w:left w:val="none" w:sz="0" w:space="0" w:color="auto"/>
        <w:bottom w:val="none" w:sz="0" w:space="0" w:color="auto"/>
        <w:right w:val="none" w:sz="0" w:space="0" w:color="auto"/>
      </w:divBdr>
    </w:div>
    <w:div w:id="1151100382">
      <w:marLeft w:val="0"/>
      <w:marRight w:val="0"/>
      <w:marTop w:val="0"/>
      <w:marBottom w:val="0"/>
      <w:divBdr>
        <w:top w:val="none" w:sz="0" w:space="0" w:color="auto"/>
        <w:left w:val="none" w:sz="0" w:space="0" w:color="auto"/>
        <w:bottom w:val="none" w:sz="0" w:space="0" w:color="auto"/>
        <w:right w:val="none" w:sz="0" w:space="0" w:color="auto"/>
      </w:divBdr>
    </w:div>
    <w:div w:id="1151100383">
      <w:marLeft w:val="0"/>
      <w:marRight w:val="0"/>
      <w:marTop w:val="0"/>
      <w:marBottom w:val="0"/>
      <w:divBdr>
        <w:top w:val="none" w:sz="0" w:space="0" w:color="auto"/>
        <w:left w:val="none" w:sz="0" w:space="0" w:color="auto"/>
        <w:bottom w:val="none" w:sz="0" w:space="0" w:color="auto"/>
        <w:right w:val="none" w:sz="0" w:space="0" w:color="auto"/>
      </w:divBdr>
    </w:div>
    <w:div w:id="1151100384">
      <w:marLeft w:val="0"/>
      <w:marRight w:val="0"/>
      <w:marTop w:val="0"/>
      <w:marBottom w:val="0"/>
      <w:divBdr>
        <w:top w:val="none" w:sz="0" w:space="0" w:color="auto"/>
        <w:left w:val="none" w:sz="0" w:space="0" w:color="auto"/>
        <w:bottom w:val="none" w:sz="0" w:space="0" w:color="auto"/>
        <w:right w:val="none" w:sz="0" w:space="0" w:color="auto"/>
      </w:divBdr>
    </w:div>
    <w:div w:id="1151100385">
      <w:marLeft w:val="0"/>
      <w:marRight w:val="0"/>
      <w:marTop w:val="0"/>
      <w:marBottom w:val="0"/>
      <w:divBdr>
        <w:top w:val="none" w:sz="0" w:space="0" w:color="auto"/>
        <w:left w:val="none" w:sz="0" w:space="0" w:color="auto"/>
        <w:bottom w:val="none" w:sz="0" w:space="0" w:color="auto"/>
        <w:right w:val="none" w:sz="0" w:space="0" w:color="auto"/>
      </w:divBdr>
    </w:div>
    <w:div w:id="1151100386">
      <w:marLeft w:val="0"/>
      <w:marRight w:val="0"/>
      <w:marTop w:val="0"/>
      <w:marBottom w:val="0"/>
      <w:divBdr>
        <w:top w:val="none" w:sz="0" w:space="0" w:color="auto"/>
        <w:left w:val="none" w:sz="0" w:space="0" w:color="auto"/>
        <w:bottom w:val="none" w:sz="0" w:space="0" w:color="auto"/>
        <w:right w:val="none" w:sz="0" w:space="0" w:color="auto"/>
      </w:divBdr>
    </w:div>
    <w:div w:id="1151100387">
      <w:marLeft w:val="0"/>
      <w:marRight w:val="0"/>
      <w:marTop w:val="0"/>
      <w:marBottom w:val="0"/>
      <w:divBdr>
        <w:top w:val="none" w:sz="0" w:space="0" w:color="auto"/>
        <w:left w:val="none" w:sz="0" w:space="0" w:color="auto"/>
        <w:bottom w:val="none" w:sz="0" w:space="0" w:color="auto"/>
        <w:right w:val="none" w:sz="0" w:space="0" w:color="auto"/>
      </w:divBdr>
    </w:div>
    <w:div w:id="1151100388">
      <w:marLeft w:val="0"/>
      <w:marRight w:val="0"/>
      <w:marTop w:val="0"/>
      <w:marBottom w:val="0"/>
      <w:divBdr>
        <w:top w:val="none" w:sz="0" w:space="0" w:color="auto"/>
        <w:left w:val="none" w:sz="0" w:space="0" w:color="auto"/>
        <w:bottom w:val="none" w:sz="0" w:space="0" w:color="auto"/>
        <w:right w:val="none" w:sz="0" w:space="0" w:color="auto"/>
      </w:divBdr>
    </w:div>
    <w:div w:id="1151100389">
      <w:marLeft w:val="0"/>
      <w:marRight w:val="0"/>
      <w:marTop w:val="0"/>
      <w:marBottom w:val="0"/>
      <w:divBdr>
        <w:top w:val="none" w:sz="0" w:space="0" w:color="auto"/>
        <w:left w:val="none" w:sz="0" w:space="0" w:color="auto"/>
        <w:bottom w:val="none" w:sz="0" w:space="0" w:color="auto"/>
        <w:right w:val="none" w:sz="0" w:space="0" w:color="auto"/>
      </w:divBdr>
    </w:div>
    <w:div w:id="1151100390">
      <w:marLeft w:val="0"/>
      <w:marRight w:val="0"/>
      <w:marTop w:val="0"/>
      <w:marBottom w:val="0"/>
      <w:divBdr>
        <w:top w:val="none" w:sz="0" w:space="0" w:color="auto"/>
        <w:left w:val="none" w:sz="0" w:space="0" w:color="auto"/>
        <w:bottom w:val="none" w:sz="0" w:space="0" w:color="auto"/>
        <w:right w:val="none" w:sz="0" w:space="0" w:color="auto"/>
      </w:divBdr>
    </w:div>
    <w:div w:id="1151100391">
      <w:marLeft w:val="0"/>
      <w:marRight w:val="0"/>
      <w:marTop w:val="0"/>
      <w:marBottom w:val="0"/>
      <w:divBdr>
        <w:top w:val="none" w:sz="0" w:space="0" w:color="auto"/>
        <w:left w:val="none" w:sz="0" w:space="0" w:color="auto"/>
        <w:bottom w:val="none" w:sz="0" w:space="0" w:color="auto"/>
        <w:right w:val="none" w:sz="0" w:space="0" w:color="auto"/>
      </w:divBdr>
    </w:div>
    <w:div w:id="1151100392">
      <w:marLeft w:val="0"/>
      <w:marRight w:val="0"/>
      <w:marTop w:val="0"/>
      <w:marBottom w:val="0"/>
      <w:divBdr>
        <w:top w:val="none" w:sz="0" w:space="0" w:color="auto"/>
        <w:left w:val="none" w:sz="0" w:space="0" w:color="auto"/>
        <w:bottom w:val="none" w:sz="0" w:space="0" w:color="auto"/>
        <w:right w:val="none" w:sz="0" w:space="0" w:color="auto"/>
      </w:divBdr>
    </w:div>
    <w:div w:id="1151100393">
      <w:marLeft w:val="0"/>
      <w:marRight w:val="0"/>
      <w:marTop w:val="0"/>
      <w:marBottom w:val="0"/>
      <w:divBdr>
        <w:top w:val="none" w:sz="0" w:space="0" w:color="auto"/>
        <w:left w:val="none" w:sz="0" w:space="0" w:color="auto"/>
        <w:bottom w:val="none" w:sz="0" w:space="0" w:color="auto"/>
        <w:right w:val="none" w:sz="0" w:space="0" w:color="auto"/>
      </w:divBdr>
    </w:div>
    <w:div w:id="1151100394">
      <w:marLeft w:val="0"/>
      <w:marRight w:val="0"/>
      <w:marTop w:val="0"/>
      <w:marBottom w:val="0"/>
      <w:divBdr>
        <w:top w:val="none" w:sz="0" w:space="0" w:color="auto"/>
        <w:left w:val="none" w:sz="0" w:space="0" w:color="auto"/>
        <w:bottom w:val="none" w:sz="0" w:space="0" w:color="auto"/>
        <w:right w:val="none" w:sz="0" w:space="0" w:color="auto"/>
      </w:divBdr>
    </w:div>
    <w:div w:id="1151100395">
      <w:marLeft w:val="0"/>
      <w:marRight w:val="0"/>
      <w:marTop w:val="0"/>
      <w:marBottom w:val="0"/>
      <w:divBdr>
        <w:top w:val="none" w:sz="0" w:space="0" w:color="auto"/>
        <w:left w:val="none" w:sz="0" w:space="0" w:color="auto"/>
        <w:bottom w:val="none" w:sz="0" w:space="0" w:color="auto"/>
        <w:right w:val="none" w:sz="0" w:space="0" w:color="auto"/>
      </w:divBdr>
    </w:div>
    <w:div w:id="1151100396">
      <w:marLeft w:val="0"/>
      <w:marRight w:val="0"/>
      <w:marTop w:val="0"/>
      <w:marBottom w:val="0"/>
      <w:divBdr>
        <w:top w:val="none" w:sz="0" w:space="0" w:color="auto"/>
        <w:left w:val="none" w:sz="0" w:space="0" w:color="auto"/>
        <w:bottom w:val="none" w:sz="0" w:space="0" w:color="auto"/>
        <w:right w:val="none" w:sz="0" w:space="0" w:color="auto"/>
      </w:divBdr>
    </w:div>
    <w:div w:id="1151100397">
      <w:marLeft w:val="0"/>
      <w:marRight w:val="0"/>
      <w:marTop w:val="0"/>
      <w:marBottom w:val="0"/>
      <w:divBdr>
        <w:top w:val="none" w:sz="0" w:space="0" w:color="auto"/>
        <w:left w:val="none" w:sz="0" w:space="0" w:color="auto"/>
        <w:bottom w:val="none" w:sz="0" w:space="0" w:color="auto"/>
        <w:right w:val="none" w:sz="0" w:space="0" w:color="auto"/>
      </w:divBdr>
    </w:div>
    <w:div w:id="1151100398">
      <w:marLeft w:val="0"/>
      <w:marRight w:val="0"/>
      <w:marTop w:val="0"/>
      <w:marBottom w:val="0"/>
      <w:divBdr>
        <w:top w:val="none" w:sz="0" w:space="0" w:color="auto"/>
        <w:left w:val="none" w:sz="0" w:space="0" w:color="auto"/>
        <w:bottom w:val="none" w:sz="0" w:space="0" w:color="auto"/>
        <w:right w:val="none" w:sz="0" w:space="0" w:color="auto"/>
      </w:divBdr>
    </w:div>
    <w:div w:id="1151100399">
      <w:marLeft w:val="0"/>
      <w:marRight w:val="0"/>
      <w:marTop w:val="0"/>
      <w:marBottom w:val="0"/>
      <w:divBdr>
        <w:top w:val="none" w:sz="0" w:space="0" w:color="auto"/>
        <w:left w:val="none" w:sz="0" w:space="0" w:color="auto"/>
        <w:bottom w:val="none" w:sz="0" w:space="0" w:color="auto"/>
        <w:right w:val="none" w:sz="0" w:space="0" w:color="auto"/>
      </w:divBdr>
      <w:divsChild>
        <w:div w:id="1151100406">
          <w:marLeft w:val="446"/>
          <w:marRight w:val="0"/>
          <w:marTop w:val="0"/>
          <w:marBottom w:val="0"/>
          <w:divBdr>
            <w:top w:val="none" w:sz="0" w:space="0" w:color="auto"/>
            <w:left w:val="none" w:sz="0" w:space="0" w:color="auto"/>
            <w:bottom w:val="none" w:sz="0" w:space="0" w:color="auto"/>
            <w:right w:val="none" w:sz="0" w:space="0" w:color="auto"/>
          </w:divBdr>
        </w:div>
        <w:div w:id="1151100409">
          <w:marLeft w:val="446"/>
          <w:marRight w:val="0"/>
          <w:marTop w:val="0"/>
          <w:marBottom w:val="0"/>
          <w:divBdr>
            <w:top w:val="none" w:sz="0" w:space="0" w:color="auto"/>
            <w:left w:val="none" w:sz="0" w:space="0" w:color="auto"/>
            <w:bottom w:val="none" w:sz="0" w:space="0" w:color="auto"/>
            <w:right w:val="none" w:sz="0" w:space="0" w:color="auto"/>
          </w:divBdr>
        </w:div>
        <w:div w:id="1151100411">
          <w:marLeft w:val="446"/>
          <w:marRight w:val="0"/>
          <w:marTop w:val="0"/>
          <w:marBottom w:val="0"/>
          <w:divBdr>
            <w:top w:val="none" w:sz="0" w:space="0" w:color="auto"/>
            <w:left w:val="none" w:sz="0" w:space="0" w:color="auto"/>
            <w:bottom w:val="none" w:sz="0" w:space="0" w:color="auto"/>
            <w:right w:val="none" w:sz="0" w:space="0" w:color="auto"/>
          </w:divBdr>
        </w:div>
        <w:div w:id="1151100422">
          <w:marLeft w:val="446"/>
          <w:marRight w:val="0"/>
          <w:marTop w:val="0"/>
          <w:marBottom w:val="0"/>
          <w:divBdr>
            <w:top w:val="none" w:sz="0" w:space="0" w:color="auto"/>
            <w:left w:val="none" w:sz="0" w:space="0" w:color="auto"/>
            <w:bottom w:val="none" w:sz="0" w:space="0" w:color="auto"/>
            <w:right w:val="none" w:sz="0" w:space="0" w:color="auto"/>
          </w:divBdr>
        </w:div>
        <w:div w:id="1151100466">
          <w:marLeft w:val="446"/>
          <w:marRight w:val="0"/>
          <w:marTop w:val="0"/>
          <w:marBottom w:val="0"/>
          <w:divBdr>
            <w:top w:val="none" w:sz="0" w:space="0" w:color="auto"/>
            <w:left w:val="none" w:sz="0" w:space="0" w:color="auto"/>
            <w:bottom w:val="none" w:sz="0" w:space="0" w:color="auto"/>
            <w:right w:val="none" w:sz="0" w:space="0" w:color="auto"/>
          </w:divBdr>
        </w:div>
        <w:div w:id="1151100467">
          <w:marLeft w:val="446"/>
          <w:marRight w:val="0"/>
          <w:marTop w:val="0"/>
          <w:marBottom w:val="0"/>
          <w:divBdr>
            <w:top w:val="none" w:sz="0" w:space="0" w:color="auto"/>
            <w:left w:val="none" w:sz="0" w:space="0" w:color="auto"/>
            <w:bottom w:val="none" w:sz="0" w:space="0" w:color="auto"/>
            <w:right w:val="none" w:sz="0" w:space="0" w:color="auto"/>
          </w:divBdr>
        </w:div>
        <w:div w:id="1151100474">
          <w:marLeft w:val="446"/>
          <w:marRight w:val="0"/>
          <w:marTop w:val="0"/>
          <w:marBottom w:val="0"/>
          <w:divBdr>
            <w:top w:val="none" w:sz="0" w:space="0" w:color="auto"/>
            <w:left w:val="none" w:sz="0" w:space="0" w:color="auto"/>
            <w:bottom w:val="none" w:sz="0" w:space="0" w:color="auto"/>
            <w:right w:val="none" w:sz="0" w:space="0" w:color="auto"/>
          </w:divBdr>
        </w:div>
        <w:div w:id="1151100475">
          <w:marLeft w:val="446"/>
          <w:marRight w:val="0"/>
          <w:marTop w:val="0"/>
          <w:marBottom w:val="0"/>
          <w:divBdr>
            <w:top w:val="none" w:sz="0" w:space="0" w:color="auto"/>
            <w:left w:val="none" w:sz="0" w:space="0" w:color="auto"/>
            <w:bottom w:val="none" w:sz="0" w:space="0" w:color="auto"/>
            <w:right w:val="none" w:sz="0" w:space="0" w:color="auto"/>
          </w:divBdr>
        </w:div>
      </w:divsChild>
    </w:div>
    <w:div w:id="1151100402">
      <w:marLeft w:val="0"/>
      <w:marRight w:val="0"/>
      <w:marTop w:val="0"/>
      <w:marBottom w:val="0"/>
      <w:divBdr>
        <w:top w:val="none" w:sz="0" w:space="0" w:color="auto"/>
        <w:left w:val="none" w:sz="0" w:space="0" w:color="auto"/>
        <w:bottom w:val="none" w:sz="0" w:space="0" w:color="auto"/>
        <w:right w:val="none" w:sz="0" w:space="0" w:color="auto"/>
      </w:divBdr>
    </w:div>
    <w:div w:id="1151100407">
      <w:marLeft w:val="0"/>
      <w:marRight w:val="0"/>
      <w:marTop w:val="0"/>
      <w:marBottom w:val="0"/>
      <w:divBdr>
        <w:top w:val="none" w:sz="0" w:space="0" w:color="auto"/>
        <w:left w:val="none" w:sz="0" w:space="0" w:color="auto"/>
        <w:bottom w:val="none" w:sz="0" w:space="0" w:color="auto"/>
        <w:right w:val="none" w:sz="0" w:space="0" w:color="auto"/>
      </w:divBdr>
      <w:divsChild>
        <w:div w:id="1151100405">
          <w:marLeft w:val="0"/>
          <w:marRight w:val="0"/>
          <w:marTop w:val="0"/>
          <w:marBottom w:val="240"/>
          <w:divBdr>
            <w:top w:val="none" w:sz="0" w:space="0" w:color="auto"/>
            <w:left w:val="none" w:sz="0" w:space="0" w:color="auto"/>
            <w:bottom w:val="none" w:sz="0" w:space="0" w:color="auto"/>
            <w:right w:val="none" w:sz="0" w:space="0" w:color="auto"/>
          </w:divBdr>
        </w:div>
      </w:divsChild>
    </w:div>
    <w:div w:id="1151100410">
      <w:marLeft w:val="0"/>
      <w:marRight w:val="0"/>
      <w:marTop w:val="0"/>
      <w:marBottom w:val="0"/>
      <w:divBdr>
        <w:top w:val="none" w:sz="0" w:space="0" w:color="auto"/>
        <w:left w:val="none" w:sz="0" w:space="0" w:color="auto"/>
        <w:bottom w:val="none" w:sz="0" w:space="0" w:color="auto"/>
        <w:right w:val="none" w:sz="0" w:space="0" w:color="auto"/>
      </w:divBdr>
    </w:div>
    <w:div w:id="1151100412">
      <w:marLeft w:val="0"/>
      <w:marRight w:val="0"/>
      <w:marTop w:val="0"/>
      <w:marBottom w:val="0"/>
      <w:divBdr>
        <w:top w:val="none" w:sz="0" w:space="0" w:color="auto"/>
        <w:left w:val="none" w:sz="0" w:space="0" w:color="auto"/>
        <w:bottom w:val="none" w:sz="0" w:space="0" w:color="auto"/>
        <w:right w:val="none" w:sz="0" w:space="0" w:color="auto"/>
      </w:divBdr>
    </w:div>
    <w:div w:id="1151100414">
      <w:marLeft w:val="0"/>
      <w:marRight w:val="0"/>
      <w:marTop w:val="0"/>
      <w:marBottom w:val="0"/>
      <w:divBdr>
        <w:top w:val="none" w:sz="0" w:space="0" w:color="auto"/>
        <w:left w:val="none" w:sz="0" w:space="0" w:color="auto"/>
        <w:bottom w:val="none" w:sz="0" w:space="0" w:color="auto"/>
        <w:right w:val="none" w:sz="0" w:space="0" w:color="auto"/>
      </w:divBdr>
    </w:div>
    <w:div w:id="1151100416">
      <w:marLeft w:val="0"/>
      <w:marRight w:val="0"/>
      <w:marTop w:val="0"/>
      <w:marBottom w:val="0"/>
      <w:divBdr>
        <w:top w:val="none" w:sz="0" w:space="0" w:color="auto"/>
        <w:left w:val="none" w:sz="0" w:space="0" w:color="auto"/>
        <w:bottom w:val="none" w:sz="0" w:space="0" w:color="auto"/>
        <w:right w:val="none" w:sz="0" w:space="0" w:color="auto"/>
      </w:divBdr>
    </w:div>
    <w:div w:id="1151100418">
      <w:marLeft w:val="0"/>
      <w:marRight w:val="0"/>
      <w:marTop w:val="0"/>
      <w:marBottom w:val="0"/>
      <w:divBdr>
        <w:top w:val="none" w:sz="0" w:space="0" w:color="auto"/>
        <w:left w:val="none" w:sz="0" w:space="0" w:color="auto"/>
        <w:bottom w:val="none" w:sz="0" w:space="0" w:color="auto"/>
        <w:right w:val="none" w:sz="0" w:space="0" w:color="auto"/>
      </w:divBdr>
    </w:div>
    <w:div w:id="1151100419">
      <w:marLeft w:val="0"/>
      <w:marRight w:val="0"/>
      <w:marTop w:val="0"/>
      <w:marBottom w:val="0"/>
      <w:divBdr>
        <w:top w:val="none" w:sz="0" w:space="0" w:color="auto"/>
        <w:left w:val="none" w:sz="0" w:space="0" w:color="auto"/>
        <w:bottom w:val="none" w:sz="0" w:space="0" w:color="auto"/>
        <w:right w:val="none" w:sz="0" w:space="0" w:color="auto"/>
      </w:divBdr>
    </w:div>
    <w:div w:id="1151100421">
      <w:marLeft w:val="0"/>
      <w:marRight w:val="0"/>
      <w:marTop w:val="0"/>
      <w:marBottom w:val="0"/>
      <w:divBdr>
        <w:top w:val="none" w:sz="0" w:space="0" w:color="auto"/>
        <w:left w:val="none" w:sz="0" w:space="0" w:color="auto"/>
        <w:bottom w:val="none" w:sz="0" w:space="0" w:color="auto"/>
        <w:right w:val="none" w:sz="0" w:space="0" w:color="auto"/>
      </w:divBdr>
      <w:divsChild>
        <w:div w:id="1151100400">
          <w:marLeft w:val="446"/>
          <w:marRight w:val="0"/>
          <w:marTop w:val="0"/>
          <w:marBottom w:val="0"/>
          <w:divBdr>
            <w:top w:val="none" w:sz="0" w:space="0" w:color="auto"/>
            <w:left w:val="none" w:sz="0" w:space="0" w:color="auto"/>
            <w:bottom w:val="none" w:sz="0" w:space="0" w:color="auto"/>
            <w:right w:val="none" w:sz="0" w:space="0" w:color="auto"/>
          </w:divBdr>
        </w:div>
        <w:div w:id="1151100403">
          <w:marLeft w:val="446"/>
          <w:marRight w:val="0"/>
          <w:marTop w:val="0"/>
          <w:marBottom w:val="0"/>
          <w:divBdr>
            <w:top w:val="none" w:sz="0" w:space="0" w:color="auto"/>
            <w:left w:val="none" w:sz="0" w:space="0" w:color="auto"/>
            <w:bottom w:val="none" w:sz="0" w:space="0" w:color="auto"/>
            <w:right w:val="none" w:sz="0" w:space="0" w:color="auto"/>
          </w:divBdr>
        </w:div>
        <w:div w:id="1151100404">
          <w:marLeft w:val="446"/>
          <w:marRight w:val="0"/>
          <w:marTop w:val="0"/>
          <w:marBottom w:val="0"/>
          <w:divBdr>
            <w:top w:val="none" w:sz="0" w:space="0" w:color="auto"/>
            <w:left w:val="none" w:sz="0" w:space="0" w:color="auto"/>
            <w:bottom w:val="none" w:sz="0" w:space="0" w:color="auto"/>
            <w:right w:val="none" w:sz="0" w:space="0" w:color="auto"/>
          </w:divBdr>
        </w:div>
        <w:div w:id="1151100417">
          <w:marLeft w:val="446"/>
          <w:marRight w:val="0"/>
          <w:marTop w:val="0"/>
          <w:marBottom w:val="0"/>
          <w:divBdr>
            <w:top w:val="none" w:sz="0" w:space="0" w:color="auto"/>
            <w:left w:val="none" w:sz="0" w:space="0" w:color="auto"/>
            <w:bottom w:val="none" w:sz="0" w:space="0" w:color="auto"/>
            <w:right w:val="none" w:sz="0" w:space="0" w:color="auto"/>
          </w:divBdr>
        </w:div>
        <w:div w:id="1151100423">
          <w:marLeft w:val="446"/>
          <w:marRight w:val="0"/>
          <w:marTop w:val="0"/>
          <w:marBottom w:val="0"/>
          <w:divBdr>
            <w:top w:val="none" w:sz="0" w:space="0" w:color="auto"/>
            <w:left w:val="none" w:sz="0" w:space="0" w:color="auto"/>
            <w:bottom w:val="none" w:sz="0" w:space="0" w:color="auto"/>
            <w:right w:val="none" w:sz="0" w:space="0" w:color="auto"/>
          </w:divBdr>
        </w:div>
        <w:div w:id="1151100468">
          <w:marLeft w:val="446"/>
          <w:marRight w:val="0"/>
          <w:marTop w:val="0"/>
          <w:marBottom w:val="0"/>
          <w:divBdr>
            <w:top w:val="none" w:sz="0" w:space="0" w:color="auto"/>
            <w:left w:val="none" w:sz="0" w:space="0" w:color="auto"/>
            <w:bottom w:val="none" w:sz="0" w:space="0" w:color="auto"/>
            <w:right w:val="none" w:sz="0" w:space="0" w:color="auto"/>
          </w:divBdr>
        </w:div>
        <w:div w:id="1151100472">
          <w:marLeft w:val="446"/>
          <w:marRight w:val="0"/>
          <w:marTop w:val="0"/>
          <w:marBottom w:val="0"/>
          <w:divBdr>
            <w:top w:val="none" w:sz="0" w:space="0" w:color="auto"/>
            <w:left w:val="none" w:sz="0" w:space="0" w:color="auto"/>
            <w:bottom w:val="none" w:sz="0" w:space="0" w:color="auto"/>
            <w:right w:val="none" w:sz="0" w:space="0" w:color="auto"/>
          </w:divBdr>
        </w:div>
      </w:divsChild>
    </w:div>
    <w:div w:id="1151100424">
      <w:marLeft w:val="0"/>
      <w:marRight w:val="0"/>
      <w:marTop w:val="0"/>
      <w:marBottom w:val="0"/>
      <w:divBdr>
        <w:top w:val="none" w:sz="0" w:space="0" w:color="auto"/>
        <w:left w:val="none" w:sz="0" w:space="0" w:color="auto"/>
        <w:bottom w:val="none" w:sz="0" w:space="0" w:color="auto"/>
        <w:right w:val="none" w:sz="0" w:space="0" w:color="auto"/>
      </w:divBdr>
    </w:div>
    <w:div w:id="1151100425">
      <w:marLeft w:val="0"/>
      <w:marRight w:val="0"/>
      <w:marTop w:val="0"/>
      <w:marBottom w:val="0"/>
      <w:divBdr>
        <w:top w:val="none" w:sz="0" w:space="0" w:color="auto"/>
        <w:left w:val="none" w:sz="0" w:space="0" w:color="auto"/>
        <w:bottom w:val="none" w:sz="0" w:space="0" w:color="auto"/>
        <w:right w:val="none" w:sz="0" w:space="0" w:color="auto"/>
      </w:divBdr>
    </w:div>
    <w:div w:id="1151100426">
      <w:marLeft w:val="0"/>
      <w:marRight w:val="0"/>
      <w:marTop w:val="0"/>
      <w:marBottom w:val="0"/>
      <w:divBdr>
        <w:top w:val="none" w:sz="0" w:space="0" w:color="auto"/>
        <w:left w:val="none" w:sz="0" w:space="0" w:color="auto"/>
        <w:bottom w:val="none" w:sz="0" w:space="0" w:color="auto"/>
        <w:right w:val="none" w:sz="0" w:space="0" w:color="auto"/>
      </w:divBdr>
    </w:div>
    <w:div w:id="1151100428">
      <w:marLeft w:val="0"/>
      <w:marRight w:val="0"/>
      <w:marTop w:val="0"/>
      <w:marBottom w:val="0"/>
      <w:divBdr>
        <w:top w:val="none" w:sz="0" w:space="0" w:color="auto"/>
        <w:left w:val="none" w:sz="0" w:space="0" w:color="auto"/>
        <w:bottom w:val="none" w:sz="0" w:space="0" w:color="auto"/>
        <w:right w:val="none" w:sz="0" w:space="0" w:color="auto"/>
      </w:divBdr>
      <w:divsChild>
        <w:div w:id="1151100440">
          <w:marLeft w:val="0"/>
          <w:marRight w:val="0"/>
          <w:marTop w:val="0"/>
          <w:marBottom w:val="0"/>
          <w:divBdr>
            <w:top w:val="none" w:sz="0" w:space="0" w:color="auto"/>
            <w:left w:val="none" w:sz="0" w:space="0" w:color="auto"/>
            <w:bottom w:val="none" w:sz="0" w:space="0" w:color="auto"/>
            <w:right w:val="none" w:sz="0" w:space="0" w:color="auto"/>
          </w:divBdr>
          <w:divsChild>
            <w:div w:id="1151100434">
              <w:marLeft w:val="0"/>
              <w:marRight w:val="0"/>
              <w:marTop w:val="0"/>
              <w:marBottom w:val="0"/>
              <w:divBdr>
                <w:top w:val="none" w:sz="0" w:space="0" w:color="auto"/>
                <w:left w:val="none" w:sz="0" w:space="0" w:color="auto"/>
                <w:bottom w:val="none" w:sz="0" w:space="0" w:color="auto"/>
                <w:right w:val="none" w:sz="0" w:space="0" w:color="auto"/>
              </w:divBdr>
              <w:divsChild>
                <w:div w:id="115110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00430">
      <w:marLeft w:val="0"/>
      <w:marRight w:val="0"/>
      <w:marTop w:val="0"/>
      <w:marBottom w:val="0"/>
      <w:divBdr>
        <w:top w:val="none" w:sz="0" w:space="0" w:color="auto"/>
        <w:left w:val="none" w:sz="0" w:space="0" w:color="auto"/>
        <w:bottom w:val="none" w:sz="0" w:space="0" w:color="auto"/>
        <w:right w:val="none" w:sz="0" w:space="0" w:color="auto"/>
      </w:divBdr>
    </w:div>
    <w:div w:id="1151100432">
      <w:marLeft w:val="0"/>
      <w:marRight w:val="0"/>
      <w:marTop w:val="0"/>
      <w:marBottom w:val="0"/>
      <w:divBdr>
        <w:top w:val="none" w:sz="0" w:space="0" w:color="auto"/>
        <w:left w:val="none" w:sz="0" w:space="0" w:color="auto"/>
        <w:bottom w:val="none" w:sz="0" w:space="0" w:color="auto"/>
        <w:right w:val="none" w:sz="0" w:space="0" w:color="auto"/>
      </w:divBdr>
    </w:div>
    <w:div w:id="1151100436">
      <w:marLeft w:val="0"/>
      <w:marRight w:val="0"/>
      <w:marTop w:val="0"/>
      <w:marBottom w:val="0"/>
      <w:divBdr>
        <w:top w:val="none" w:sz="0" w:space="0" w:color="auto"/>
        <w:left w:val="none" w:sz="0" w:space="0" w:color="auto"/>
        <w:bottom w:val="none" w:sz="0" w:space="0" w:color="auto"/>
        <w:right w:val="none" w:sz="0" w:space="0" w:color="auto"/>
      </w:divBdr>
    </w:div>
    <w:div w:id="1151100439">
      <w:marLeft w:val="0"/>
      <w:marRight w:val="0"/>
      <w:marTop w:val="0"/>
      <w:marBottom w:val="0"/>
      <w:divBdr>
        <w:top w:val="none" w:sz="0" w:space="0" w:color="auto"/>
        <w:left w:val="none" w:sz="0" w:space="0" w:color="auto"/>
        <w:bottom w:val="none" w:sz="0" w:space="0" w:color="auto"/>
        <w:right w:val="none" w:sz="0" w:space="0" w:color="auto"/>
      </w:divBdr>
      <w:divsChild>
        <w:div w:id="1151100438">
          <w:marLeft w:val="0"/>
          <w:marRight w:val="0"/>
          <w:marTop w:val="0"/>
          <w:marBottom w:val="0"/>
          <w:divBdr>
            <w:top w:val="none" w:sz="0" w:space="0" w:color="auto"/>
            <w:left w:val="none" w:sz="0" w:space="0" w:color="auto"/>
            <w:bottom w:val="none" w:sz="0" w:space="0" w:color="auto"/>
            <w:right w:val="none" w:sz="0" w:space="0" w:color="auto"/>
          </w:divBdr>
          <w:divsChild>
            <w:div w:id="1151100447">
              <w:marLeft w:val="0"/>
              <w:marRight w:val="0"/>
              <w:marTop w:val="0"/>
              <w:marBottom w:val="0"/>
              <w:divBdr>
                <w:top w:val="none" w:sz="0" w:space="0" w:color="auto"/>
                <w:left w:val="none" w:sz="0" w:space="0" w:color="auto"/>
                <w:bottom w:val="none" w:sz="0" w:space="0" w:color="auto"/>
                <w:right w:val="none" w:sz="0" w:space="0" w:color="auto"/>
              </w:divBdr>
              <w:divsChild>
                <w:div w:id="11511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00442">
      <w:marLeft w:val="0"/>
      <w:marRight w:val="0"/>
      <w:marTop w:val="0"/>
      <w:marBottom w:val="0"/>
      <w:divBdr>
        <w:top w:val="none" w:sz="0" w:space="0" w:color="auto"/>
        <w:left w:val="none" w:sz="0" w:space="0" w:color="auto"/>
        <w:bottom w:val="none" w:sz="0" w:space="0" w:color="auto"/>
        <w:right w:val="none" w:sz="0" w:space="0" w:color="auto"/>
      </w:divBdr>
    </w:div>
    <w:div w:id="1151100443">
      <w:marLeft w:val="0"/>
      <w:marRight w:val="0"/>
      <w:marTop w:val="0"/>
      <w:marBottom w:val="0"/>
      <w:divBdr>
        <w:top w:val="none" w:sz="0" w:space="0" w:color="auto"/>
        <w:left w:val="none" w:sz="0" w:space="0" w:color="auto"/>
        <w:bottom w:val="none" w:sz="0" w:space="0" w:color="auto"/>
        <w:right w:val="none" w:sz="0" w:space="0" w:color="auto"/>
      </w:divBdr>
    </w:div>
    <w:div w:id="1151100444">
      <w:marLeft w:val="0"/>
      <w:marRight w:val="0"/>
      <w:marTop w:val="0"/>
      <w:marBottom w:val="0"/>
      <w:divBdr>
        <w:top w:val="none" w:sz="0" w:space="0" w:color="auto"/>
        <w:left w:val="none" w:sz="0" w:space="0" w:color="auto"/>
        <w:bottom w:val="none" w:sz="0" w:space="0" w:color="auto"/>
        <w:right w:val="none" w:sz="0" w:space="0" w:color="auto"/>
      </w:divBdr>
    </w:div>
    <w:div w:id="1151100446">
      <w:marLeft w:val="0"/>
      <w:marRight w:val="0"/>
      <w:marTop w:val="0"/>
      <w:marBottom w:val="0"/>
      <w:divBdr>
        <w:top w:val="none" w:sz="0" w:space="0" w:color="auto"/>
        <w:left w:val="none" w:sz="0" w:space="0" w:color="auto"/>
        <w:bottom w:val="none" w:sz="0" w:space="0" w:color="auto"/>
        <w:right w:val="none" w:sz="0" w:space="0" w:color="auto"/>
      </w:divBdr>
      <w:divsChild>
        <w:div w:id="1151100437">
          <w:marLeft w:val="0"/>
          <w:marRight w:val="0"/>
          <w:marTop w:val="0"/>
          <w:marBottom w:val="0"/>
          <w:divBdr>
            <w:top w:val="none" w:sz="0" w:space="0" w:color="auto"/>
            <w:left w:val="none" w:sz="0" w:space="0" w:color="auto"/>
            <w:bottom w:val="none" w:sz="0" w:space="0" w:color="auto"/>
            <w:right w:val="none" w:sz="0" w:space="0" w:color="auto"/>
          </w:divBdr>
          <w:divsChild>
            <w:div w:id="1151100429">
              <w:marLeft w:val="0"/>
              <w:marRight w:val="0"/>
              <w:marTop w:val="0"/>
              <w:marBottom w:val="0"/>
              <w:divBdr>
                <w:top w:val="none" w:sz="0" w:space="0" w:color="auto"/>
                <w:left w:val="none" w:sz="0" w:space="0" w:color="auto"/>
                <w:bottom w:val="none" w:sz="0" w:space="0" w:color="auto"/>
                <w:right w:val="none" w:sz="0" w:space="0" w:color="auto"/>
              </w:divBdr>
              <w:divsChild>
                <w:div w:id="115110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00449">
      <w:marLeft w:val="0"/>
      <w:marRight w:val="0"/>
      <w:marTop w:val="0"/>
      <w:marBottom w:val="0"/>
      <w:divBdr>
        <w:top w:val="none" w:sz="0" w:space="0" w:color="auto"/>
        <w:left w:val="none" w:sz="0" w:space="0" w:color="auto"/>
        <w:bottom w:val="none" w:sz="0" w:space="0" w:color="auto"/>
        <w:right w:val="none" w:sz="0" w:space="0" w:color="auto"/>
      </w:divBdr>
    </w:div>
    <w:div w:id="1151100450">
      <w:marLeft w:val="0"/>
      <w:marRight w:val="0"/>
      <w:marTop w:val="0"/>
      <w:marBottom w:val="0"/>
      <w:divBdr>
        <w:top w:val="none" w:sz="0" w:space="0" w:color="auto"/>
        <w:left w:val="none" w:sz="0" w:space="0" w:color="auto"/>
        <w:bottom w:val="none" w:sz="0" w:space="0" w:color="auto"/>
        <w:right w:val="none" w:sz="0" w:space="0" w:color="auto"/>
      </w:divBdr>
    </w:div>
    <w:div w:id="1151100451">
      <w:marLeft w:val="0"/>
      <w:marRight w:val="0"/>
      <w:marTop w:val="0"/>
      <w:marBottom w:val="0"/>
      <w:divBdr>
        <w:top w:val="none" w:sz="0" w:space="0" w:color="auto"/>
        <w:left w:val="none" w:sz="0" w:space="0" w:color="auto"/>
        <w:bottom w:val="none" w:sz="0" w:space="0" w:color="auto"/>
        <w:right w:val="none" w:sz="0" w:space="0" w:color="auto"/>
      </w:divBdr>
      <w:divsChild>
        <w:div w:id="1151100458">
          <w:marLeft w:val="0"/>
          <w:marRight w:val="0"/>
          <w:marTop w:val="0"/>
          <w:marBottom w:val="0"/>
          <w:divBdr>
            <w:top w:val="none" w:sz="0" w:space="0" w:color="auto"/>
            <w:left w:val="none" w:sz="0" w:space="0" w:color="auto"/>
            <w:bottom w:val="none" w:sz="0" w:space="0" w:color="auto"/>
            <w:right w:val="none" w:sz="0" w:space="0" w:color="auto"/>
          </w:divBdr>
          <w:divsChild>
            <w:div w:id="1151100448">
              <w:marLeft w:val="0"/>
              <w:marRight w:val="0"/>
              <w:marTop w:val="0"/>
              <w:marBottom w:val="0"/>
              <w:divBdr>
                <w:top w:val="none" w:sz="0" w:space="0" w:color="auto"/>
                <w:left w:val="none" w:sz="0" w:space="0" w:color="auto"/>
                <w:bottom w:val="none" w:sz="0" w:space="0" w:color="auto"/>
                <w:right w:val="none" w:sz="0" w:space="0" w:color="auto"/>
              </w:divBdr>
              <w:divsChild>
                <w:div w:id="11511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00452">
      <w:marLeft w:val="0"/>
      <w:marRight w:val="0"/>
      <w:marTop w:val="0"/>
      <w:marBottom w:val="0"/>
      <w:divBdr>
        <w:top w:val="none" w:sz="0" w:space="0" w:color="auto"/>
        <w:left w:val="none" w:sz="0" w:space="0" w:color="auto"/>
        <w:bottom w:val="none" w:sz="0" w:space="0" w:color="auto"/>
        <w:right w:val="none" w:sz="0" w:space="0" w:color="auto"/>
      </w:divBdr>
      <w:divsChild>
        <w:div w:id="1151100427">
          <w:marLeft w:val="0"/>
          <w:marRight w:val="0"/>
          <w:marTop w:val="0"/>
          <w:marBottom w:val="0"/>
          <w:divBdr>
            <w:top w:val="none" w:sz="0" w:space="0" w:color="auto"/>
            <w:left w:val="none" w:sz="0" w:space="0" w:color="auto"/>
            <w:bottom w:val="none" w:sz="0" w:space="0" w:color="auto"/>
            <w:right w:val="none" w:sz="0" w:space="0" w:color="auto"/>
          </w:divBdr>
          <w:divsChild>
            <w:div w:id="1151100457">
              <w:marLeft w:val="0"/>
              <w:marRight w:val="0"/>
              <w:marTop w:val="0"/>
              <w:marBottom w:val="0"/>
              <w:divBdr>
                <w:top w:val="none" w:sz="0" w:space="0" w:color="auto"/>
                <w:left w:val="none" w:sz="0" w:space="0" w:color="auto"/>
                <w:bottom w:val="none" w:sz="0" w:space="0" w:color="auto"/>
                <w:right w:val="none" w:sz="0" w:space="0" w:color="auto"/>
              </w:divBdr>
              <w:divsChild>
                <w:div w:id="115110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00454">
      <w:marLeft w:val="0"/>
      <w:marRight w:val="0"/>
      <w:marTop w:val="0"/>
      <w:marBottom w:val="0"/>
      <w:divBdr>
        <w:top w:val="none" w:sz="0" w:space="0" w:color="auto"/>
        <w:left w:val="none" w:sz="0" w:space="0" w:color="auto"/>
        <w:bottom w:val="none" w:sz="0" w:space="0" w:color="auto"/>
        <w:right w:val="none" w:sz="0" w:space="0" w:color="auto"/>
      </w:divBdr>
    </w:div>
    <w:div w:id="1151100455">
      <w:marLeft w:val="0"/>
      <w:marRight w:val="0"/>
      <w:marTop w:val="0"/>
      <w:marBottom w:val="0"/>
      <w:divBdr>
        <w:top w:val="none" w:sz="0" w:space="0" w:color="auto"/>
        <w:left w:val="none" w:sz="0" w:space="0" w:color="auto"/>
        <w:bottom w:val="none" w:sz="0" w:space="0" w:color="auto"/>
        <w:right w:val="none" w:sz="0" w:space="0" w:color="auto"/>
      </w:divBdr>
    </w:div>
    <w:div w:id="1151100459">
      <w:marLeft w:val="0"/>
      <w:marRight w:val="0"/>
      <w:marTop w:val="0"/>
      <w:marBottom w:val="0"/>
      <w:divBdr>
        <w:top w:val="none" w:sz="0" w:space="0" w:color="auto"/>
        <w:left w:val="none" w:sz="0" w:space="0" w:color="auto"/>
        <w:bottom w:val="none" w:sz="0" w:space="0" w:color="auto"/>
        <w:right w:val="none" w:sz="0" w:space="0" w:color="auto"/>
      </w:divBdr>
    </w:div>
    <w:div w:id="1151100460">
      <w:marLeft w:val="0"/>
      <w:marRight w:val="0"/>
      <w:marTop w:val="0"/>
      <w:marBottom w:val="0"/>
      <w:divBdr>
        <w:top w:val="none" w:sz="0" w:space="0" w:color="auto"/>
        <w:left w:val="none" w:sz="0" w:space="0" w:color="auto"/>
        <w:bottom w:val="none" w:sz="0" w:space="0" w:color="auto"/>
        <w:right w:val="none" w:sz="0" w:space="0" w:color="auto"/>
      </w:divBdr>
    </w:div>
    <w:div w:id="1151100462">
      <w:marLeft w:val="0"/>
      <w:marRight w:val="0"/>
      <w:marTop w:val="0"/>
      <w:marBottom w:val="0"/>
      <w:divBdr>
        <w:top w:val="none" w:sz="0" w:space="0" w:color="auto"/>
        <w:left w:val="none" w:sz="0" w:space="0" w:color="auto"/>
        <w:bottom w:val="none" w:sz="0" w:space="0" w:color="auto"/>
        <w:right w:val="none" w:sz="0" w:space="0" w:color="auto"/>
      </w:divBdr>
      <w:divsChild>
        <w:div w:id="1151100435">
          <w:marLeft w:val="0"/>
          <w:marRight w:val="0"/>
          <w:marTop w:val="0"/>
          <w:marBottom w:val="0"/>
          <w:divBdr>
            <w:top w:val="none" w:sz="0" w:space="0" w:color="auto"/>
            <w:left w:val="none" w:sz="0" w:space="0" w:color="auto"/>
            <w:bottom w:val="none" w:sz="0" w:space="0" w:color="auto"/>
            <w:right w:val="none" w:sz="0" w:space="0" w:color="auto"/>
          </w:divBdr>
          <w:divsChild>
            <w:div w:id="1151100445">
              <w:marLeft w:val="0"/>
              <w:marRight w:val="0"/>
              <w:marTop w:val="0"/>
              <w:marBottom w:val="0"/>
              <w:divBdr>
                <w:top w:val="none" w:sz="0" w:space="0" w:color="auto"/>
                <w:left w:val="none" w:sz="0" w:space="0" w:color="auto"/>
                <w:bottom w:val="none" w:sz="0" w:space="0" w:color="auto"/>
                <w:right w:val="none" w:sz="0" w:space="0" w:color="auto"/>
              </w:divBdr>
              <w:divsChild>
                <w:div w:id="1151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100463">
      <w:marLeft w:val="0"/>
      <w:marRight w:val="0"/>
      <w:marTop w:val="0"/>
      <w:marBottom w:val="0"/>
      <w:divBdr>
        <w:top w:val="none" w:sz="0" w:space="0" w:color="auto"/>
        <w:left w:val="none" w:sz="0" w:space="0" w:color="auto"/>
        <w:bottom w:val="none" w:sz="0" w:space="0" w:color="auto"/>
        <w:right w:val="none" w:sz="0" w:space="0" w:color="auto"/>
      </w:divBdr>
    </w:div>
    <w:div w:id="1151100464">
      <w:marLeft w:val="0"/>
      <w:marRight w:val="0"/>
      <w:marTop w:val="0"/>
      <w:marBottom w:val="0"/>
      <w:divBdr>
        <w:top w:val="none" w:sz="0" w:space="0" w:color="auto"/>
        <w:left w:val="none" w:sz="0" w:space="0" w:color="auto"/>
        <w:bottom w:val="none" w:sz="0" w:space="0" w:color="auto"/>
        <w:right w:val="none" w:sz="0" w:space="0" w:color="auto"/>
      </w:divBdr>
    </w:div>
    <w:div w:id="1151100465">
      <w:marLeft w:val="0"/>
      <w:marRight w:val="0"/>
      <w:marTop w:val="0"/>
      <w:marBottom w:val="0"/>
      <w:divBdr>
        <w:top w:val="none" w:sz="0" w:space="0" w:color="auto"/>
        <w:left w:val="none" w:sz="0" w:space="0" w:color="auto"/>
        <w:bottom w:val="none" w:sz="0" w:space="0" w:color="auto"/>
        <w:right w:val="none" w:sz="0" w:space="0" w:color="auto"/>
      </w:divBdr>
    </w:div>
    <w:div w:id="1151100473">
      <w:marLeft w:val="0"/>
      <w:marRight w:val="0"/>
      <w:marTop w:val="0"/>
      <w:marBottom w:val="0"/>
      <w:divBdr>
        <w:top w:val="none" w:sz="0" w:space="0" w:color="auto"/>
        <w:left w:val="none" w:sz="0" w:space="0" w:color="auto"/>
        <w:bottom w:val="none" w:sz="0" w:space="0" w:color="auto"/>
        <w:right w:val="none" w:sz="0" w:space="0" w:color="auto"/>
      </w:divBdr>
      <w:divsChild>
        <w:div w:id="1151100401">
          <w:marLeft w:val="446"/>
          <w:marRight w:val="0"/>
          <w:marTop w:val="0"/>
          <w:marBottom w:val="0"/>
          <w:divBdr>
            <w:top w:val="none" w:sz="0" w:space="0" w:color="auto"/>
            <w:left w:val="none" w:sz="0" w:space="0" w:color="auto"/>
            <w:bottom w:val="none" w:sz="0" w:space="0" w:color="auto"/>
            <w:right w:val="none" w:sz="0" w:space="0" w:color="auto"/>
          </w:divBdr>
        </w:div>
        <w:div w:id="1151100408">
          <w:marLeft w:val="446"/>
          <w:marRight w:val="0"/>
          <w:marTop w:val="0"/>
          <w:marBottom w:val="0"/>
          <w:divBdr>
            <w:top w:val="none" w:sz="0" w:space="0" w:color="auto"/>
            <w:left w:val="none" w:sz="0" w:space="0" w:color="auto"/>
            <w:bottom w:val="none" w:sz="0" w:space="0" w:color="auto"/>
            <w:right w:val="none" w:sz="0" w:space="0" w:color="auto"/>
          </w:divBdr>
        </w:div>
        <w:div w:id="1151100413">
          <w:marLeft w:val="446"/>
          <w:marRight w:val="0"/>
          <w:marTop w:val="0"/>
          <w:marBottom w:val="0"/>
          <w:divBdr>
            <w:top w:val="none" w:sz="0" w:space="0" w:color="auto"/>
            <w:left w:val="none" w:sz="0" w:space="0" w:color="auto"/>
            <w:bottom w:val="none" w:sz="0" w:space="0" w:color="auto"/>
            <w:right w:val="none" w:sz="0" w:space="0" w:color="auto"/>
          </w:divBdr>
        </w:div>
        <w:div w:id="1151100415">
          <w:marLeft w:val="446"/>
          <w:marRight w:val="0"/>
          <w:marTop w:val="0"/>
          <w:marBottom w:val="0"/>
          <w:divBdr>
            <w:top w:val="none" w:sz="0" w:space="0" w:color="auto"/>
            <w:left w:val="none" w:sz="0" w:space="0" w:color="auto"/>
            <w:bottom w:val="none" w:sz="0" w:space="0" w:color="auto"/>
            <w:right w:val="none" w:sz="0" w:space="0" w:color="auto"/>
          </w:divBdr>
        </w:div>
        <w:div w:id="1151100420">
          <w:marLeft w:val="446"/>
          <w:marRight w:val="0"/>
          <w:marTop w:val="0"/>
          <w:marBottom w:val="0"/>
          <w:divBdr>
            <w:top w:val="none" w:sz="0" w:space="0" w:color="auto"/>
            <w:left w:val="none" w:sz="0" w:space="0" w:color="auto"/>
            <w:bottom w:val="none" w:sz="0" w:space="0" w:color="auto"/>
            <w:right w:val="none" w:sz="0" w:space="0" w:color="auto"/>
          </w:divBdr>
        </w:div>
        <w:div w:id="1151100469">
          <w:marLeft w:val="446"/>
          <w:marRight w:val="0"/>
          <w:marTop w:val="0"/>
          <w:marBottom w:val="0"/>
          <w:divBdr>
            <w:top w:val="none" w:sz="0" w:space="0" w:color="auto"/>
            <w:left w:val="none" w:sz="0" w:space="0" w:color="auto"/>
            <w:bottom w:val="none" w:sz="0" w:space="0" w:color="auto"/>
            <w:right w:val="none" w:sz="0" w:space="0" w:color="auto"/>
          </w:divBdr>
        </w:div>
        <w:div w:id="1151100470">
          <w:marLeft w:val="446"/>
          <w:marRight w:val="0"/>
          <w:marTop w:val="0"/>
          <w:marBottom w:val="0"/>
          <w:divBdr>
            <w:top w:val="none" w:sz="0" w:space="0" w:color="auto"/>
            <w:left w:val="none" w:sz="0" w:space="0" w:color="auto"/>
            <w:bottom w:val="none" w:sz="0" w:space="0" w:color="auto"/>
            <w:right w:val="none" w:sz="0" w:space="0" w:color="auto"/>
          </w:divBdr>
        </w:div>
        <w:div w:id="1151100471">
          <w:marLeft w:val="446"/>
          <w:marRight w:val="0"/>
          <w:marTop w:val="0"/>
          <w:marBottom w:val="0"/>
          <w:divBdr>
            <w:top w:val="none" w:sz="0" w:space="0" w:color="auto"/>
            <w:left w:val="none" w:sz="0" w:space="0" w:color="auto"/>
            <w:bottom w:val="none" w:sz="0" w:space="0" w:color="auto"/>
            <w:right w:val="none" w:sz="0" w:space="0" w:color="auto"/>
          </w:divBdr>
        </w:div>
      </w:divsChild>
    </w:div>
    <w:div w:id="1151100476">
      <w:marLeft w:val="0"/>
      <w:marRight w:val="0"/>
      <w:marTop w:val="0"/>
      <w:marBottom w:val="0"/>
      <w:divBdr>
        <w:top w:val="none" w:sz="0" w:space="0" w:color="auto"/>
        <w:left w:val="none" w:sz="0" w:space="0" w:color="auto"/>
        <w:bottom w:val="none" w:sz="0" w:space="0" w:color="auto"/>
        <w:right w:val="none" w:sz="0" w:space="0" w:color="auto"/>
      </w:divBdr>
    </w:div>
    <w:div w:id="1151100477">
      <w:marLeft w:val="0"/>
      <w:marRight w:val="0"/>
      <w:marTop w:val="0"/>
      <w:marBottom w:val="0"/>
      <w:divBdr>
        <w:top w:val="none" w:sz="0" w:space="0" w:color="auto"/>
        <w:left w:val="none" w:sz="0" w:space="0" w:color="auto"/>
        <w:bottom w:val="none" w:sz="0" w:space="0" w:color="auto"/>
        <w:right w:val="none" w:sz="0" w:space="0" w:color="auto"/>
      </w:divBdr>
    </w:div>
    <w:div w:id="1151100478">
      <w:marLeft w:val="0"/>
      <w:marRight w:val="0"/>
      <w:marTop w:val="0"/>
      <w:marBottom w:val="0"/>
      <w:divBdr>
        <w:top w:val="none" w:sz="0" w:space="0" w:color="auto"/>
        <w:left w:val="none" w:sz="0" w:space="0" w:color="auto"/>
        <w:bottom w:val="none" w:sz="0" w:space="0" w:color="auto"/>
        <w:right w:val="none" w:sz="0" w:space="0" w:color="auto"/>
      </w:divBdr>
    </w:div>
    <w:div w:id="1151100479">
      <w:marLeft w:val="0"/>
      <w:marRight w:val="0"/>
      <w:marTop w:val="0"/>
      <w:marBottom w:val="0"/>
      <w:divBdr>
        <w:top w:val="none" w:sz="0" w:space="0" w:color="auto"/>
        <w:left w:val="none" w:sz="0" w:space="0" w:color="auto"/>
        <w:bottom w:val="none" w:sz="0" w:space="0" w:color="auto"/>
        <w:right w:val="none" w:sz="0" w:space="0" w:color="auto"/>
      </w:divBdr>
    </w:div>
    <w:div w:id="1151100480">
      <w:marLeft w:val="0"/>
      <w:marRight w:val="0"/>
      <w:marTop w:val="0"/>
      <w:marBottom w:val="0"/>
      <w:divBdr>
        <w:top w:val="none" w:sz="0" w:space="0" w:color="auto"/>
        <w:left w:val="none" w:sz="0" w:space="0" w:color="auto"/>
        <w:bottom w:val="none" w:sz="0" w:space="0" w:color="auto"/>
        <w:right w:val="none" w:sz="0" w:space="0" w:color="auto"/>
      </w:divBdr>
    </w:div>
    <w:div w:id="1151100481">
      <w:marLeft w:val="0"/>
      <w:marRight w:val="0"/>
      <w:marTop w:val="0"/>
      <w:marBottom w:val="0"/>
      <w:divBdr>
        <w:top w:val="none" w:sz="0" w:space="0" w:color="auto"/>
        <w:left w:val="none" w:sz="0" w:space="0" w:color="auto"/>
        <w:bottom w:val="none" w:sz="0" w:space="0" w:color="auto"/>
        <w:right w:val="none" w:sz="0" w:space="0" w:color="auto"/>
      </w:divBdr>
    </w:div>
    <w:div w:id="1151100482">
      <w:marLeft w:val="0"/>
      <w:marRight w:val="0"/>
      <w:marTop w:val="0"/>
      <w:marBottom w:val="0"/>
      <w:divBdr>
        <w:top w:val="none" w:sz="0" w:space="0" w:color="auto"/>
        <w:left w:val="none" w:sz="0" w:space="0" w:color="auto"/>
        <w:bottom w:val="none" w:sz="0" w:space="0" w:color="auto"/>
        <w:right w:val="none" w:sz="0" w:space="0" w:color="auto"/>
      </w:divBdr>
    </w:div>
    <w:div w:id="1151100483">
      <w:marLeft w:val="0"/>
      <w:marRight w:val="0"/>
      <w:marTop w:val="0"/>
      <w:marBottom w:val="0"/>
      <w:divBdr>
        <w:top w:val="none" w:sz="0" w:space="0" w:color="auto"/>
        <w:left w:val="none" w:sz="0" w:space="0" w:color="auto"/>
        <w:bottom w:val="none" w:sz="0" w:space="0" w:color="auto"/>
        <w:right w:val="none" w:sz="0" w:space="0" w:color="auto"/>
      </w:divBdr>
    </w:div>
    <w:div w:id="1151100484">
      <w:marLeft w:val="0"/>
      <w:marRight w:val="0"/>
      <w:marTop w:val="0"/>
      <w:marBottom w:val="0"/>
      <w:divBdr>
        <w:top w:val="none" w:sz="0" w:space="0" w:color="auto"/>
        <w:left w:val="none" w:sz="0" w:space="0" w:color="auto"/>
        <w:bottom w:val="none" w:sz="0" w:space="0" w:color="auto"/>
        <w:right w:val="none" w:sz="0" w:space="0" w:color="auto"/>
      </w:divBdr>
    </w:div>
    <w:div w:id="1151100485">
      <w:marLeft w:val="0"/>
      <w:marRight w:val="0"/>
      <w:marTop w:val="0"/>
      <w:marBottom w:val="0"/>
      <w:divBdr>
        <w:top w:val="none" w:sz="0" w:space="0" w:color="auto"/>
        <w:left w:val="none" w:sz="0" w:space="0" w:color="auto"/>
        <w:bottom w:val="none" w:sz="0" w:space="0" w:color="auto"/>
        <w:right w:val="none" w:sz="0" w:space="0" w:color="auto"/>
      </w:divBdr>
    </w:div>
    <w:div w:id="1151100486">
      <w:marLeft w:val="0"/>
      <w:marRight w:val="0"/>
      <w:marTop w:val="0"/>
      <w:marBottom w:val="0"/>
      <w:divBdr>
        <w:top w:val="none" w:sz="0" w:space="0" w:color="auto"/>
        <w:left w:val="none" w:sz="0" w:space="0" w:color="auto"/>
        <w:bottom w:val="none" w:sz="0" w:space="0" w:color="auto"/>
        <w:right w:val="none" w:sz="0" w:space="0" w:color="auto"/>
      </w:divBdr>
    </w:div>
    <w:div w:id="1151100487">
      <w:marLeft w:val="0"/>
      <w:marRight w:val="0"/>
      <w:marTop w:val="0"/>
      <w:marBottom w:val="0"/>
      <w:divBdr>
        <w:top w:val="none" w:sz="0" w:space="0" w:color="auto"/>
        <w:left w:val="none" w:sz="0" w:space="0" w:color="auto"/>
        <w:bottom w:val="none" w:sz="0" w:space="0" w:color="auto"/>
        <w:right w:val="none" w:sz="0" w:space="0" w:color="auto"/>
      </w:divBdr>
    </w:div>
    <w:div w:id="1151100488">
      <w:marLeft w:val="0"/>
      <w:marRight w:val="0"/>
      <w:marTop w:val="0"/>
      <w:marBottom w:val="0"/>
      <w:divBdr>
        <w:top w:val="none" w:sz="0" w:space="0" w:color="auto"/>
        <w:left w:val="none" w:sz="0" w:space="0" w:color="auto"/>
        <w:bottom w:val="none" w:sz="0" w:space="0" w:color="auto"/>
        <w:right w:val="none" w:sz="0" w:space="0" w:color="auto"/>
      </w:divBdr>
    </w:div>
    <w:div w:id="1151100489">
      <w:marLeft w:val="0"/>
      <w:marRight w:val="0"/>
      <w:marTop w:val="0"/>
      <w:marBottom w:val="0"/>
      <w:divBdr>
        <w:top w:val="none" w:sz="0" w:space="0" w:color="auto"/>
        <w:left w:val="none" w:sz="0" w:space="0" w:color="auto"/>
        <w:bottom w:val="none" w:sz="0" w:space="0" w:color="auto"/>
        <w:right w:val="none" w:sz="0" w:space="0" w:color="auto"/>
      </w:divBdr>
    </w:div>
    <w:div w:id="1151100490">
      <w:marLeft w:val="0"/>
      <w:marRight w:val="0"/>
      <w:marTop w:val="0"/>
      <w:marBottom w:val="0"/>
      <w:divBdr>
        <w:top w:val="none" w:sz="0" w:space="0" w:color="auto"/>
        <w:left w:val="none" w:sz="0" w:space="0" w:color="auto"/>
        <w:bottom w:val="none" w:sz="0" w:space="0" w:color="auto"/>
        <w:right w:val="none" w:sz="0" w:space="0" w:color="auto"/>
      </w:divBdr>
    </w:div>
    <w:div w:id="1151100491">
      <w:marLeft w:val="0"/>
      <w:marRight w:val="0"/>
      <w:marTop w:val="0"/>
      <w:marBottom w:val="0"/>
      <w:divBdr>
        <w:top w:val="none" w:sz="0" w:space="0" w:color="auto"/>
        <w:left w:val="none" w:sz="0" w:space="0" w:color="auto"/>
        <w:bottom w:val="none" w:sz="0" w:space="0" w:color="auto"/>
        <w:right w:val="none" w:sz="0" w:space="0" w:color="auto"/>
      </w:divBdr>
    </w:div>
    <w:div w:id="1151100492">
      <w:marLeft w:val="0"/>
      <w:marRight w:val="0"/>
      <w:marTop w:val="0"/>
      <w:marBottom w:val="0"/>
      <w:divBdr>
        <w:top w:val="none" w:sz="0" w:space="0" w:color="auto"/>
        <w:left w:val="none" w:sz="0" w:space="0" w:color="auto"/>
        <w:bottom w:val="none" w:sz="0" w:space="0" w:color="auto"/>
        <w:right w:val="none" w:sz="0" w:space="0" w:color="auto"/>
      </w:divBdr>
    </w:div>
    <w:div w:id="1151100496">
      <w:marLeft w:val="0"/>
      <w:marRight w:val="0"/>
      <w:marTop w:val="0"/>
      <w:marBottom w:val="0"/>
      <w:divBdr>
        <w:top w:val="none" w:sz="0" w:space="0" w:color="auto"/>
        <w:left w:val="none" w:sz="0" w:space="0" w:color="auto"/>
        <w:bottom w:val="none" w:sz="0" w:space="0" w:color="auto"/>
        <w:right w:val="none" w:sz="0" w:space="0" w:color="auto"/>
      </w:divBdr>
      <w:divsChild>
        <w:div w:id="1151100366">
          <w:marLeft w:val="0"/>
          <w:marRight w:val="0"/>
          <w:marTop w:val="0"/>
          <w:marBottom w:val="0"/>
          <w:divBdr>
            <w:top w:val="none" w:sz="0" w:space="0" w:color="auto"/>
            <w:left w:val="none" w:sz="0" w:space="0" w:color="auto"/>
            <w:bottom w:val="none" w:sz="0" w:space="0" w:color="auto"/>
            <w:right w:val="none" w:sz="0" w:space="0" w:color="auto"/>
          </w:divBdr>
          <w:divsChild>
            <w:div w:id="1151100367">
              <w:marLeft w:val="0"/>
              <w:marRight w:val="0"/>
              <w:marTop w:val="0"/>
              <w:marBottom w:val="0"/>
              <w:divBdr>
                <w:top w:val="none" w:sz="0" w:space="0" w:color="auto"/>
                <w:left w:val="none" w:sz="0" w:space="0" w:color="auto"/>
                <w:bottom w:val="none" w:sz="0" w:space="0" w:color="auto"/>
                <w:right w:val="none" w:sz="0" w:space="0" w:color="auto"/>
              </w:divBdr>
              <w:divsChild>
                <w:div w:id="1151100359">
                  <w:marLeft w:val="0"/>
                  <w:marRight w:val="0"/>
                  <w:marTop w:val="0"/>
                  <w:marBottom w:val="0"/>
                  <w:divBdr>
                    <w:top w:val="none" w:sz="0" w:space="0" w:color="auto"/>
                    <w:left w:val="none" w:sz="0" w:space="0" w:color="auto"/>
                    <w:bottom w:val="none" w:sz="0" w:space="0" w:color="auto"/>
                    <w:right w:val="none" w:sz="0" w:space="0" w:color="auto"/>
                  </w:divBdr>
                  <w:divsChild>
                    <w:div w:id="11511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713067">
      <w:bodyDiv w:val="1"/>
      <w:marLeft w:val="0"/>
      <w:marRight w:val="0"/>
      <w:marTop w:val="0"/>
      <w:marBottom w:val="0"/>
      <w:divBdr>
        <w:top w:val="none" w:sz="0" w:space="0" w:color="auto"/>
        <w:left w:val="none" w:sz="0" w:space="0" w:color="auto"/>
        <w:bottom w:val="none" w:sz="0" w:space="0" w:color="auto"/>
        <w:right w:val="none" w:sz="0" w:space="0" w:color="auto"/>
      </w:divBdr>
    </w:div>
    <w:div w:id="1158304704">
      <w:bodyDiv w:val="1"/>
      <w:marLeft w:val="0"/>
      <w:marRight w:val="0"/>
      <w:marTop w:val="0"/>
      <w:marBottom w:val="0"/>
      <w:divBdr>
        <w:top w:val="none" w:sz="0" w:space="0" w:color="auto"/>
        <w:left w:val="none" w:sz="0" w:space="0" w:color="auto"/>
        <w:bottom w:val="none" w:sz="0" w:space="0" w:color="auto"/>
        <w:right w:val="none" w:sz="0" w:space="0" w:color="auto"/>
      </w:divBdr>
    </w:div>
    <w:div w:id="1181747372">
      <w:bodyDiv w:val="1"/>
      <w:marLeft w:val="0"/>
      <w:marRight w:val="0"/>
      <w:marTop w:val="0"/>
      <w:marBottom w:val="0"/>
      <w:divBdr>
        <w:top w:val="none" w:sz="0" w:space="0" w:color="auto"/>
        <w:left w:val="none" w:sz="0" w:space="0" w:color="auto"/>
        <w:bottom w:val="none" w:sz="0" w:space="0" w:color="auto"/>
        <w:right w:val="none" w:sz="0" w:space="0" w:color="auto"/>
      </w:divBdr>
      <w:divsChild>
        <w:div w:id="1935505565">
          <w:marLeft w:val="0"/>
          <w:marRight w:val="0"/>
          <w:marTop w:val="0"/>
          <w:marBottom w:val="0"/>
          <w:divBdr>
            <w:top w:val="none" w:sz="0" w:space="0" w:color="auto"/>
            <w:left w:val="none" w:sz="0" w:space="0" w:color="auto"/>
            <w:bottom w:val="none" w:sz="0" w:space="0" w:color="auto"/>
            <w:right w:val="none" w:sz="0" w:space="0" w:color="auto"/>
          </w:divBdr>
        </w:div>
        <w:div w:id="1569730420">
          <w:marLeft w:val="0"/>
          <w:marRight w:val="0"/>
          <w:marTop w:val="0"/>
          <w:marBottom w:val="0"/>
          <w:divBdr>
            <w:top w:val="none" w:sz="0" w:space="0" w:color="auto"/>
            <w:left w:val="none" w:sz="0" w:space="0" w:color="auto"/>
            <w:bottom w:val="none" w:sz="0" w:space="0" w:color="auto"/>
            <w:right w:val="none" w:sz="0" w:space="0" w:color="auto"/>
          </w:divBdr>
        </w:div>
        <w:div w:id="365062010">
          <w:marLeft w:val="0"/>
          <w:marRight w:val="0"/>
          <w:marTop w:val="0"/>
          <w:marBottom w:val="0"/>
          <w:divBdr>
            <w:top w:val="none" w:sz="0" w:space="0" w:color="auto"/>
            <w:left w:val="none" w:sz="0" w:space="0" w:color="auto"/>
            <w:bottom w:val="none" w:sz="0" w:space="0" w:color="auto"/>
            <w:right w:val="none" w:sz="0" w:space="0" w:color="auto"/>
          </w:divBdr>
        </w:div>
        <w:div w:id="1682930977">
          <w:marLeft w:val="0"/>
          <w:marRight w:val="0"/>
          <w:marTop w:val="0"/>
          <w:marBottom w:val="0"/>
          <w:divBdr>
            <w:top w:val="none" w:sz="0" w:space="0" w:color="auto"/>
            <w:left w:val="none" w:sz="0" w:space="0" w:color="auto"/>
            <w:bottom w:val="none" w:sz="0" w:space="0" w:color="auto"/>
            <w:right w:val="none" w:sz="0" w:space="0" w:color="auto"/>
          </w:divBdr>
        </w:div>
        <w:div w:id="30225973">
          <w:marLeft w:val="0"/>
          <w:marRight w:val="0"/>
          <w:marTop w:val="0"/>
          <w:marBottom w:val="0"/>
          <w:divBdr>
            <w:top w:val="none" w:sz="0" w:space="0" w:color="auto"/>
            <w:left w:val="none" w:sz="0" w:space="0" w:color="auto"/>
            <w:bottom w:val="none" w:sz="0" w:space="0" w:color="auto"/>
            <w:right w:val="none" w:sz="0" w:space="0" w:color="auto"/>
          </w:divBdr>
        </w:div>
        <w:div w:id="394940334">
          <w:marLeft w:val="0"/>
          <w:marRight w:val="0"/>
          <w:marTop w:val="0"/>
          <w:marBottom w:val="0"/>
          <w:divBdr>
            <w:top w:val="none" w:sz="0" w:space="0" w:color="auto"/>
            <w:left w:val="none" w:sz="0" w:space="0" w:color="auto"/>
            <w:bottom w:val="none" w:sz="0" w:space="0" w:color="auto"/>
            <w:right w:val="none" w:sz="0" w:space="0" w:color="auto"/>
          </w:divBdr>
        </w:div>
        <w:div w:id="1665427150">
          <w:marLeft w:val="0"/>
          <w:marRight w:val="0"/>
          <w:marTop w:val="0"/>
          <w:marBottom w:val="0"/>
          <w:divBdr>
            <w:top w:val="none" w:sz="0" w:space="0" w:color="auto"/>
            <w:left w:val="none" w:sz="0" w:space="0" w:color="auto"/>
            <w:bottom w:val="none" w:sz="0" w:space="0" w:color="auto"/>
            <w:right w:val="none" w:sz="0" w:space="0" w:color="auto"/>
          </w:divBdr>
        </w:div>
        <w:div w:id="167909974">
          <w:marLeft w:val="0"/>
          <w:marRight w:val="0"/>
          <w:marTop w:val="0"/>
          <w:marBottom w:val="0"/>
          <w:divBdr>
            <w:top w:val="none" w:sz="0" w:space="0" w:color="auto"/>
            <w:left w:val="none" w:sz="0" w:space="0" w:color="auto"/>
            <w:bottom w:val="none" w:sz="0" w:space="0" w:color="auto"/>
            <w:right w:val="none" w:sz="0" w:space="0" w:color="auto"/>
          </w:divBdr>
        </w:div>
        <w:div w:id="1821146749">
          <w:marLeft w:val="0"/>
          <w:marRight w:val="0"/>
          <w:marTop w:val="0"/>
          <w:marBottom w:val="0"/>
          <w:divBdr>
            <w:top w:val="none" w:sz="0" w:space="0" w:color="auto"/>
            <w:left w:val="none" w:sz="0" w:space="0" w:color="auto"/>
            <w:bottom w:val="none" w:sz="0" w:space="0" w:color="auto"/>
            <w:right w:val="none" w:sz="0" w:space="0" w:color="auto"/>
          </w:divBdr>
        </w:div>
        <w:div w:id="1015958238">
          <w:marLeft w:val="0"/>
          <w:marRight w:val="0"/>
          <w:marTop w:val="0"/>
          <w:marBottom w:val="0"/>
          <w:divBdr>
            <w:top w:val="none" w:sz="0" w:space="0" w:color="auto"/>
            <w:left w:val="none" w:sz="0" w:space="0" w:color="auto"/>
            <w:bottom w:val="none" w:sz="0" w:space="0" w:color="auto"/>
            <w:right w:val="none" w:sz="0" w:space="0" w:color="auto"/>
          </w:divBdr>
        </w:div>
        <w:div w:id="1144390333">
          <w:marLeft w:val="0"/>
          <w:marRight w:val="0"/>
          <w:marTop w:val="0"/>
          <w:marBottom w:val="0"/>
          <w:divBdr>
            <w:top w:val="none" w:sz="0" w:space="0" w:color="auto"/>
            <w:left w:val="none" w:sz="0" w:space="0" w:color="auto"/>
            <w:bottom w:val="none" w:sz="0" w:space="0" w:color="auto"/>
            <w:right w:val="none" w:sz="0" w:space="0" w:color="auto"/>
          </w:divBdr>
        </w:div>
        <w:div w:id="125632651">
          <w:marLeft w:val="0"/>
          <w:marRight w:val="0"/>
          <w:marTop w:val="0"/>
          <w:marBottom w:val="0"/>
          <w:divBdr>
            <w:top w:val="none" w:sz="0" w:space="0" w:color="auto"/>
            <w:left w:val="none" w:sz="0" w:space="0" w:color="auto"/>
            <w:bottom w:val="none" w:sz="0" w:space="0" w:color="auto"/>
            <w:right w:val="none" w:sz="0" w:space="0" w:color="auto"/>
          </w:divBdr>
        </w:div>
        <w:div w:id="1436906562">
          <w:marLeft w:val="0"/>
          <w:marRight w:val="0"/>
          <w:marTop w:val="0"/>
          <w:marBottom w:val="0"/>
          <w:divBdr>
            <w:top w:val="none" w:sz="0" w:space="0" w:color="auto"/>
            <w:left w:val="none" w:sz="0" w:space="0" w:color="auto"/>
            <w:bottom w:val="none" w:sz="0" w:space="0" w:color="auto"/>
            <w:right w:val="none" w:sz="0" w:space="0" w:color="auto"/>
          </w:divBdr>
        </w:div>
        <w:div w:id="765925416">
          <w:marLeft w:val="0"/>
          <w:marRight w:val="0"/>
          <w:marTop w:val="0"/>
          <w:marBottom w:val="0"/>
          <w:divBdr>
            <w:top w:val="none" w:sz="0" w:space="0" w:color="auto"/>
            <w:left w:val="none" w:sz="0" w:space="0" w:color="auto"/>
            <w:bottom w:val="none" w:sz="0" w:space="0" w:color="auto"/>
            <w:right w:val="none" w:sz="0" w:space="0" w:color="auto"/>
          </w:divBdr>
        </w:div>
        <w:div w:id="1421102351">
          <w:marLeft w:val="0"/>
          <w:marRight w:val="0"/>
          <w:marTop w:val="0"/>
          <w:marBottom w:val="0"/>
          <w:divBdr>
            <w:top w:val="none" w:sz="0" w:space="0" w:color="auto"/>
            <w:left w:val="none" w:sz="0" w:space="0" w:color="auto"/>
            <w:bottom w:val="none" w:sz="0" w:space="0" w:color="auto"/>
            <w:right w:val="none" w:sz="0" w:space="0" w:color="auto"/>
          </w:divBdr>
        </w:div>
        <w:div w:id="1272325959">
          <w:marLeft w:val="0"/>
          <w:marRight w:val="0"/>
          <w:marTop w:val="0"/>
          <w:marBottom w:val="0"/>
          <w:divBdr>
            <w:top w:val="none" w:sz="0" w:space="0" w:color="auto"/>
            <w:left w:val="none" w:sz="0" w:space="0" w:color="auto"/>
            <w:bottom w:val="none" w:sz="0" w:space="0" w:color="auto"/>
            <w:right w:val="none" w:sz="0" w:space="0" w:color="auto"/>
          </w:divBdr>
        </w:div>
        <w:div w:id="1591964056">
          <w:marLeft w:val="0"/>
          <w:marRight w:val="0"/>
          <w:marTop w:val="0"/>
          <w:marBottom w:val="0"/>
          <w:divBdr>
            <w:top w:val="none" w:sz="0" w:space="0" w:color="auto"/>
            <w:left w:val="none" w:sz="0" w:space="0" w:color="auto"/>
            <w:bottom w:val="none" w:sz="0" w:space="0" w:color="auto"/>
            <w:right w:val="none" w:sz="0" w:space="0" w:color="auto"/>
          </w:divBdr>
        </w:div>
        <w:div w:id="1977178100">
          <w:marLeft w:val="0"/>
          <w:marRight w:val="0"/>
          <w:marTop w:val="0"/>
          <w:marBottom w:val="0"/>
          <w:divBdr>
            <w:top w:val="none" w:sz="0" w:space="0" w:color="auto"/>
            <w:left w:val="none" w:sz="0" w:space="0" w:color="auto"/>
            <w:bottom w:val="none" w:sz="0" w:space="0" w:color="auto"/>
            <w:right w:val="none" w:sz="0" w:space="0" w:color="auto"/>
          </w:divBdr>
        </w:div>
        <w:div w:id="1465343400">
          <w:marLeft w:val="0"/>
          <w:marRight w:val="0"/>
          <w:marTop w:val="0"/>
          <w:marBottom w:val="0"/>
          <w:divBdr>
            <w:top w:val="none" w:sz="0" w:space="0" w:color="auto"/>
            <w:left w:val="none" w:sz="0" w:space="0" w:color="auto"/>
            <w:bottom w:val="none" w:sz="0" w:space="0" w:color="auto"/>
            <w:right w:val="none" w:sz="0" w:space="0" w:color="auto"/>
          </w:divBdr>
        </w:div>
        <w:div w:id="654071581">
          <w:marLeft w:val="0"/>
          <w:marRight w:val="0"/>
          <w:marTop w:val="0"/>
          <w:marBottom w:val="0"/>
          <w:divBdr>
            <w:top w:val="none" w:sz="0" w:space="0" w:color="auto"/>
            <w:left w:val="none" w:sz="0" w:space="0" w:color="auto"/>
            <w:bottom w:val="none" w:sz="0" w:space="0" w:color="auto"/>
            <w:right w:val="none" w:sz="0" w:space="0" w:color="auto"/>
          </w:divBdr>
        </w:div>
        <w:div w:id="434129638">
          <w:marLeft w:val="0"/>
          <w:marRight w:val="0"/>
          <w:marTop w:val="0"/>
          <w:marBottom w:val="0"/>
          <w:divBdr>
            <w:top w:val="none" w:sz="0" w:space="0" w:color="auto"/>
            <w:left w:val="none" w:sz="0" w:space="0" w:color="auto"/>
            <w:bottom w:val="none" w:sz="0" w:space="0" w:color="auto"/>
            <w:right w:val="none" w:sz="0" w:space="0" w:color="auto"/>
          </w:divBdr>
        </w:div>
        <w:div w:id="1994989798">
          <w:marLeft w:val="0"/>
          <w:marRight w:val="0"/>
          <w:marTop w:val="0"/>
          <w:marBottom w:val="0"/>
          <w:divBdr>
            <w:top w:val="none" w:sz="0" w:space="0" w:color="auto"/>
            <w:left w:val="none" w:sz="0" w:space="0" w:color="auto"/>
            <w:bottom w:val="none" w:sz="0" w:space="0" w:color="auto"/>
            <w:right w:val="none" w:sz="0" w:space="0" w:color="auto"/>
          </w:divBdr>
        </w:div>
        <w:div w:id="380592136">
          <w:marLeft w:val="0"/>
          <w:marRight w:val="0"/>
          <w:marTop w:val="0"/>
          <w:marBottom w:val="0"/>
          <w:divBdr>
            <w:top w:val="none" w:sz="0" w:space="0" w:color="auto"/>
            <w:left w:val="none" w:sz="0" w:space="0" w:color="auto"/>
            <w:bottom w:val="none" w:sz="0" w:space="0" w:color="auto"/>
            <w:right w:val="none" w:sz="0" w:space="0" w:color="auto"/>
          </w:divBdr>
        </w:div>
        <w:div w:id="722220664">
          <w:marLeft w:val="0"/>
          <w:marRight w:val="0"/>
          <w:marTop w:val="0"/>
          <w:marBottom w:val="0"/>
          <w:divBdr>
            <w:top w:val="none" w:sz="0" w:space="0" w:color="auto"/>
            <w:left w:val="none" w:sz="0" w:space="0" w:color="auto"/>
            <w:bottom w:val="none" w:sz="0" w:space="0" w:color="auto"/>
            <w:right w:val="none" w:sz="0" w:space="0" w:color="auto"/>
          </w:divBdr>
        </w:div>
        <w:div w:id="604725531">
          <w:marLeft w:val="0"/>
          <w:marRight w:val="0"/>
          <w:marTop w:val="0"/>
          <w:marBottom w:val="0"/>
          <w:divBdr>
            <w:top w:val="none" w:sz="0" w:space="0" w:color="auto"/>
            <w:left w:val="none" w:sz="0" w:space="0" w:color="auto"/>
            <w:bottom w:val="none" w:sz="0" w:space="0" w:color="auto"/>
            <w:right w:val="none" w:sz="0" w:space="0" w:color="auto"/>
          </w:divBdr>
        </w:div>
        <w:div w:id="2029521126">
          <w:marLeft w:val="0"/>
          <w:marRight w:val="0"/>
          <w:marTop w:val="0"/>
          <w:marBottom w:val="0"/>
          <w:divBdr>
            <w:top w:val="none" w:sz="0" w:space="0" w:color="auto"/>
            <w:left w:val="none" w:sz="0" w:space="0" w:color="auto"/>
            <w:bottom w:val="none" w:sz="0" w:space="0" w:color="auto"/>
            <w:right w:val="none" w:sz="0" w:space="0" w:color="auto"/>
          </w:divBdr>
        </w:div>
        <w:div w:id="1487824177">
          <w:marLeft w:val="0"/>
          <w:marRight w:val="0"/>
          <w:marTop w:val="0"/>
          <w:marBottom w:val="0"/>
          <w:divBdr>
            <w:top w:val="none" w:sz="0" w:space="0" w:color="auto"/>
            <w:left w:val="none" w:sz="0" w:space="0" w:color="auto"/>
            <w:bottom w:val="none" w:sz="0" w:space="0" w:color="auto"/>
            <w:right w:val="none" w:sz="0" w:space="0" w:color="auto"/>
          </w:divBdr>
        </w:div>
        <w:div w:id="955987634">
          <w:marLeft w:val="0"/>
          <w:marRight w:val="0"/>
          <w:marTop w:val="0"/>
          <w:marBottom w:val="0"/>
          <w:divBdr>
            <w:top w:val="none" w:sz="0" w:space="0" w:color="auto"/>
            <w:left w:val="none" w:sz="0" w:space="0" w:color="auto"/>
            <w:bottom w:val="none" w:sz="0" w:space="0" w:color="auto"/>
            <w:right w:val="none" w:sz="0" w:space="0" w:color="auto"/>
          </w:divBdr>
        </w:div>
        <w:div w:id="1850480940">
          <w:marLeft w:val="0"/>
          <w:marRight w:val="0"/>
          <w:marTop w:val="0"/>
          <w:marBottom w:val="0"/>
          <w:divBdr>
            <w:top w:val="none" w:sz="0" w:space="0" w:color="auto"/>
            <w:left w:val="none" w:sz="0" w:space="0" w:color="auto"/>
            <w:bottom w:val="none" w:sz="0" w:space="0" w:color="auto"/>
            <w:right w:val="none" w:sz="0" w:space="0" w:color="auto"/>
          </w:divBdr>
        </w:div>
      </w:divsChild>
    </w:div>
    <w:div w:id="1202133932">
      <w:bodyDiv w:val="1"/>
      <w:marLeft w:val="0"/>
      <w:marRight w:val="0"/>
      <w:marTop w:val="0"/>
      <w:marBottom w:val="0"/>
      <w:divBdr>
        <w:top w:val="none" w:sz="0" w:space="0" w:color="auto"/>
        <w:left w:val="none" w:sz="0" w:space="0" w:color="auto"/>
        <w:bottom w:val="none" w:sz="0" w:space="0" w:color="auto"/>
        <w:right w:val="none" w:sz="0" w:space="0" w:color="auto"/>
      </w:divBdr>
    </w:div>
    <w:div w:id="1224291237">
      <w:bodyDiv w:val="1"/>
      <w:marLeft w:val="0"/>
      <w:marRight w:val="0"/>
      <w:marTop w:val="0"/>
      <w:marBottom w:val="0"/>
      <w:divBdr>
        <w:top w:val="none" w:sz="0" w:space="0" w:color="auto"/>
        <w:left w:val="none" w:sz="0" w:space="0" w:color="auto"/>
        <w:bottom w:val="none" w:sz="0" w:space="0" w:color="auto"/>
        <w:right w:val="none" w:sz="0" w:space="0" w:color="auto"/>
      </w:divBdr>
    </w:div>
    <w:div w:id="1273434214">
      <w:bodyDiv w:val="1"/>
      <w:marLeft w:val="0"/>
      <w:marRight w:val="0"/>
      <w:marTop w:val="0"/>
      <w:marBottom w:val="0"/>
      <w:divBdr>
        <w:top w:val="none" w:sz="0" w:space="0" w:color="auto"/>
        <w:left w:val="none" w:sz="0" w:space="0" w:color="auto"/>
        <w:bottom w:val="none" w:sz="0" w:space="0" w:color="auto"/>
        <w:right w:val="none" w:sz="0" w:space="0" w:color="auto"/>
      </w:divBdr>
      <w:divsChild>
        <w:div w:id="1361973308">
          <w:marLeft w:val="0"/>
          <w:marRight w:val="0"/>
          <w:marTop w:val="0"/>
          <w:marBottom w:val="0"/>
          <w:divBdr>
            <w:top w:val="none" w:sz="0" w:space="0" w:color="auto"/>
            <w:left w:val="none" w:sz="0" w:space="0" w:color="auto"/>
            <w:bottom w:val="none" w:sz="0" w:space="0" w:color="auto"/>
            <w:right w:val="none" w:sz="0" w:space="0" w:color="auto"/>
          </w:divBdr>
        </w:div>
        <w:div w:id="1496535082">
          <w:marLeft w:val="0"/>
          <w:marRight w:val="0"/>
          <w:marTop w:val="0"/>
          <w:marBottom w:val="0"/>
          <w:divBdr>
            <w:top w:val="none" w:sz="0" w:space="0" w:color="auto"/>
            <w:left w:val="none" w:sz="0" w:space="0" w:color="auto"/>
            <w:bottom w:val="none" w:sz="0" w:space="0" w:color="auto"/>
            <w:right w:val="none" w:sz="0" w:space="0" w:color="auto"/>
          </w:divBdr>
        </w:div>
        <w:div w:id="1916816083">
          <w:marLeft w:val="0"/>
          <w:marRight w:val="0"/>
          <w:marTop w:val="0"/>
          <w:marBottom w:val="0"/>
          <w:divBdr>
            <w:top w:val="none" w:sz="0" w:space="0" w:color="auto"/>
            <w:left w:val="none" w:sz="0" w:space="0" w:color="auto"/>
            <w:bottom w:val="none" w:sz="0" w:space="0" w:color="auto"/>
            <w:right w:val="none" w:sz="0" w:space="0" w:color="auto"/>
          </w:divBdr>
        </w:div>
        <w:div w:id="595946690">
          <w:marLeft w:val="0"/>
          <w:marRight w:val="0"/>
          <w:marTop w:val="0"/>
          <w:marBottom w:val="0"/>
          <w:divBdr>
            <w:top w:val="none" w:sz="0" w:space="0" w:color="auto"/>
            <w:left w:val="none" w:sz="0" w:space="0" w:color="auto"/>
            <w:bottom w:val="none" w:sz="0" w:space="0" w:color="auto"/>
            <w:right w:val="none" w:sz="0" w:space="0" w:color="auto"/>
          </w:divBdr>
        </w:div>
        <w:div w:id="1705443534">
          <w:marLeft w:val="0"/>
          <w:marRight w:val="0"/>
          <w:marTop w:val="0"/>
          <w:marBottom w:val="0"/>
          <w:divBdr>
            <w:top w:val="none" w:sz="0" w:space="0" w:color="auto"/>
            <w:left w:val="none" w:sz="0" w:space="0" w:color="auto"/>
            <w:bottom w:val="none" w:sz="0" w:space="0" w:color="auto"/>
            <w:right w:val="none" w:sz="0" w:space="0" w:color="auto"/>
          </w:divBdr>
        </w:div>
        <w:div w:id="1708335922">
          <w:marLeft w:val="0"/>
          <w:marRight w:val="0"/>
          <w:marTop w:val="0"/>
          <w:marBottom w:val="0"/>
          <w:divBdr>
            <w:top w:val="none" w:sz="0" w:space="0" w:color="auto"/>
            <w:left w:val="none" w:sz="0" w:space="0" w:color="auto"/>
            <w:bottom w:val="none" w:sz="0" w:space="0" w:color="auto"/>
            <w:right w:val="none" w:sz="0" w:space="0" w:color="auto"/>
          </w:divBdr>
        </w:div>
        <w:div w:id="1125808677">
          <w:marLeft w:val="0"/>
          <w:marRight w:val="0"/>
          <w:marTop w:val="0"/>
          <w:marBottom w:val="0"/>
          <w:divBdr>
            <w:top w:val="none" w:sz="0" w:space="0" w:color="auto"/>
            <w:left w:val="none" w:sz="0" w:space="0" w:color="auto"/>
            <w:bottom w:val="none" w:sz="0" w:space="0" w:color="auto"/>
            <w:right w:val="none" w:sz="0" w:space="0" w:color="auto"/>
          </w:divBdr>
        </w:div>
        <w:div w:id="337510684">
          <w:marLeft w:val="0"/>
          <w:marRight w:val="0"/>
          <w:marTop w:val="0"/>
          <w:marBottom w:val="0"/>
          <w:divBdr>
            <w:top w:val="none" w:sz="0" w:space="0" w:color="auto"/>
            <w:left w:val="none" w:sz="0" w:space="0" w:color="auto"/>
            <w:bottom w:val="none" w:sz="0" w:space="0" w:color="auto"/>
            <w:right w:val="none" w:sz="0" w:space="0" w:color="auto"/>
          </w:divBdr>
        </w:div>
        <w:div w:id="92166795">
          <w:marLeft w:val="0"/>
          <w:marRight w:val="0"/>
          <w:marTop w:val="0"/>
          <w:marBottom w:val="0"/>
          <w:divBdr>
            <w:top w:val="none" w:sz="0" w:space="0" w:color="auto"/>
            <w:left w:val="none" w:sz="0" w:space="0" w:color="auto"/>
            <w:bottom w:val="none" w:sz="0" w:space="0" w:color="auto"/>
            <w:right w:val="none" w:sz="0" w:space="0" w:color="auto"/>
          </w:divBdr>
        </w:div>
        <w:div w:id="530412693">
          <w:marLeft w:val="0"/>
          <w:marRight w:val="0"/>
          <w:marTop w:val="0"/>
          <w:marBottom w:val="0"/>
          <w:divBdr>
            <w:top w:val="none" w:sz="0" w:space="0" w:color="auto"/>
            <w:left w:val="none" w:sz="0" w:space="0" w:color="auto"/>
            <w:bottom w:val="none" w:sz="0" w:space="0" w:color="auto"/>
            <w:right w:val="none" w:sz="0" w:space="0" w:color="auto"/>
          </w:divBdr>
        </w:div>
        <w:div w:id="670067087">
          <w:marLeft w:val="0"/>
          <w:marRight w:val="0"/>
          <w:marTop w:val="0"/>
          <w:marBottom w:val="0"/>
          <w:divBdr>
            <w:top w:val="none" w:sz="0" w:space="0" w:color="auto"/>
            <w:left w:val="none" w:sz="0" w:space="0" w:color="auto"/>
            <w:bottom w:val="none" w:sz="0" w:space="0" w:color="auto"/>
            <w:right w:val="none" w:sz="0" w:space="0" w:color="auto"/>
          </w:divBdr>
        </w:div>
        <w:div w:id="1289970933">
          <w:marLeft w:val="0"/>
          <w:marRight w:val="0"/>
          <w:marTop w:val="0"/>
          <w:marBottom w:val="0"/>
          <w:divBdr>
            <w:top w:val="none" w:sz="0" w:space="0" w:color="auto"/>
            <w:left w:val="none" w:sz="0" w:space="0" w:color="auto"/>
            <w:bottom w:val="none" w:sz="0" w:space="0" w:color="auto"/>
            <w:right w:val="none" w:sz="0" w:space="0" w:color="auto"/>
          </w:divBdr>
        </w:div>
        <w:div w:id="592394285">
          <w:marLeft w:val="0"/>
          <w:marRight w:val="0"/>
          <w:marTop w:val="0"/>
          <w:marBottom w:val="0"/>
          <w:divBdr>
            <w:top w:val="none" w:sz="0" w:space="0" w:color="auto"/>
            <w:left w:val="none" w:sz="0" w:space="0" w:color="auto"/>
            <w:bottom w:val="none" w:sz="0" w:space="0" w:color="auto"/>
            <w:right w:val="none" w:sz="0" w:space="0" w:color="auto"/>
          </w:divBdr>
        </w:div>
        <w:div w:id="615449755">
          <w:marLeft w:val="0"/>
          <w:marRight w:val="0"/>
          <w:marTop w:val="0"/>
          <w:marBottom w:val="0"/>
          <w:divBdr>
            <w:top w:val="none" w:sz="0" w:space="0" w:color="auto"/>
            <w:left w:val="none" w:sz="0" w:space="0" w:color="auto"/>
            <w:bottom w:val="none" w:sz="0" w:space="0" w:color="auto"/>
            <w:right w:val="none" w:sz="0" w:space="0" w:color="auto"/>
          </w:divBdr>
        </w:div>
        <w:div w:id="969288780">
          <w:marLeft w:val="0"/>
          <w:marRight w:val="0"/>
          <w:marTop w:val="0"/>
          <w:marBottom w:val="0"/>
          <w:divBdr>
            <w:top w:val="none" w:sz="0" w:space="0" w:color="auto"/>
            <w:left w:val="none" w:sz="0" w:space="0" w:color="auto"/>
            <w:bottom w:val="none" w:sz="0" w:space="0" w:color="auto"/>
            <w:right w:val="none" w:sz="0" w:space="0" w:color="auto"/>
          </w:divBdr>
        </w:div>
        <w:div w:id="2080594934">
          <w:marLeft w:val="0"/>
          <w:marRight w:val="0"/>
          <w:marTop w:val="0"/>
          <w:marBottom w:val="0"/>
          <w:divBdr>
            <w:top w:val="none" w:sz="0" w:space="0" w:color="auto"/>
            <w:left w:val="none" w:sz="0" w:space="0" w:color="auto"/>
            <w:bottom w:val="none" w:sz="0" w:space="0" w:color="auto"/>
            <w:right w:val="none" w:sz="0" w:space="0" w:color="auto"/>
          </w:divBdr>
        </w:div>
        <w:div w:id="177350086">
          <w:marLeft w:val="0"/>
          <w:marRight w:val="0"/>
          <w:marTop w:val="0"/>
          <w:marBottom w:val="0"/>
          <w:divBdr>
            <w:top w:val="none" w:sz="0" w:space="0" w:color="auto"/>
            <w:left w:val="none" w:sz="0" w:space="0" w:color="auto"/>
            <w:bottom w:val="none" w:sz="0" w:space="0" w:color="auto"/>
            <w:right w:val="none" w:sz="0" w:space="0" w:color="auto"/>
          </w:divBdr>
        </w:div>
        <w:div w:id="706836582">
          <w:marLeft w:val="0"/>
          <w:marRight w:val="0"/>
          <w:marTop w:val="0"/>
          <w:marBottom w:val="0"/>
          <w:divBdr>
            <w:top w:val="none" w:sz="0" w:space="0" w:color="auto"/>
            <w:left w:val="none" w:sz="0" w:space="0" w:color="auto"/>
            <w:bottom w:val="none" w:sz="0" w:space="0" w:color="auto"/>
            <w:right w:val="none" w:sz="0" w:space="0" w:color="auto"/>
          </w:divBdr>
        </w:div>
        <w:div w:id="19279994">
          <w:marLeft w:val="0"/>
          <w:marRight w:val="0"/>
          <w:marTop w:val="0"/>
          <w:marBottom w:val="0"/>
          <w:divBdr>
            <w:top w:val="none" w:sz="0" w:space="0" w:color="auto"/>
            <w:left w:val="none" w:sz="0" w:space="0" w:color="auto"/>
            <w:bottom w:val="none" w:sz="0" w:space="0" w:color="auto"/>
            <w:right w:val="none" w:sz="0" w:space="0" w:color="auto"/>
          </w:divBdr>
        </w:div>
      </w:divsChild>
    </w:div>
    <w:div w:id="1404333063">
      <w:bodyDiv w:val="1"/>
      <w:marLeft w:val="0"/>
      <w:marRight w:val="0"/>
      <w:marTop w:val="0"/>
      <w:marBottom w:val="0"/>
      <w:divBdr>
        <w:top w:val="none" w:sz="0" w:space="0" w:color="auto"/>
        <w:left w:val="none" w:sz="0" w:space="0" w:color="auto"/>
        <w:bottom w:val="none" w:sz="0" w:space="0" w:color="auto"/>
        <w:right w:val="none" w:sz="0" w:space="0" w:color="auto"/>
      </w:divBdr>
    </w:div>
    <w:div w:id="1413695443">
      <w:bodyDiv w:val="1"/>
      <w:marLeft w:val="0"/>
      <w:marRight w:val="0"/>
      <w:marTop w:val="0"/>
      <w:marBottom w:val="0"/>
      <w:divBdr>
        <w:top w:val="none" w:sz="0" w:space="0" w:color="auto"/>
        <w:left w:val="none" w:sz="0" w:space="0" w:color="auto"/>
        <w:bottom w:val="none" w:sz="0" w:space="0" w:color="auto"/>
        <w:right w:val="none" w:sz="0" w:space="0" w:color="auto"/>
      </w:divBdr>
      <w:divsChild>
        <w:div w:id="915674335">
          <w:marLeft w:val="0"/>
          <w:marRight w:val="0"/>
          <w:marTop w:val="0"/>
          <w:marBottom w:val="0"/>
          <w:divBdr>
            <w:top w:val="none" w:sz="0" w:space="0" w:color="auto"/>
            <w:left w:val="none" w:sz="0" w:space="0" w:color="auto"/>
            <w:bottom w:val="none" w:sz="0" w:space="0" w:color="auto"/>
            <w:right w:val="none" w:sz="0" w:space="0" w:color="auto"/>
          </w:divBdr>
        </w:div>
        <w:div w:id="937446330">
          <w:marLeft w:val="0"/>
          <w:marRight w:val="0"/>
          <w:marTop w:val="0"/>
          <w:marBottom w:val="0"/>
          <w:divBdr>
            <w:top w:val="none" w:sz="0" w:space="0" w:color="auto"/>
            <w:left w:val="none" w:sz="0" w:space="0" w:color="auto"/>
            <w:bottom w:val="none" w:sz="0" w:space="0" w:color="auto"/>
            <w:right w:val="none" w:sz="0" w:space="0" w:color="auto"/>
          </w:divBdr>
        </w:div>
        <w:div w:id="862982097">
          <w:marLeft w:val="0"/>
          <w:marRight w:val="0"/>
          <w:marTop w:val="0"/>
          <w:marBottom w:val="0"/>
          <w:divBdr>
            <w:top w:val="none" w:sz="0" w:space="0" w:color="auto"/>
            <w:left w:val="none" w:sz="0" w:space="0" w:color="auto"/>
            <w:bottom w:val="none" w:sz="0" w:space="0" w:color="auto"/>
            <w:right w:val="none" w:sz="0" w:space="0" w:color="auto"/>
          </w:divBdr>
        </w:div>
        <w:div w:id="1333676785">
          <w:marLeft w:val="0"/>
          <w:marRight w:val="0"/>
          <w:marTop w:val="0"/>
          <w:marBottom w:val="0"/>
          <w:divBdr>
            <w:top w:val="none" w:sz="0" w:space="0" w:color="auto"/>
            <w:left w:val="none" w:sz="0" w:space="0" w:color="auto"/>
            <w:bottom w:val="none" w:sz="0" w:space="0" w:color="auto"/>
            <w:right w:val="none" w:sz="0" w:space="0" w:color="auto"/>
          </w:divBdr>
        </w:div>
        <w:div w:id="586617046">
          <w:marLeft w:val="0"/>
          <w:marRight w:val="0"/>
          <w:marTop w:val="0"/>
          <w:marBottom w:val="0"/>
          <w:divBdr>
            <w:top w:val="none" w:sz="0" w:space="0" w:color="auto"/>
            <w:left w:val="none" w:sz="0" w:space="0" w:color="auto"/>
            <w:bottom w:val="none" w:sz="0" w:space="0" w:color="auto"/>
            <w:right w:val="none" w:sz="0" w:space="0" w:color="auto"/>
          </w:divBdr>
        </w:div>
        <w:div w:id="2125540927">
          <w:marLeft w:val="0"/>
          <w:marRight w:val="0"/>
          <w:marTop w:val="0"/>
          <w:marBottom w:val="0"/>
          <w:divBdr>
            <w:top w:val="none" w:sz="0" w:space="0" w:color="auto"/>
            <w:left w:val="none" w:sz="0" w:space="0" w:color="auto"/>
            <w:bottom w:val="none" w:sz="0" w:space="0" w:color="auto"/>
            <w:right w:val="none" w:sz="0" w:space="0" w:color="auto"/>
          </w:divBdr>
        </w:div>
        <w:div w:id="1244293884">
          <w:marLeft w:val="0"/>
          <w:marRight w:val="0"/>
          <w:marTop w:val="0"/>
          <w:marBottom w:val="0"/>
          <w:divBdr>
            <w:top w:val="none" w:sz="0" w:space="0" w:color="auto"/>
            <w:left w:val="none" w:sz="0" w:space="0" w:color="auto"/>
            <w:bottom w:val="none" w:sz="0" w:space="0" w:color="auto"/>
            <w:right w:val="none" w:sz="0" w:space="0" w:color="auto"/>
          </w:divBdr>
        </w:div>
        <w:div w:id="1850096890">
          <w:marLeft w:val="0"/>
          <w:marRight w:val="0"/>
          <w:marTop w:val="0"/>
          <w:marBottom w:val="0"/>
          <w:divBdr>
            <w:top w:val="none" w:sz="0" w:space="0" w:color="auto"/>
            <w:left w:val="none" w:sz="0" w:space="0" w:color="auto"/>
            <w:bottom w:val="none" w:sz="0" w:space="0" w:color="auto"/>
            <w:right w:val="none" w:sz="0" w:space="0" w:color="auto"/>
          </w:divBdr>
        </w:div>
        <w:div w:id="1453667873">
          <w:marLeft w:val="0"/>
          <w:marRight w:val="0"/>
          <w:marTop w:val="0"/>
          <w:marBottom w:val="0"/>
          <w:divBdr>
            <w:top w:val="none" w:sz="0" w:space="0" w:color="auto"/>
            <w:left w:val="none" w:sz="0" w:space="0" w:color="auto"/>
            <w:bottom w:val="none" w:sz="0" w:space="0" w:color="auto"/>
            <w:right w:val="none" w:sz="0" w:space="0" w:color="auto"/>
          </w:divBdr>
        </w:div>
        <w:div w:id="801459804">
          <w:marLeft w:val="0"/>
          <w:marRight w:val="0"/>
          <w:marTop w:val="0"/>
          <w:marBottom w:val="0"/>
          <w:divBdr>
            <w:top w:val="none" w:sz="0" w:space="0" w:color="auto"/>
            <w:left w:val="none" w:sz="0" w:space="0" w:color="auto"/>
            <w:bottom w:val="none" w:sz="0" w:space="0" w:color="auto"/>
            <w:right w:val="none" w:sz="0" w:space="0" w:color="auto"/>
          </w:divBdr>
        </w:div>
        <w:div w:id="967705660">
          <w:marLeft w:val="0"/>
          <w:marRight w:val="0"/>
          <w:marTop w:val="0"/>
          <w:marBottom w:val="0"/>
          <w:divBdr>
            <w:top w:val="none" w:sz="0" w:space="0" w:color="auto"/>
            <w:left w:val="none" w:sz="0" w:space="0" w:color="auto"/>
            <w:bottom w:val="none" w:sz="0" w:space="0" w:color="auto"/>
            <w:right w:val="none" w:sz="0" w:space="0" w:color="auto"/>
          </w:divBdr>
        </w:div>
        <w:div w:id="219677645">
          <w:marLeft w:val="0"/>
          <w:marRight w:val="0"/>
          <w:marTop w:val="0"/>
          <w:marBottom w:val="0"/>
          <w:divBdr>
            <w:top w:val="none" w:sz="0" w:space="0" w:color="auto"/>
            <w:left w:val="none" w:sz="0" w:space="0" w:color="auto"/>
            <w:bottom w:val="none" w:sz="0" w:space="0" w:color="auto"/>
            <w:right w:val="none" w:sz="0" w:space="0" w:color="auto"/>
          </w:divBdr>
        </w:div>
        <w:div w:id="1200892548">
          <w:marLeft w:val="0"/>
          <w:marRight w:val="0"/>
          <w:marTop w:val="0"/>
          <w:marBottom w:val="0"/>
          <w:divBdr>
            <w:top w:val="none" w:sz="0" w:space="0" w:color="auto"/>
            <w:left w:val="none" w:sz="0" w:space="0" w:color="auto"/>
            <w:bottom w:val="none" w:sz="0" w:space="0" w:color="auto"/>
            <w:right w:val="none" w:sz="0" w:space="0" w:color="auto"/>
          </w:divBdr>
        </w:div>
        <w:div w:id="199783849">
          <w:marLeft w:val="0"/>
          <w:marRight w:val="0"/>
          <w:marTop w:val="0"/>
          <w:marBottom w:val="0"/>
          <w:divBdr>
            <w:top w:val="none" w:sz="0" w:space="0" w:color="auto"/>
            <w:left w:val="none" w:sz="0" w:space="0" w:color="auto"/>
            <w:bottom w:val="none" w:sz="0" w:space="0" w:color="auto"/>
            <w:right w:val="none" w:sz="0" w:space="0" w:color="auto"/>
          </w:divBdr>
        </w:div>
        <w:div w:id="258416697">
          <w:marLeft w:val="0"/>
          <w:marRight w:val="0"/>
          <w:marTop w:val="0"/>
          <w:marBottom w:val="0"/>
          <w:divBdr>
            <w:top w:val="none" w:sz="0" w:space="0" w:color="auto"/>
            <w:left w:val="none" w:sz="0" w:space="0" w:color="auto"/>
            <w:bottom w:val="none" w:sz="0" w:space="0" w:color="auto"/>
            <w:right w:val="none" w:sz="0" w:space="0" w:color="auto"/>
          </w:divBdr>
        </w:div>
        <w:div w:id="1287350246">
          <w:marLeft w:val="0"/>
          <w:marRight w:val="0"/>
          <w:marTop w:val="0"/>
          <w:marBottom w:val="0"/>
          <w:divBdr>
            <w:top w:val="none" w:sz="0" w:space="0" w:color="auto"/>
            <w:left w:val="none" w:sz="0" w:space="0" w:color="auto"/>
            <w:bottom w:val="none" w:sz="0" w:space="0" w:color="auto"/>
            <w:right w:val="none" w:sz="0" w:space="0" w:color="auto"/>
          </w:divBdr>
        </w:div>
        <w:div w:id="220755017">
          <w:marLeft w:val="0"/>
          <w:marRight w:val="0"/>
          <w:marTop w:val="0"/>
          <w:marBottom w:val="0"/>
          <w:divBdr>
            <w:top w:val="none" w:sz="0" w:space="0" w:color="auto"/>
            <w:left w:val="none" w:sz="0" w:space="0" w:color="auto"/>
            <w:bottom w:val="none" w:sz="0" w:space="0" w:color="auto"/>
            <w:right w:val="none" w:sz="0" w:space="0" w:color="auto"/>
          </w:divBdr>
        </w:div>
        <w:div w:id="980960470">
          <w:marLeft w:val="0"/>
          <w:marRight w:val="0"/>
          <w:marTop w:val="0"/>
          <w:marBottom w:val="0"/>
          <w:divBdr>
            <w:top w:val="none" w:sz="0" w:space="0" w:color="auto"/>
            <w:left w:val="none" w:sz="0" w:space="0" w:color="auto"/>
            <w:bottom w:val="none" w:sz="0" w:space="0" w:color="auto"/>
            <w:right w:val="none" w:sz="0" w:space="0" w:color="auto"/>
          </w:divBdr>
        </w:div>
        <w:div w:id="1587302365">
          <w:marLeft w:val="0"/>
          <w:marRight w:val="0"/>
          <w:marTop w:val="0"/>
          <w:marBottom w:val="0"/>
          <w:divBdr>
            <w:top w:val="none" w:sz="0" w:space="0" w:color="auto"/>
            <w:left w:val="none" w:sz="0" w:space="0" w:color="auto"/>
            <w:bottom w:val="none" w:sz="0" w:space="0" w:color="auto"/>
            <w:right w:val="none" w:sz="0" w:space="0" w:color="auto"/>
          </w:divBdr>
        </w:div>
        <w:div w:id="1813281157">
          <w:marLeft w:val="0"/>
          <w:marRight w:val="0"/>
          <w:marTop w:val="0"/>
          <w:marBottom w:val="0"/>
          <w:divBdr>
            <w:top w:val="none" w:sz="0" w:space="0" w:color="auto"/>
            <w:left w:val="none" w:sz="0" w:space="0" w:color="auto"/>
            <w:bottom w:val="none" w:sz="0" w:space="0" w:color="auto"/>
            <w:right w:val="none" w:sz="0" w:space="0" w:color="auto"/>
          </w:divBdr>
        </w:div>
        <w:div w:id="178356158">
          <w:marLeft w:val="0"/>
          <w:marRight w:val="0"/>
          <w:marTop w:val="0"/>
          <w:marBottom w:val="0"/>
          <w:divBdr>
            <w:top w:val="none" w:sz="0" w:space="0" w:color="auto"/>
            <w:left w:val="none" w:sz="0" w:space="0" w:color="auto"/>
            <w:bottom w:val="none" w:sz="0" w:space="0" w:color="auto"/>
            <w:right w:val="none" w:sz="0" w:space="0" w:color="auto"/>
          </w:divBdr>
        </w:div>
        <w:div w:id="1036585286">
          <w:marLeft w:val="0"/>
          <w:marRight w:val="0"/>
          <w:marTop w:val="0"/>
          <w:marBottom w:val="0"/>
          <w:divBdr>
            <w:top w:val="none" w:sz="0" w:space="0" w:color="auto"/>
            <w:left w:val="none" w:sz="0" w:space="0" w:color="auto"/>
            <w:bottom w:val="none" w:sz="0" w:space="0" w:color="auto"/>
            <w:right w:val="none" w:sz="0" w:space="0" w:color="auto"/>
          </w:divBdr>
        </w:div>
      </w:divsChild>
    </w:div>
    <w:div w:id="1429305383">
      <w:bodyDiv w:val="1"/>
      <w:marLeft w:val="0"/>
      <w:marRight w:val="0"/>
      <w:marTop w:val="0"/>
      <w:marBottom w:val="0"/>
      <w:divBdr>
        <w:top w:val="none" w:sz="0" w:space="0" w:color="auto"/>
        <w:left w:val="none" w:sz="0" w:space="0" w:color="auto"/>
        <w:bottom w:val="none" w:sz="0" w:space="0" w:color="auto"/>
        <w:right w:val="none" w:sz="0" w:space="0" w:color="auto"/>
      </w:divBdr>
    </w:div>
    <w:div w:id="1434130456">
      <w:bodyDiv w:val="1"/>
      <w:marLeft w:val="0"/>
      <w:marRight w:val="0"/>
      <w:marTop w:val="0"/>
      <w:marBottom w:val="0"/>
      <w:divBdr>
        <w:top w:val="none" w:sz="0" w:space="0" w:color="auto"/>
        <w:left w:val="none" w:sz="0" w:space="0" w:color="auto"/>
        <w:bottom w:val="none" w:sz="0" w:space="0" w:color="auto"/>
        <w:right w:val="none" w:sz="0" w:space="0" w:color="auto"/>
      </w:divBdr>
    </w:div>
    <w:div w:id="1466973377">
      <w:bodyDiv w:val="1"/>
      <w:marLeft w:val="0"/>
      <w:marRight w:val="0"/>
      <w:marTop w:val="0"/>
      <w:marBottom w:val="0"/>
      <w:divBdr>
        <w:top w:val="none" w:sz="0" w:space="0" w:color="auto"/>
        <w:left w:val="none" w:sz="0" w:space="0" w:color="auto"/>
        <w:bottom w:val="none" w:sz="0" w:space="0" w:color="auto"/>
        <w:right w:val="none" w:sz="0" w:space="0" w:color="auto"/>
      </w:divBdr>
    </w:div>
    <w:div w:id="1482112014">
      <w:bodyDiv w:val="1"/>
      <w:marLeft w:val="0"/>
      <w:marRight w:val="0"/>
      <w:marTop w:val="0"/>
      <w:marBottom w:val="0"/>
      <w:divBdr>
        <w:top w:val="none" w:sz="0" w:space="0" w:color="auto"/>
        <w:left w:val="none" w:sz="0" w:space="0" w:color="auto"/>
        <w:bottom w:val="none" w:sz="0" w:space="0" w:color="auto"/>
        <w:right w:val="none" w:sz="0" w:space="0" w:color="auto"/>
      </w:divBdr>
    </w:div>
    <w:div w:id="1483156163">
      <w:bodyDiv w:val="1"/>
      <w:marLeft w:val="0"/>
      <w:marRight w:val="0"/>
      <w:marTop w:val="0"/>
      <w:marBottom w:val="0"/>
      <w:divBdr>
        <w:top w:val="none" w:sz="0" w:space="0" w:color="auto"/>
        <w:left w:val="none" w:sz="0" w:space="0" w:color="auto"/>
        <w:bottom w:val="none" w:sz="0" w:space="0" w:color="auto"/>
        <w:right w:val="none" w:sz="0" w:space="0" w:color="auto"/>
      </w:divBdr>
    </w:div>
    <w:div w:id="1490945529">
      <w:bodyDiv w:val="1"/>
      <w:marLeft w:val="0"/>
      <w:marRight w:val="0"/>
      <w:marTop w:val="0"/>
      <w:marBottom w:val="0"/>
      <w:divBdr>
        <w:top w:val="none" w:sz="0" w:space="0" w:color="auto"/>
        <w:left w:val="none" w:sz="0" w:space="0" w:color="auto"/>
        <w:bottom w:val="none" w:sz="0" w:space="0" w:color="auto"/>
        <w:right w:val="none" w:sz="0" w:space="0" w:color="auto"/>
      </w:divBdr>
      <w:divsChild>
        <w:div w:id="158426992">
          <w:marLeft w:val="0"/>
          <w:marRight w:val="0"/>
          <w:marTop w:val="0"/>
          <w:marBottom w:val="0"/>
          <w:divBdr>
            <w:top w:val="none" w:sz="0" w:space="0" w:color="auto"/>
            <w:left w:val="none" w:sz="0" w:space="0" w:color="auto"/>
            <w:bottom w:val="none" w:sz="0" w:space="0" w:color="auto"/>
            <w:right w:val="none" w:sz="0" w:space="0" w:color="auto"/>
          </w:divBdr>
          <w:divsChild>
            <w:div w:id="1108504010">
              <w:marLeft w:val="0"/>
              <w:marRight w:val="0"/>
              <w:marTop w:val="0"/>
              <w:marBottom w:val="0"/>
              <w:divBdr>
                <w:top w:val="none" w:sz="0" w:space="0" w:color="auto"/>
                <w:left w:val="none" w:sz="0" w:space="0" w:color="auto"/>
                <w:bottom w:val="none" w:sz="0" w:space="0" w:color="auto"/>
                <w:right w:val="none" w:sz="0" w:space="0" w:color="auto"/>
              </w:divBdr>
              <w:divsChild>
                <w:div w:id="384642880">
                  <w:marLeft w:val="0"/>
                  <w:marRight w:val="0"/>
                  <w:marTop w:val="0"/>
                  <w:marBottom w:val="0"/>
                  <w:divBdr>
                    <w:top w:val="none" w:sz="0" w:space="0" w:color="auto"/>
                    <w:left w:val="none" w:sz="0" w:space="0" w:color="auto"/>
                    <w:bottom w:val="none" w:sz="0" w:space="0" w:color="auto"/>
                    <w:right w:val="none" w:sz="0" w:space="0" w:color="auto"/>
                  </w:divBdr>
                  <w:divsChild>
                    <w:div w:id="13915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513205">
      <w:bodyDiv w:val="1"/>
      <w:marLeft w:val="0"/>
      <w:marRight w:val="0"/>
      <w:marTop w:val="0"/>
      <w:marBottom w:val="0"/>
      <w:divBdr>
        <w:top w:val="none" w:sz="0" w:space="0" w:color="auto"/>
        <w:left w:val="none" w:sz="0" w:space="0" w:color="auto"/>
        <w:bottom w:val="none" w:sz="0" w:space="0" w:color="auto"/>
        <w:right w:val="none" w:sz="0" w:space="0" w:color="auto"/>
      </w:divBdr>
    </w:div>
    <w:div w:id="1509326238">
      <w:bodyDiv w:val="1"/>
      <w:marLeft w:val="0"/>
      <w:marRight w:val="0"/>
      <w:marTop w:val="0"/>
      <w:marBottom w:val="0"/>
      <w:divBdr>
        <w:top w:val="none" w:sz="0" w:space="0" w:color="auto"/>
        <w:left w:val="none" w:sz="0" w:space="0" w:color="auto"/>
        <w:bottom w:val="none" w:sz="0" w:space="0" w:color="auto"/>
        <w:right w:val="none" w:sz="0" w:space="0" w:color="auto"/>
      </w:divBdr>
    </w:div>
    <w:div w:id="1549996494">
      <w:bodyDiv w:val="1"/>
      <w:marLeft w:val="0"/>
      <w:marRight w:val="0"/>
      <w:marTop w:val="0"/>
      <w:marBottom w:val="0"/>
      <w:divBdr>
        <w:top w:val="none" w:sz="0" w:space="0" w:color="auto"/>
        <w:left w:val="none" w:sz="0" w:space="0" w:color="auto"/>
        <w:bottom w:val="none" w:sz="0" w:space="0" w:color="auto"/>
        <w:right w:val="none" w:sz="0" w:space="0" w:color="auto"/>
      </w:divBdr>
    </w:div>
    <w:div w:id="1561478965">
      <w:bodyDiv w:val="1"/>
      <w:marLeft w:val="0"/>
      <w:marRight w:val="0"/>
      <w:marTop w:val="0"/>
      <w:marBottom w:val="0"/>
      <w:divBdr>
        <w:top w:val="none" w:sz="0" w:space="0" w:color="auto"/>
        <w:left w:val="none" w:sz="0" w:space="0" w:color="auto"/>
        <w:bottom w:val="none" w:sz="0" w:space="0" w:color="auto"/>
        <w:right w:val="none" w:sz="0" w:space="0" w:color="auto"/>
      </w:divBdr>
      <w:divsChild>
        <w:div w:id="1468741028">
          <w:marLeft w:val="0"/>
          <w:marRight w:val="0"/>
          <w:marTop w:val="0"/>
          <w:marBottom w:val="0"/>
          <w:divBdr>
            <w:top w:val="none" w:sz="0" w:space="0" w:color="auto"/>
            <w:left w:val="none" w:sz="0" w:space="0" w:color="auto"/>
            <w:bottom w:val="none" w:sz="0" w:space="0" w:color="auto"/>
            <w:right w:val="none" w:sz="0" w:space="0" w:color="auto"/>
          </w:divBdr>
          <w:divsChild>
            <w:div w:id="1540363815">
              <w:marLeft w:val="46"/>
              <w:marRight w:val="0"/>
              <w:marTop w:val="0"/>
              <w:marBottom w:val="0"/>
              <w:divBdr>
                <w:top w:val="none" w:sz="0" w:space="0" w:color="auto"/>
                <w:left w:val="none" w:sz="0" w:space="0" w:color="auto"/>
                <w:bottom w:val="none" w:sz="0" w:space="0" w:color="auto"/>
                <w:right w:val="none" w:sz="0" w:space="0" w:color="auto"/>
              </w:divBdr>
              <w:divsChild>
                <w:div w:id="638148030">
                  <w:marLeft w:val="0"/>
                  <w:marRight w:val="0"/>
                  <w:marTop w:val="0"/>
                  <w:marBottom w:val="0"/>
                  <w:divBdr>
                    <w:top w:val="none" w:sz="0" w:space="0" w:color="auto"/>
                    <w:left w:val="none" w:sz="0" w:space="0" w:color="auto"/>
                    <w:bottom w:val="none" w:sz="0" w:space="0" w:color="auto"/>
                    <w:right w:val="none" w:sz="0" w:space="0" w:color="auto"/>
                  </w:divBdr>
                  <w:divsChild>
                    <w:div w:id="1963028696">
                      <w:marLeft w:val="0"/>
                      <w:marRight w:val="0"/>
                      <w:marTop w:val="0"/>
                      <w:marBottom w:val="92"/>
                      <w:divBdr>
                        <w:top w:val="single" w:sz="4" w:space="0" w:color="F5F5F5"/>
                        <w:left w:val="single" w:sz="4" w:space="0" w:color="F5F5F5"/>
                        <w:bottom w:val="single" w:sz="4" w:space="0" w:color="F5F5F5"/>
                        <w:right w:val="single" w:sz="4" w:space="0" w:color="F5F5F5"/>
                      </w:divBdr>
                      <w:divsChild>
                        <w:div w:id="1135221234">
                          <w:marLeft w:val="0"/>
                          <w:marRight w:val="0"/>
                          <w:marTop w:val="0"/>
                          <w:marBottom w:val="0"/>
                          <w:divBdr>
                            <w:top w:val="none" w:sz="0" w:space="0" w:color="auto"/>
                            <w:left w:val="none" w:sz="0" w:space="0" w:color="auto"/>
                            <w:bottom w:val="none" w:sz="0" w:space="0" w:color="auto"/>
                            <w:right w:val="none" w:sz="0" w:space="0" w:color="auto"/>
                          </w:divBdr>
                          <w:divsChild>
                            <w:div w:id="178507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262534">
          <w:marLeft w:val="0"/>
          <w:marRight w:val="0"/>
          <w:marTop w:val="0"/>
          <w:marBottom w:val="0"/>
          <w:divBdr>
            <w:top w:val="none" w:sz="0" w:space="0" w:color="auto"/>
            <w:left w:val="none" w:sz="0" w:space="0" w:color="auto"/>
            <w:bottom w:val="none" w:sz="0" w:space="0" w:color="auto"/>
            <w:right w:val="none" w:sz="0" w:space="0" w:color="auto"/>
          </w:divBdr>
          <w:divsChild>
            <w:div w:id="892623794">
              <w:marLeft w:val="0"/>
              <w:marRight w:val="46"/>
              <w:marTop w:val="0"/>
              <w:marBottom w:val="0"/>
              <w:divBdr>
                <w:top w:val="none" w:sz="0" w:space="0" w:color="auto"/>
                <w:left w:val="none" w:sz="0" w:space="0" w:color="auto"/>
                <w:bottom w:val="none" w:sz="0" w:space="0" w:color="auto"/>
                <w:right w:val="none" w:sz="0" w:space="0" w:color="auto"/>
              </w:divBdr>
              <w:divsChild>
                <w:div w:id="745809143">
                  <w:marLeft w:val="0"/>
                  <w:marRight w:val="0"/>
                  <w:marTop w:val="0"/>
                  <w:marBottom w:val="92"/>
                  <w:divBdr>
                    <w:top w:val="single" w:sz="4" w:space="0" w:color="A0A0A0"/>
                    <w:left w:val="single" w:sz="4" w:space="0" w:color="B9B9B9"/>
                    <w:bottom w:val="single" w:sz="4" w:space="0" w:color="B9B9B9"/>
                    <w:right w:val="single" w:sz="4" w:space="0" w:color="B9B9B9"/>
                  </w:divBdr>
                  <w:divsChild>
                    <w:div w:id="435951158">
                      <w:marLeft w:val="0"/>
                      <w:marRight w:val="0"/>
                      <w:marTop w:val="0"/>
                      <w:marBottom w:val="0"/>
                      <w:divBdr>
                        <w:top w:val="none" w:sz="0" w:space="0" w:color="auto"/>
                        <w:left w:val="none" w:sz="0" w:space="0" w:color="auto"/>
                        <w:bottom w:val="none" w:sz="0" w:space="0" w:color="auto"/>
                        <w:right w:val="none" w:sz="0" w:space="0" w:color="auto"/>
                      </w:divBdr>
                    </w:div>
                    <w:div w:id="6650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965993">
      <w:bodyDiv w:val="1"/>
      <w:marLeft w:val="0"/>
      <w:marRight w:val="0"/>
      <w:marTop w:val="0"/>
      <w:marBottom w:val="0"/>
      <w:divBdr>
        <w:top w:val="none" w:sz="0" w:space="0" w:color="auto"/>
        <w:left w:val="none" w:sz="0" w:space="0" w:color="auto"/>
        <w:bottom w:val="none" w:sz="0" w:space="0" w:color="auto"/>
        <w:right w:val="none" w:sz="0" w:space="0" w:color="auto"/>
      </w:divBdr>
      <w:divsChild>
        <w:div w:id="1437872549">
          <w:marLeft w:val="0"/>
          <w:marRight w:val="0"/>
          <w:marTop w:val="0"/>
          <w:marBottom w:val="0"/>
          <w:divBdr>
            <w:top w:val="none" w:sz="0" w:space="0" w:color="auto"/>
            <w:left w:val="none" w:sz="0" w:space="0" w:color="auto"/>
            <w:bottom w:val="none" w:sz="0" w:space="0" w:color="auto"/>
            <w:right w:val="none" w:sz="0" w:space="0" w:color="auto"/>
          </w:divBdr>
        </w:div>
        <w:div w:id="813135170">
          <w:marLeft w:val="0"/>
          <w:marRight w:val="0"/>
          <w:marTop w:val="0"/>
          <w:marBottom w:val="0"/>
          <w:divBdr>
            <w:top w:val="none" w:sz="0" w:space="0" w:color="auto"/>
            <w:left w:val="none" w:sz="0" w:space="0" w:color="auto"/>
            <w:bottom w:val="none" w:sz="0" w:space="0" w:color="auto"/>
            <w:right w:val="none" w:sz="0" w:space="0" w:color="auto"/>
          </w:divBdr>
        </w:div>
        <w:div w:id="390732346">
          <w:marLeft w:val="0"/>
          <w:marRight w:val="0"/>
          <w:marTop w:val="0"/>
          <w:marBottom w:val="0"/>
          <w:divBdr>
            <w:top w:val="none" w:sz="0" w:space="0" w:color="auto"/>
            <w:left w:val="none" w:sz="0" w:space="0" w:color="auto"/>
            <w:bottom w:val="none" w:sz="0" w:space="0" w:color="auto"/>
            <w:right w:val="none" w:sz="0" w:space="0" w:color="auto"/>
          </w:divBdr>
        </w:div>
        <w:div w:id="535772816">
          <w:marLeft w:val="0"/>
          <w:marRight w:val="0"/>
          <w:marTop w:val="0"/>
          <w:marBottom w:val="0"/>
          <w:divBdr>
            <w:top w:val="none" w:sz="0" w:space="0" w:color="auto"/>
            <w:left w:val="none" w:sz="0" w:space="0" w:color="auto"/>
            <w:bottom w:val="none" w:sz="0" w:space="0" w:color="auto"/>
            <w:right w:val="none" w:sz="0" w:space="0" w:color="auto"/>
          </w:divBdr>
        </w:div>
        <w:div w:id="910653602">
          <w:marLeft w:val="0"/>
          <w:marRight w:val="0"/>
          <w:marTop w:val="0"/>
          <w:marBottom w:val="0"/>
          <w:divBdr>
            <w:top w:val="none" w:sz="0" w:space="0" w:color="auto"/>
            <w:left w:val="none" w:sz="0" w:space="0" w:color="auto"/>
            <w:bottom w:val="none" w:sz="0" w:space="0" w:color="auto"/>
            <w:right w:val="none" w:sz="0" w:space="0" w:color="auto"/>
          </w:divBdr>
        </w:div>
        <w:div w:id="447703405">
          <w:marLeft w:val="0"/>
          <w:marRight w:val="0"/>
          <w:marTop w:val="0"/>
          <w:marBottom w:val="0"/>
          <w:divBdr>
            <w:top w:val="none" w:sz="0" w:space="0" w:color="auto"/>
            <w:left w:val="none" w:sz="0" w:space="0" w:color="auto"/>
            <w:bottom w:val="none" w:sz="0" w:space="0" w:color="auto"/>
            <w:right w:val="none" w:sz="0" w:space="0" w:color="auto"/>
          </w:divBdr>
        </w:div>
        <w:div w:id="762185977">
          <w:marLeft w:val="0"/>
          <w:marRight w:val="0"/>
          <w:marTop w:val="0"/>
          <w:marBottom w:val="0"/>
          <w:divBdr>
            <w:top w:val="none" w:sz="0" w:space="0" w:color="auto"/>
            <w:left w:val="none" w:sz="0" w:space="0" w:color="auto"/>
            <w:bottom w:val="none" w:sz="0" w:space="0" w:color="auto"/>
            <w:right w:val="none" w:sz="0" w:space="0" w:color="auto"/>
          </w:divBdr>
        </w:div>
        <w:div w:id="921833881">
          <w:marLeft w:val="0"/>
          <w:marRight w:val="0"/>
          <w:marTop w:val="0"/>
          <w:marBottom w:val="0"/>
          <w:divBdr>
            <w:top w:val="none" w:sz="0" w:space="0" w:color="auto"/>
            <w:left w:val="none" w:sz="0" w:space="0" w:color="auto"/>
            <w:bottom w:val="none" w:sz="0" w:space="0" w:color="auto"/>
            <w:right w:val="none" w:sz="0" w:space="0" w:color="auto"/>
          </w:divBdr>
        </w:div>
        <w:div w:id="602037847">
          <w:marLeft w:val="0"/>
          <w:marRight w:val="0"/>
          <w:marTop w:val="0"/>
          <w:marBottom w:val="0"/>
          <w:divBdr>
            <w:top w:val="none" w:sz="0" w:space="0" w:color="auto"/>
            <w:left w:val="none" w:sz="0" w:space="0" w:color="auto"/>
            <w:bottom w:val="none" w:sz="0" w:space="0" w:color="auto"/>
            <w:right w:val="none" w:sz="0" w:space="0" w:color="auto"/>
          </w:divBdr>
        </w:div>
        <w:div w:id="1627353722">
          <w:marLeft w:val="0"/>
          <w:marRight w:val="0"/>
          <w:marTop w:val="0"/>
          <w:marBottom w:val="0"/>
          <w:divBdr>
            <w:top w:val="none" w:sz="0" w:space="0" w:color="auto"/>
            <w:left w:val="none" w:sz="0" w:space="0" w:color="auto"/>
            <w:bottom w:val="none" w:sz="0" w:space="0" w:color="auto"/>
            <w:right w:val="none" w:sz="0" w:space="0" w:color="auto"/>
          </w:divBdr>
        </w:div>
        <w:div w:id="1687826787">
          <w:marLeft w:val="0"/>
          <w:marRight w:val="0"/>
          <w:marTop w:val="0"/>
          <w:marBottom w:val="0"/>
          <w:divBdr>
            <w:top w:val="none" w:sz="0" w:space="0" w:color="auto"/>
            <w:left w:val="none" w:sz="0" w:space="0" w:color="auto"/>
            <w:bottom w:val="none" w:sz="0" w:space="0" w:color="auto"/>
            <w:right w:val="none" w:sz="0" w:space="0" w:color="auto"/>
          </w:divBdr>
        </w:div>
        <w:div w:id="819808107">
          <w:marLeft w:val="0"/>
          <w:marRight w:val="0"/>
          <w:marTop w:val="0"/>
          <w:marBottom w:val="0"/>
          <w:divBdr>
            <w:top w:val="none" w:sz="0" w:space="0" w:color="auto"/>
            <w:left w:val="none" w:sz="0" w:space="0" w:color="auto"/>
            <w:bottom w:val="none" w:sz="0" w:space="0" w:color="auto"/>
            <w:right w:val="none" w:sz="0" w:space="0" w:color="auto"/>
          </w:divBdr>
        </w:div>
        <w:div w:id="1739089136">
          <w:marLeft w:val="0"/>
          <w:marRight w:val="0"/>
          <w:marTop w:val="0"/>
          <w:marBottom w:val="0"/>
          <w:divBdr>
            <w:top w:val="none" w:sz="0" w:space="0" w:color="auto"/>
            <w:left w:val="none" w:sz="0" w:space="0" w:color="auto"/>
            <w:bottom w:val="none" w:sz="0" w:space="0" w:color="auto"/>
            <w:right w:val="none" w:sz="0" w:space="0" w:color="auto"/>
          </w:divBdr>
        </w:div>
        <w:div w:id="2098791572">
          <w:marLeft w:val="0"/>
          <w:marRight w:val="0"/>
          <w:marTop w:val="0"/>
          <w:marBottom w:val="0"/>
          <w:divBdr>
            <w:top w:val="none" w:sz="0" w:space="0" w:color="auto"/>
            <w:left w:val="none" w:sz="0" w:space="0" w:color="auto"/>
            <w:bottom w:val="none" w:sz="0" w:space="0" w:color="auto"/>
            <w:right w:val="none" w:sz="0" w:space="0" w:color="auto"/>
          </w:divBdr>
        </w:div>
        <w:div w:id="871570707">
          <w:marLeft w:val="0"/>
          <w:marRight w:val="0"/>
          <w:marTop w:val="0"/>
          <w:marBottom w:val="0"/>
          <w:divBdr>
            <w:top w:val="none" w:sz="0" w:space="0" w:color="auto"/>
            <w:left w:val="none" w:sz="0" w:space="0" w:color="auto"/>
            <w:bottom w:val="none" w:sz="0" w:space="0" w:color="auto"/>
            <w:right w:val="none" w:sz="0" w:space="0" w:color="auto"/>
          </w:divBdr>
        </w:div>
        <w:div w:id="25302880">
          <w:marLeft w:val="0"/>
          <w:marRight w:val="0"/>
          <w:marTop w:val="0"/>
          <w:marBottom w:val="0"/>
          <w:divBdr>
            <w:top w:val="none" w:sz="0" w:space="0" w:color="auto"/>
            <w:left w:val="none" w:sz="0" w:space="0" w:color="auto"/>
            <w:bottom w:val="none" w:sz="0" w:space="0" w:color="auto"/>
            <w:right w:val="none" w:sz="0" w:space="0" w:color="auto"/>
          </w:divBdr>
        </w:div>
        <w:div w:id="1156147283">
          <w:marLeft w:val="0"/>
          <w:marRight w:val="0"/>
          <w:marTop w:val="0"/>
          <w:marBottom w:val="0"/>
          <w:divBdr>
            <w:top w:val="none" w:sz="0" w:space="0" w:color="auto"/>
            <w:left w:val="none" w:sz="0" w:space="0" w:color="auto"/>
            <w:bottom w:val="none" w:sz="0" w:space="0" w:color="auto"/>
            <w:right w:val="none" w:sz="0" w:space="0" w:color="auto"/>
          </w:divBdr>
        </w:div>
        <w:div w:id="1595287005">
          <w:marLeft w:val="0"/>
          <w:marRight w:val="0"/>
          <w:marTop w:val="0"/>
          <w:marBottom w:val="0"/>
          <w:divBdr>
            <w:top w:val="none" w:sz="0" w:space="0" w:color="auto"/>
            <w:left w:val="none" w:sz="0" w:space="0" w:color="auto"/>
            <w:bottom w:val="none" w:sz="0" w:space="0" w:color="auto"/>
            <w:right w:val="none" w:sz="0" w:space="0" w:color="auto"/>
          </w:divBdr>
        </w:div>
        <w:div w:id="432748344">
          <w:marLeft w:val="0"/>
          <w:marRight w:val="0"/>
          <w:marTop w:val="0"/>
          <w:marBottom w:val="0"/>
          <w:divBdr>
            <w:top w:val="none" w:sz="0" w:space="0" w:color="auto"/>
            <w:left w:val="none" w:sz="0" w:space="0" w:color="auto"/>
            <w:bottom w:val="none" w:sz="0" w:space="0" w:color="auto"/>
            <w:right w:val="none" w:sz="0" w:space="0" w:color="auto"/>
          </w:divBdr>
        </w:div>
        <w:div w:id="1953201514">
          <w:marLeft w:val="0"/>
          <w:marRight w:val="0"/>
          <w:marTop w:val="0"/>
          <w:marBottom w:val="0"/>
          <w:divBdr>
            <w:top w:val="none" w:sz="0" w:space="0" w:color="auto"/>
            <w:left w:val="none" w:sz="0" w:space="0" w:color="auto"/>
            <w:bottom w:val="none" w:sz="0" w:space="0" w:color="auto"/>
            <w:right w:val="none" w:sz="0" w:space="0" w:color="auto"/>
          </w:divBdr>
        </w:div>
        <w:div w:id="2109306975">
          <w:marLeft w:val="0"/>
          <w:marRight w:val="0"/>
          <w:marTop w:val="0"/>
          <w:marBottom w:val="0"/>
          <w:divBdr>
            <w:top w:val="none" w:sz="0" w:space="0" w:color="auto"/>
            <w:left w:val="none" w:sz="0" w:space="0" w:color="auto"/>
            <w:bottom w:val="none" w:sz="0" w:space="0" w:color="auto"/>
            <w:right w:val="none" w:sz="0" w:space="0" w:color="auto"/>
          </w:divBdr>
        </w:div>
        <w:div w:id="1904682922">
          <w:marLeft w:val="0"/>
          <w:marRight w:val="0"/>
          <w:marTop w:val="0"/>
          <w:marBottom w:val="0"/>
          <w:divBdr>
            <w:top w:val="none" w:sz="0" w:space="0" w:color="auto"/>
            <w:left w:val="none" w:sz="0" w:space="0" w:color="auto"/>
            <w:bottom w:val="none" w:sz="0" w:space="0" w:color="auto"/>
            <w:right w:val="none" w:sz="0" w:space="0" w:color="auto"/>
          </w:divBdr>
        </w:div>
        <w:div w:id="814685332">
          <w:marLeft w:val="0"/>
          <w:marRight w:val="0"/>
          <w:marTop w:val="0"/>
          <w:marBottom w:val="0"/>
          <w:divBdr>
            <w:top w:val="none" w:sz="0" w:space="0" w:color="auto"/>
            <w:left w:val="none" w:sz="0" w:space="0" w:color="auto"/>
            <w:bottom w:val="none" w:sz="0" w:space="0" w:color="auto"/>
            <w:right w:val="none" w:sz="0" w:space="0" w:color="auto"/>
          </w:divBdr>
        </w:div>
        <w:div w:id="1668896419">
          <w:marLeft w:val="0"/>
          <w:marRight w:val="0"/>
          <w:marTop w:val="0"/>
          <w:marBottom w:val="0"/>
          <w:divBdr>
            <w:top w:val="none" w:sz="0" w:space="0" w:color="auto"/>
            <w:left w:val="none" w:sz="0" w:space="0" w:color="auto"/>
            <w:bottom w:val="none" w:sz="0" w:space="0" w:color="auto"/>
            <w:right w:val="none" w:sz="0" w:space="0" w:color="auto"/>
          </w:divBdr>
        </w:div>
        <w:div w:id="1483890920">
          <w:marLeft w:val="0"/>
          <w:marRight w:val="0"/>
          <w:marTop w:val="0"/>
          <w:marBottom w:val="0"/>
          <w:divBdr>
            <w:top w:val="none" w:sz="0" w:space="0" w:color="auto"/>
            <w:left w:val="none" w:sz="0" w:space="0" w:color="auto"/>
            <w:bottom w:val="none" w:sz="0" w:space="0" w:color="auto"/>
            <w:right w:val="none" w:sz="0" w:space="0" w:color="auto"/>
          </w:divBdr>
        </w:div>
        <w:div w:id="1089082065">
          <w:marLeft w:val="0"/>
          <w:marRight w:val="0"/>
          <w:marTop w:val="0"/>
          <w:marBottom w:val="0"/>
          <w:divBdr>
            <w:top w:val="none" w:sz="0" w:space="0" w:color="auto"/>
            <w:left w:val="none" w:sz="0" w:space="0" w:color="auto"/>
            <w:bottom w:val="none" w:sz="0" w:space="0" w:color="auto"/>
            <w:right w:val="none" w:sz="0" w:space="0" w:color="auto"/>
          </w:divBdr>
        </w:div>
      </w:divsChild>
    </w:div>
    <w:div w:id="1596935063">
      <w:bodyDiv w:val="1"/>
      <w:marLeft w:val="0"/>
      <w:marRight w:val="0"/>
      <w:marTop w:val="0"/>
      <w:marBottom w:val="0"/>
      <w:divBdr>
        <w:top w:val="none" w:sz="0" w:space="0" w:color="auto"/>
        <w:left w:val="none" w:sz="0" w:space="0" w:color="auto"/>
        <w:bottom w:val="none" w:sz="0" w:space="0" w:color="auto"/>
        <w:right w:val="none" w:sz="0" w:space="0" w:color="auto"/>
      </w:divBdr>
    </w:div>
    <w:div w:id="1606574009">
      <w:bodyDiv w:val="1"/>
      <w:marLeft w:val="0"/>
      <w:marRight w:val="0"/>
      <w:marTop w:val="0"/>
      <w:marBottom w:val="0"/>
      <w:divBdr>
        <w:top w:val="none" w:sz="0" w:space="0" w:color="auto"/>
        <w:left w:val="none" w:sz="0" w:space="0" w:color="auto"/>
        <w:bottom w:val="none" w:sz="0" w:space="0" w:color="auto"/>
        <w:right w:val="none" w:sz="0" w:space="0" w:color="auto"/>
      </w:divBdr>
    </w:div>
    <w:div w:id="1629168081">
      <w:bodyDiv w:val="1"/>
      <w:marLeft w:val="0"/>
      <w:marRight w:val="0"/>
      <w:marTop w:val="0"/>
      <w:marBottom w:val="0"/>
      <w:divBdr>
        <w:top w:val="none" w:sz="0" w:space="0" w:color="auto"/>
        <w:left w:val="none" w:sz="0" w:space="0" w:color="auto"/>
        <w:bottom w:val="none" w:sz="0" w:space="0" w:color="auto"/>
        <w:right w:val="none" w:sz="0" w:space="0" w:color="auto"/>
      </w:divBdr>
    </w:div>
    <w:div w:id="1633247325">
      <w:bodyDiv w:val="1"/>
      <w:marLeft w:val="0"/>
      <w:marRight w:val="0"/>
      <w:marTop w:val="0"/>
      <w:marBottom w:val="0"/>
      <w:divBdr>
        <w:top w:val="none" w:sz="0" w:space="0" w:color="auto"/>
        <w:left w:val="none" w:sz="0" w:space="0" w:color="auto"/>
        <w:bottom w:val="none" w:sz="0" w:space="0" w:color="auto"/>
        <w:right w:val="none" w:sz="0" w:space="0" w:color="auto"/>
      </w:divBdr>
    </w:div>
    <w:div w:id="1656493602">
      <w:bodyDiv w:val="1"/>
      <w:marLeft w:val="0"/>
      <w:marRight w:val="0"/>
      <w:marTop w:val="0"/>
      <w:marBottom w:val="0"/>
      <w:divBdr>
        <w:top w:val="none" w:sz="0" w:space="0" w:color="auto"/>
        <w:left w:val="none" w:sz="0" w:space="0" w:color="auto"/>
        <w:bottom w:val="none" w:sz="0" w:space="0" w:color="auto"/>
        <w:right w:val="none" w:sz="0" w:space="0" w:color="auto"/>
      </w:divBdr>
    </w:div>
    <w:div w:id="1664428379">
      <w:bodyDiv w:val="1"/>
      <w:marLeft w:val="0"/>
      <w:marRight w:val="0"/>
      <w:marTop w:val="0"/>
      <w:marBottom w:val="0"/>
      <w:divBdr>
        <w:top w:val="none" w:sz="0" w:space="0" w:color="auto"/>
        <w:left w:val="none" w:sz="0" w:space="0" w:color="auto"/>
        <w:bottom w:val="none" w:sz="0" w:space="0" w:color="auto"/>
        <w:right w:val="none" w:sz="0" w:space="0" w:color="auto"/>
      </w:divBdr>
    </w:div>
    <w:div w:id="1671591844">
      <w:bodyDiv w:val="1"/>
      <w:marLeft w:val="0"/>
      <w:marRight w:val="0"/>
      <w:marTop w:val="0"/>
      <w:marBottom w:val="0"/>
      <w:divBdr>
        <w:top w:val="none" w:sz="0" w:space="0" w:color="auto"/>
        <w:left w:val="none" w:sz="0" w:space="0" w:color="auto"/>
        <w:bottom w:val="none" w:sz="0" w:space="0" w:color="auto"/>
        <w:right w:val="none" w:sz="0" w:space="0" w:color="auto"/>
      </w:divBdr>
    </w:div>
    <w:div w:id="1702054600">
      <w:bodyDiv w:val="1"/>
      <w:marLeft w:val="0"/>
      <w:marRight w:val="0"/>
      <w:marTop w:val="0"/>
      <w:marBottom w:val="0"/>
      <w:divBdr>
        <w:top w:val="none" w:sz="0" w:space="0" w:color="auto"/>
        <w:left w:val="none" w:sz="0" w:space="0" w:color="auto"/>
        <w:bottom w:val="none" w:sz="0" w:space="0" w:color="auto"/>
        <w:right w:val="none" w:sz="0" w:space="0" w:color="auto"/>
      </w:divBdr>
    </w:div>
    <w:div w:id="1712261956">
      <w:bodyDiv w:val="1"/>
      <w:marLeft w:val="0"/>
      <w:marRight w:val="0"/>
      <w:marTop w:val="0"/>
      <w:marBottom w:val="0"/>
      <w:divBdr>
        <w:top w:val="none" w:sz="0" w:space="0" w:color="auto"/>
        <w:left w:val="none" w:sz="0" w:space="0" w:color="auto"/>
        <w:bottom w:val="none" w:sz="0" w:space="0" w:color="auto"/>
        <w:right w:val="none" w:sz="0" w:space="0" w:color="auto"/>
      </w:divBdr>
    </w:div>
    <w:div w:id="1731345702">
      <w:bodyDiv w:val="1"/>
      <w:marLeft w:val="0"/>
      <w:marRight w:val="0"/>
      <w:marTop w:val="0"/>
      <w:marBottom w:val="0"/>
      <w:divBdr>
        <w:top w:val="none" w:sz="0" w:space="0" w:color="auto"/>
        <w:left w:val="none" w:sz="0" w:space="0" w:color="auto"/>
        <w:bottom w:val="none" w:sz="0" w:space="0" w:color="auto"/>
        <w:right w:val="none" w:sz="0" w:space="0" w:color="auto"/>
      </w:divBdr>
      <w:divsChild>
        <w:div w:id="978652832">
          <w:marLeft w:val="0"/>
          <w:marRight w:val="0"/>
          <w:marTop w:val="0"/>
          <w:marBottom w:val="0"/>
          <w:divBdr>
            <w:top w:val="none" w:sz="0" w:space="0" w:color="auto"/>
            <w:left w:val="none" w:sz="0" w:space="0" w:color="auto"/>
            <w:bottom w:val="none" w:sz="0" w:space="0" w:color="auto"/>
            <w:right w:val="none" w:sz="0" w:space="0" w:color="auto"/>
          </w:divBdr>
        </w:div>
        <w:div w:id="769130713">
          <w:marLeft w:val="0"/>
          <w:marRight w:val="0"/>
          <w:marTop w:val="0"/>
          <w:marBottom w:val="0"/>
          <w:divBdr>
            <w:top w:val="none" w:sz="0" w:space="0" w:color="auto"/>
            <w:left w:val="none" w:sz="0" w:space="0" w:color="auto"/>
            <w:bottom w:val="none" w:sz="0" w:space="0" w:color="auto"/>
            <w:right w:val="none" w:sz="0" w:space="0" w:color="auto"/>
          </w:divBdr>
        </w:div>
        <w:div w:id="2070183425">
          <w:marLeft w:val="0"/>
          <w:marRight w:val="0"/>
          <w:marTop w:val="0"/>
          <w:marBottom w:val="0"/>
          <w:divBdr>
            <w:top w:val="none" w:sz="0" w:space="0" w:color="auto"/>
            <w:left w:val="none" w:sz="0" w:space="0" w:color="auto"/>
            <w:bottom w:val="none" w:sz="0" w:space="0" w:color="auto"/>
            <w:right w:val="none" w:sz="0" w:space="0" w:color="auto"/>
          </w:divBdr>
        </w:div>
        <w:div w:id="435489179">
          <w:marLeft w:val="0"/>
          <w:marRight w:val="0"/>
          <w:marTop w:val="0"/>
          <w:marBottom w:val="0"/>
          <w:divBdr>
            <w:top w:val="none" w:sz="0" w:space="0" w:color="auto"/>
            <w:left w:val="none" w:sz="0" w:space="0" w:color="auto"/>
            <w:bottom w:val="none" w:sz="0" w:space="0" w:color="auto"/>
            <w:right w:val="none" w:sz="0" w:space="0" w:color="auto"/>
          </w:divBdr>
        </w:div>
        <w:div w:id="2112775844">
          <w:marLeft w:val="0"/>
          <w:marRight w:val="0"/>
          <w:marTop w:val="0"/>
          <w:marBottom w:val="0"/>
          <w:divBdr>
            <w:top w:val="none" w:sz="0" w:space="0" w:color="auto"/>
            <w:left w:val="none" w:sz="0" w:space="0" w:color="auto"/>
            <w:bottom w:val="none" w:sz="0" w:space="0" w:color="auto"/>
            <w:right w:val="none" w:sz="0" w:space="0" w:color="auto"/>
          </w:divBdr>
        </w:div>
        <w:div w:id="1343118732">
          <w:marLeft w:val="0"/>
          <w:marRight w:val="0"/>
          <w:marTop w:val="0"/>
          <w:marBottom w:val="0"/>
          <w:divBdr>
            <w:top w:val="none" w:sz="0" w:space="0" w:color="auto"/>
            <w:left w:val="none" w:sz="0" w:space="0" w:color="auto"/>
            <w:bottom w:val="none" w:sz="0" w:space="0" w:color="auto"/>
            <w:right w:val="none" w:sz="0" w:space="0" w:color="auto"/>
          </w:divBdr>
        </w:div>
        <w:div w:id="1814251359">
          <w:marLeft w:val="0"/>
          <w:marRight w:val="0"/>
          <w:marTop w:val="0"/>
          <w:marBottom w:val="0"/>
          <w:divBdr>
            <w:top w:val="none" w:sz="0" w:space="0" w:color="auto"/>
            <w:left w:val="none" w:sz="0" w:space="0" w:color="auto"/>
            <w:bottom w:val="none" w:sz="0" w:space="0" w:color="auto"/>
            <w:right w:val="none" w:sz="0" w:space="0" w:color="auto"/>
          </w:divBdr>
        </w:div>
        <w:div w:id="683435085">
          <w:marLeft w:val="0"/>
          <w:marRight w:val="0"/>
          <w:marTop w:val="0"/>
          <w:marBottom w:val="0"/>
          <w:divBdr>
            <w:top w:val="none" w:sz="0" w:space="0" w:color="auto"/>
            <w:left w:val="none" w:sz="0" w:space="0" w:color="auto"/>
            <w:bottom w:val="none" w:sz="0" w:space="0" w:color="auto"/>
            <w:right w:val="none" w:sz="0" w:space="0" w:color="auto"/>
          </w:divBdr>
        </w:div>
        <w:div w:id="2093159152">
          <w:marLeft w:val="0"/>
          <w:marRight w:val="0"/>
          <w:marTop w:val="0"/>
          <w:marBottom w:val="0"/>
          <w:divBdr>
            <w:top w:val="none" w:sz="0" w:space="0" w:color="auto"/>
            <w:left w:val="none" w:sz="0" w:space="0" w:color="auto"/>
            <w:bottom w:val="none" w:sz="0" w:space="0" w:color="auto"/>
            <w:right w:val="none" w:sz="0" w:space="0" w:color="auto"/>
          </w:divBdr>
        </w:div>
        <w:div w:id="337775703">
          <w:marLeft w:val="0"/>
          <w:marRight w:val="0"/>
          <w:marTop w:val="0"/>
          <w:marBottom w:val="0"/>
          <w:divBdr>
            <w:top w:val="none" w:sz="0" w:space="0" w:color="auto"/>
            <w:left w:val="none" w:sz="0" w:space="0" w:color="auto"/>
            <w:bottom w:val="none" w:sz="0" w:space="0" w:color="auto"/>
            <w:right w:val="none" w:sz="0" w:space="0" w:color="auto"/>
          </w:divBdr>
        </w:div>
        <w:div w:id="1586456095">
          <w:marLeft w:val="0"/>
          <w:marRight w:val="0"/>
          <w:marTop w:val="0"/>
          <w:marBottom w:val="0"/>
          <w:divBdr>
            <w:top w:val="none" w:sz="0" w:space="0" w:color="auto"/>
            <w:left w:val="none" w:sz="0" w:space="0" w:color="auto"/>
            <w:bottom w:val="none" w:sz="0" w:space="0" w:color="auto"/>
            <w:right w:val="none" w:sz="0" w:space="0" w:color="auto"/>
          </w:divBdr>
        </w:div>
        <w:div w:id="1375619656">
          <w:marLeft w:val="0"/>
          <w:marRight w:val="0"/>
          <w:marTop w:val="0"/>
          <w:marBottom w:val="0"/>
          <w:divBdr>
            <w:top w:val="none" w:sz="0" w:space="0" w:color="auto"/>
            <w:left w:val="none" w:sz="0" w:space="0" w:color="auto"/>
            <w:bottom w:val="none" w:sz="0" w:space="0" w:color="auto"/>
            <w:right w:val="none" w:sz="0" w:space="0" w:color="auto"/>
          </w:divBdr>
        </w:div>
        <w:div w:id="1180239514">
          <w:marLeft w:val="0"/>
          <w:marRight w:val="0"/>
          <w:marTop w:val="0"/>
          <w:marBottom w:val="0"/>
          <w:divBdr>
            <w:top w:val="none" w:sz="0" w:space="0" w:color="auto"/>
            <w:left w:val="none" w:sz="0" w:space="0" w:color="auto"/>
            <w:bottom w:val="none" w:sz="0" w:space="0" w:color="auto"/>
            <w:right w:val="none" w:sz="0" w:space="0" w:color="auto"/>
          </w:divBdr>
        </w:div>
        <w:div w:id="1442645258">
          <w:marLeft w:val="0"/>
          <w:marRight w:val="0"/>
          <w:marTop w:val="0"/>
          <w:marBottom w:val="0"/>
          <w:divBdr>
            <w:top w:val="none" w:sz="0" w:space="0" w:color="auto"/>
            <w:left w:val="none" w:sz="0" w:space="0" w:color="auto"/>
            <w:bottom w:val="none" w:sz="0" w:space="0" w:color="auto"/>
            <w:right w:val="none" w:sz="0" w:space="0" w:color="auto"/>
          </w:divBdr>
        </w:div>
        <w:div w:id="1581519185">
          <w:marLeft w:val="0"/>
          <w:marRight w:val="0"/>
          <w:marTop w:val="0"/>
          <w:marBottom w:val="0"/>
          <w:divBdr>
            <w:top w:val="none" w:sz="0" w:space="0" w:color="auto"/>
            <w:left w:val="none" w:sz="0" w:space="0" w:color="auto"/>
            <w:bottom w:val="none" w:sz="0" w:space="0" w:color="auto"/>
            <w:right w:val="none" w:sz="0" w:space="0" w:color="auto"/>
          </w:divBdr>
        </w:div>
        <w:div w:id="1633710242">
          <w:marLeft w:val="0"/>
          <w:marRight w:val="0"/>
          <w:marTop w:val="0"/>
          <w:marBottom w:val="0"/>
          <w:divBdr>
            <w:top w:val="none" w:sz="0" w:space="0" w:color="auto"/>
            <w:left w:val="none" w:sz="0" w:space="0" w:color="auto"/>
            <w:bottom w:val="none" w:sz="0" w:space="0" w:color="auto"/>
            <w:right w:val="none" w:sz="0" w:space="0" w:color="auto"/>
          </w:divBdr>
        </w:div>
        <w:div w:id="377824984">
          <w:marLeft w:val="0"/>
          <w:marRight w:val="0"/>
          <w:marTop w:val="0"/>
          <w:marBottom w:val="0"/>
          <w:divBdr>
            <w:top w:val="none" w:sz="0" w:space="0" w:color="auto"/>
            <w:left w:val="none" w:sz="0" w:space="0" w:color="auto"/>
            <w:bottom w:val="none" w:sz="0" w:space="0" w:color="auto"/>
            <w:right w:val="none" w:sz="0" w:space="0" w:color="auto"/>
          </w:divBdr>
        </w:div>
        <w:div w:id="762646118">
          <w:marLeft w:val="0"/>
          <w:marRight w:val="0"/>
          <w:marTop w:val="0"/>
          <w:marBottom w:val="0"/>
          <w:divBdr>
            <w:top w:val="none" w:sz="0" w:space="0" w:color="auto"/>
            <w:left w:val="none" w:sz="0" w:space="0" w:color="auto"/>
            <w:bottom w:val="none" w:sz="0" w:space="0" w:color="auto"/>
            <w:right w:val="none" w:sz="0" w:space="0" w:color="auto"/>
          </w:divBdr>
        </w:div>
        <w:div w:id="2065137268">
          <w:marLeft w:val="0"/>
          <w:marRight w:val="0"/>
          <w:marTop w:val="0"/>
          <w:marBottom w:val="0"/>
          <w:divBdr>
            <w:top w:val="none" w:sz="0" w:space="0" w:color="auto"/>
            <w:left w:val="none" w:sz="0" w:space="0" w:color="auto"/>
            <w:bottom w:val="none" w:sz="0" w:space="0" w:color="auto"/>
            <w:right w:val="none" w:sz="0" w:space="0" w:color="auto"/>
          </w:divBdr>
        </w:div>
        <w:div w:id="1652056973">
          <w:marLeft w:val="0"/>
          <w:marRight w:val="0"/>
          <w:marTop w:val="0"/>
          <w:marBottom w:val="0"/>
          <w:divBdr>
            <w:top w:val="none" w:sz="0" w:space="0" w:color="auto"/>
            <w:left w:val="none" w:sz="0" w:space="0" w:color="auto"/>
            <w:bottom w:val="none" w:sz="0" w:space="0" w:color="auto"/>
            <w:right w:val="none" w:sz="0" w:space="0" w:color="auto"/>
          </w:divBdr>
        </w:div>
        <w:div w:id="878469411">
          <w:marLeft w:val="0"/>
          <w:marRight w:val="0"/>
          <w:marTop w:val="0"/>
          <w:marBottom w:val="0"/>
          <w:divBdr>
            <w:top w:val="none" w:sz="0" w:space="0" w:color="auto"/>
            <w:left w:val="none" w:sz="0" w:space="0" w:color="auto"/>
            <w:bottom w:val="none" w:sz="0" w:space="0" w:color="auto"/>
            <w:right w:val="none" w:sz="0" w:space="0" w:color="auto"/>
          </w:divBdr>
        </w:div>
        <w:div w:id="736824653">
          <w:marLeft w:val="0"/>
          <w:marRight w:val="0"/>
          <w:marTop w:val="0"/>
          <w:marBottom w:val="0"/>
          <w:divBdr>
            <w:top w:val="none" w:sz="0" w:space="0" w:color="auto"/>
            <w:left w:val="none" w:sz="0" w:space="0" w:color="auto"/>
            <w:bottom w:val="none" w:sz="0" w:space="0" w:color="auto"/>
            <w:right w:val="none" w:sz="0" w:space="0" w:color="auto"/>
          </w:divBdr>
        </w:div>
        <w:div w:id="1396513961">
          <w:marLeft w:val="0"/>
          <w:marRight w:val="0"/>
          <w:marTop w:val="0"/>
          <w:marBottom w:val="0"/>
          <w:divBdr>
            <w:top w:val="none" w:sz="0" w:space="0" w:color="auto"/>
            <w:left w:val="none" w:sz="0" w:space="0" w:color="auto"/>
            <w:bottom w:val="none" w:sz="0" w:space="0" w:color="auto"/>
            <w:right w:val="none" w:sz="0" w:space="0" w:color="auto"/>
          </w:divBdr>
        </w:div>
        <w:div w:id="450899837">
          <w:marLeft w:val="0"/>
          <w:marRight w:val="0"/>
          <w:marTop w:val="0"/>
          <w:marBottom w:val="0"/>
          <w:divBdr>
            <w:top w:val="none" w:sz="0" w:space="0" w:color="auto"/>
            <w:left w:val="none" w:sz="0" w:space="0" w:color="auto"/>
            <w:bottom w:val="none" w:sz="0" w:space="0" w:color="auto"/>
            <w:right w:val="none" w:sz="0" w:space="0" w:color="auto"/>
          </w:divBdr>
        </w:div>
        <w:div w:id="1840539626">
          <w:marLeft w:val="0"/>
          <w:marRight w:val="0"/>
          <w:marTop w:val="0"/>
          <w:marBottom w:val="0"/>
          <w:divBdr>
            <w:top w:val="none" w:sz="0" w:space="0" w:color="auto"/>
            <w:left w:val="none" w:sz="0" w:space="0" w:color="auto"/>
            <w:bottom w:val="none" w:sz="0" w:space="0" w:color="auto"/>
            <w:right w:val="none" w:sz="0" w:space="0" w:color="auto"/>
          </w:divBdr>
        </w:div>
        <w:div w:id="661155133">
          <w:marLeft w:val="0"/>
          <w:marRight w:val="0"/>
          <w:marTop w:val="0"/>
          <w:marBottom w:val="0"/>
          <w:divBdr>
            <w:top w:val="none" w:sz="0" w:space="0" w:color="auto"/>
            <w:left w:val="none" w:sz="0" w:space="0" w:color="auto"/>
            <w:bottom w:val="none" w:sz="0" w:space="0" w:color="auto"/>
            <w:right w:val="none" w:sz="0" w:space="0" w:color="auto"/>
          </w:divBdr>
        </w:div>
        <w:div w:id="1505172288">
          <w:marLeft w:val="0"/>
          <w:marRight w:val="0"/>
          <w:marTop w:val="0"/>
          <w:marBottom w:val="0"/>
          <w:divBdr>
            <w:top w:val="none" w:sz="0" w:space="0" w:color="auto"/>
            <w:left w:val="none" w:sz="0" w:space="0" w:color="auto"/>
            <w:bottom w:val="none" w:sz="0" w:space="0" w:color="auto"/>
            <w:right w:val="none" w:sz="0" w:space="0" w:color="auto"/>
          </w:divBdr>
        </w:div>
        <w:div w:id="1868834633">
          <w:marLeft w:val="0"/>
          <w:marRight w:val="0"/>
          <w:marTop w:val="0"/>
          <w:marBottom w:val="0"/>
          <w:divBdr>
            <w:top w:val="none" w:sz="0" w:space="0" w:color="auto"/>
            <w:left w:val="none" w:sz="0" w:space="0" w:color="auto"/>
            <w:bottom w:val="none" w:sz="0" w:space="0" w:color="auto"/>
            <w:right w:val="none" w:sz="0" w:space="0" w:color="auto"/>
          </w:divBdr>
        </w:div>
        <w:div w:id="874461097">
          <w:marLeft w:val="0"/>
          <w:marRight w:val="0"/>
          <w:marTop w:val="0"/>
          <w:marBottom w:val="0"/>
          <w:divBdr>
            <w:top w:val="none" w:sz="0" w:space="0" w:color="auto"/>
            <w:left w:val="none" w:sz="0" w:space="0" w:color="auto"/>
            <w:bottom w:val="none" w:sz="0" w:space="0" w:color="auto"/>
            <w:right w:val="none" w:sz="0" w:space="0" w:color="auto"/>
          </w:divBdr>
        </w:div>
      </w:divsChild>
    </w:div>
    <w:div w:id="1739668233">
      <w:bodyDiv w:val="1"/>
      <w:marLeft w:val="0"/>
      <w:marRight w:val="0"/>
      <w:marTop w:val="0"/>
      <w:marBottom w:val="0"/>
      <w:divBdr>
        <w:top w:val="none" w:sz="0" w:space="0" w:color="auto"/>
        <w:left w:val="none" w:sz="0" w:space="0" w:color="auto"/>
        <w:bottom w:val="none" w:sz="0" w:space="0" w:color="auto"/>
        <w:right w:val="none" w:sz="0" w:space="0" w:color="auto"/>
      </w:divBdr>
      <w:divsChild>
        <w:div w:id="1140221999">
          <w:marLeft w:val="0"/>
          <w:marRight w:val="0"/>
          <w:marTop w:val="0"/>
          <w:marBottom w:val="0"/>
          <w:divBdr>
            <w:top w:val="none" w:sz="0" w:space="0" w:color="auto"/>
            <w:left w:val="none" w:sz="0" w:space="0" w:color="auto"/>
            <w:bottom w:val="none" w:sz="0" w:space="0" w:color="auto"/>
            <w:right w:val="none" w:sz="0" w:space="0" w:color="auto"/>
          </w:divBdr>
          <w:divsChild>
            <w:div w:id="394862586">
              <w:marLeft w:val="0"/>
              <w:marRight w:val="0"/>
              <w:marTop w:val="0"/>
              <w:marBottom w:val="0"/>
              <w:divBdr>
                <w:top w:val="none" w:sz="0" w:space="0" w:color="auto"/>
                <w:left w:val="none" w:sz="0" w:space="0" w:color="auto"/>
                <w:bottom w:val="none" w:sz="0" w:space="0" w:color="auto"/>
                <w:right w:val="none" w:sz="0" w:space="0" w:color="auto"/>
              </w:divBdr>
              <w:divsChild>
                <w:div w:id="1065495562">
                  <w:marLeft w:val="0"/>
                  <w:marRight w:val="0"/>
                  <w:marTop w:val="0"/>
                  <w:marBottom w:val="0"/>
                  <w:divBdr>
                    <w:top w:val="none" w:sz="0" w:space="0" w:color="auto"/>
                    <w:left w:val="none" w:sz="0" w:space="0" w:color="auto"/>
                    <w:bottom w:val="none" w:sz="0" w:space="0" w:color="auto"/>
                    <w:right w:val="none" w:sz="0" w:space="0" w:color="auto"/>
                  </w:divBdr>
                  <w:divsChild>
                    <w:div w:id="183725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562494">
      <w:bodyDiv w:val="1"/>
      <w:marLeft w:val="0"/>
      <w:marRight w:val="0"/>
      <w:marTop w:val="0"/>
      <w:marBottom w:val="0"/>
      <w:divBdr>
        <w:top w:val="none" w:sz="0" w:space="0" w:color="auto"/>
        <w:left w:val="none" w:sz="0" w:space="0" w:color="auto"/>
        <w:bottom w:val="none" w:sz="0" w:space="0" w:color="auto"/>
        <w:right w:val="none" w:sz="0" w:space="0" w:color="auto"/>
      </w:divBdr>
      <w:divsChild>
        <w:div w:id="510216905">
          <w:marLeft w:val="0"/>
          <w:marRight w:val="0"/>
          <w:marTop w:val="0"/>
          <w:marBottom w:val="0"/>
          <w:divBdr>
            <w:top w:val="none" w:sz="0" w:space="0" w:color="auto"/>
            <w:left w:val="none" w:sz="0" w:space="0" w:color="auto"/>
            <w:bottom w:val="none" w:sz="0" w:space="0" w:color="auto"/>
            <w:right w:val="none" w:sz="0" w:space="0" w:color="auto"/>
          </w:divBdr>
        </w:div>
        <w:div w:id="495002009">
          <w:marLeft w:val="0"/>
          <w:marRight w:val="0"/>
          <w:marTop w:val="0"/>
          <w:marBottom w:val="0"/>
          <w:divBdr>
            <w:top w:val="none" w:sz="0" w:space="0" w:color="auto"/>
            <w:left w:val="none" w:sz="0" w:space="0" w:color="auto"/>
            <w:bottom w:val="none" w:sz="0" w:space="0" w:color="auto"/>
            <w:right w:val="none" w:sz="0" w:space="0" w:color="auto"/>
          </w:divBdr>
        </w:div>
        <w:div w:id="234248105">
          <w:marLeft w:val="0"/>
          <w:marRight w:val="0"/>
          <w:marTop w:val="0"/>
          <w:marBottom w:val="0"/>
          <w:divBdr>
            <w:top w:val="none" w:sz="0" w:space="0" w:color="auto"/>
            <w:left w:val="none" w:sz="0" w:space="0" w:color="auto"/>
            <w:bottom w:val="none" w:sz="0" w:space="0" w:color="auto"/>
            <w:right w:val="none" w:sz="0" w:space="0" w:color="auto"/>
          </w:divBdr>
        </w:div>
        <w:div w:id="2109810090">
          <w:marLeft w:val="0"/>
          <w:marRight w:val="0"/>
          <w:marTop w:val="0"/>
          <w:marBottom w:val="0"/>
          <w:divBdr>
            <w:top w:val="none" w:sz="0" w:space="0" w:color="auto"/>
            <w:left w:val="none" w:sz="0" w:space="0" w:color="auto"/>
            <w:bottom w:val="none" w:sz="0" w:space="0" w:color="auto"/>
            <w:right w:val="none" w:sz="0" w:space="0" w:color="auto"/>
          </w:divBdr>
        </w:div>
        <w:div w:id="1913351926">
          <w:marLeft w:val="0"/>
          <w:marRight w:val="0"/>
          <w:marTop w:val="0"/>
          <w:marBottom w:val="0"/>
          <w:divBdr>
            <w:top w:val="none" w:sz="0" w:space="0" w:color="auto"/>
            <w:left w:val="none" w:sz="0" w:space="0" w:color="auto"/>
            <w:bottom w:val="none" w:sz="0" w:space="0" w:color="auto"/>
            <w:right w:val="none" w:sz="0" w:space="0" w:color="auto"/>
          </w:divBdr>
        </w:div>
        <w:div w:id="1912763688">
          <w:marLeft w:val="0"/>
          <w:marRight w:val="0"/>
          <w:marTop w:val="0"/>
          <w:marBottom w:val="0"/>
          <w:divBdr>
            <w:top w:val="none" w:sz="0" w:space="0" w:color="auto"/>
            <w:left w:val="none" w:sz="0" w:space="0" w:color="auto"/>
            <w:bottom w:val="none" w:sz="0" w:space="0" w:color="auto"/>
            <w:right w:val="none" w:sz="0" w:space="0" w:color="auto"/>
          </w:divBdr>
        </w:div>
        <w:div w:id="659427657">
          <w:marLeft w:val="0"/>
          <w:marRight w:val="0"/>
          <w:marTop w:val="0"/>
          <w:marBottom w:val="0"/>
          <w:divBdr>
            <w:top w:val="none" w:sz="0" w:space="0" w:color="auto"/>
            <w:left w:val="none" w:sz="0" w:space="0" w:color="auto"/>
            <w:bottom w:val="none" w:sz="0" w:space="0" w:color="auto"/>
            <w:right w:val="none" w:sz="0" w:space="0" w:color="auto"/>
          </w:divBdr>
        </w:div>
        <w:div w:id="521938304">
          <w:marLeft w:val="0"/>
          <w:marRight w:val="0"/>
          <w:marTop w:val="0"/>
          <w:marBottom w:val="0"/>
          <w:divBdr>
            <w:top w:val="none" w:sz="0" w:space="0" w:color="auto"/>
            <w:left w:val="none" w:sz="0" w:space="0" w:color="auto"/>
            <w:bottom w:val="none" w:sz="0" w:space="0" w:color="auto"/>
            <w:right w:val="none" w:sz="0" w:space="0" w:color="auto"/>
          </w:divBdr>
        </w:div>
        <w:div w:id="543448934">
          <w:marLeft w:val="0"/>
          <w:marRight w:val="0"/>
          <w:marTop w:val="0"/>
          <w:marBottom w:val="0"/>
          <w:divBdr>
            <w:top w:val="none" w:sz="0" w:space="0" w:color="auto"/>
            <w:left w:val="none" w:sz="0" w:space="0" w:color="auto"/>
            <w:bottom w:val="none" w:sz="0" w:space="0" w:color="auto"/>
            <w:right w:val="none" w:sz="0" w:space="0" w:color="auto"/>
          </w:divBdr>
        </w:div>
        <w:div w:id="1844315200">
          <w:marLeft w:val="0"/>
          <w:marRight w:val="0"/>
          <w:marTop w:val="0"/>
          <w:marBottom w:val="0"/>
          <w:divBdr>
            <w:top w:val="none" w:sz="0" w:space="0" w:color="auto"/>
            <w:left w:val="none" w:sz="0" w:space="0" w:color="auto"/>
            <w:bottom w:val="none" w:sz="0" w:space="0" w:color="auto"/>
            <w:right w:val="none" w:sz="0" w:space="0" w:color="auto"/>
          </w:divBdr>
        </w:div>
        <w:div w:id="466358054">
          <w:marLeft w:val="0"/>
          <w:marRight w:val="0"/>
          <w:marTop w:val="0"/>
          <w:marBottom w:val="0"/>
          <w:divBdr>
            <w:top w:val="none" w:sz="0" w:space="0" w:color="auto"/>
            <w:left w:val="none" w:sz="0" w:space="0" w:color="auto"/>
            <w:bottom w:val="none" w:sz="0" w:space="0" w:color="auto"/>
            <w:right w:val="none" w:sz="0" w:space="0" w:color="auto"/>
          </w:divBdr>
        </w:div>
        <w:div w:id="884675915">
          <w:marLeft w:val="0"/>
          <w:marRight w:val="0"/>
          <w:marTop w:val="0"/>
          <w:marBottom w:val="0"/>
          <w:divBdr>
            <w:top w:val="none" w:sz="0" w:space="0" w:color="auto"/>
            <w:left w:val="none" w:sz="0" w:space="0" w:color="auto"/>
            <w:bottom w:val="none" w:sz="0" w:space="0" w:color="auto"/>
            <w:right w:val="none" w:sz="0" w:space="0" w:color="auto"/>
          </w:divBdr>
        </w:div>
        <w:div w:id="2043824366">
          <w:marLeft w:val="0"/>
          <w:marRight w:val="0"/>
          <w:marTop w:val="0"/>
          <w:marBottom w:val="0"/>
          <w:divBdr>
            <w:top w:val="none" w:sz="0" w:space="0" w:color="auto"/>
            <w:left w:val="none" w:sz="0" w:space="0" w:color="auto"/>
            <w:bottom w:val="none" w:sz="0" w:space="0" w:color="auto"/>
            <w:right w:val="none" w:sz="0" w:space="0" w:color="auto"/>
          </w:divBdr>
        </w:div>
        <w:div w:id="1627127944">
          <w:marLeft w:val="0"/>
          <w:marRight w:val="0"/>
          <w:marTop w:val="0"/>
          <w:marBottom w:val="0"/>
          <w:divBdr>
            <w:top w:val="none" w:sz="0" w:space="0" w:color="auto"/>
            <w:left w:val="none" w:sz="0" w:space="0" w:color="auto"/>
            <w:bottom w:val="none" w:sz="0" w:space="0" w:color="auto"/>
            <w:right w:val="none" w:sz="0" w:space="0" w:color="auto"/>
          </w:divBdr>
        </w:div>
        <w:div w:id="2032294591">
          <w:marLeft w:val="0"/>
          <w:marRight w:val="0"/>
          <w:marTop w:val="0"/>
          <w:marBottom w:val="0"/>
          <w:divBdr>
            <w:top w:val="none" w:sz="0" w:space="0" w:color="auto"/>
            <w:left w:val="none" w:sz="0" w:space="0" w:color="auto"/>
            <w:bottom w:val="none" w:sz="0" w:space="0" w:color="auto"/>
            <w:right w:val="none" w:sz="0" w:space="0" w:color="auto"/>
          </w:divBdr>
        </w:div>
        <w:div w:id="1767654576">
          <w:marLeft w:val="0"/>
          <w:marRight w:val="0"/>
          <w:marTop w:val="0"/>
          <w:marBottom w:val="0"/>
          <w:divBdr>
            <w:top w:val="none" w:sz="0" w:space="0" w:color="auto"/>
            <w:left w:val="none" w:sz="0" w:space="0" w:color="auto"/>
            <w:bottom w:val="none" w:sz="0" w:space="0" w:color="auto"/>
            <w:right w:val="none" w:sz="0" w:space="0" w:color="auto"/>
          </w:divBdr>
        </w:div>
        <w:div w:id="970475247">
          <w:marLeft w:val="0"/>
          <w:marRight w:val="0"/>
          <w:marTop w:val="0"/>
          <w:marBottom w:val="0"/>
          <w:divBdr>
            <w:top w:val="none" w:sz="0" w:space="0" w:color="auto"/>
            <w:left w:val="none" w:sz="0" w:space="0" w:color="auto"/>
            <w:bottom w:val="none" w:sz="0" w:space="0" w:color="auto"/>
            <w:right w:val="none" w:sz="0" w:space="0" w:color="auto"/>
          </w:divBdr>
        </w:div>
        <w:div w:id="1490748364">
          <w:marLeft w:val="0"/>
          <w:marRight w:val="0"/>
          <w:marTop w:val="0"/>
          <w:marBottom w:val="0"/>
          <w:divBdr>
            <w:top w:val="none" w:sz="0" w:space="0" w:color="auto"/>
            <w:left w:val="none" w:sz="0" w:space="0" w:color="auto"/>
            <w:bottom w:val="none" w:sz="0" w:space="0" w:color="auto"/>
            <w:right w:val="none" w:sz="0" w:space="0" w:color="auto"/>
          </w:divBdr>
        </w:div>
        <w:div w:id="786043715">
          <w:marLeft w:val="0"/>
          <w:marRight w:val="0"/>
          <w:marTop w:val="0"/>
          <w:marBottom w:val="0"/>
          <w:divBdr>
            <w:top w:val="none" w:sz="0" w:space="0" w:color="auto"/>
            <w:left w:val="none" w:sz="0" w:space="0" w:color="auto"/>
            <w:bottom w:val="none" w:sz="0" w:space="0" w:color="auto"/>
            <w:right w:val="none" w:sz="0" w:space="0" w:color="auto"/>
          </w:divBdr>
        </w:div>
        <w:div w:id="1957518202">
          <w:marLeft w:val="0"/>
          <w:marRight w:val="0"/>
          <w:marTop w:val="0"/>
          <w:marBottom w:val="0"/>
          <w:divBdr>
            <w:top w:val="none" w:sz="0" w:space="0" w:color="auto"/>
            <w:left w:val="none" w:sz="0" w:space="0" w:color="auto"/>
            <w:bottom w:val="none" w:sz="0" w:space="0" w:color="auto"/>
            <w:right w:val="none" w:sz="0" w:space="0" w:color="auto"/>
          </w:divBdr>
        </w:div>
        <w:div w:id="2073115748">
          <w:marLeft w:val="0"/>
          <w:marRight w:val="0"/>
          <w:marTop w:val="0"/>
          <w:marBottom w:val="0"/>
          <w:divBdr>
            <w:top w:val="none" w:sz="0" w:space="0" w:color="auto"/>
            <w:left w:val="none" w:sz="0" w:space="0" w:color="auto"/>
            <w:bottom w:val="none" w:sz="0" w:space="0" w:color="auto"/>
            <w:right w:val="none" w:sz="0" w:space="0" w:color="auto"/>
          </w:divBdr>
        </w:div>
      </w:divsChild>
    </w:div>
    <w:div w:id="1745372439">
      <w:bodyDiv w:val="1"/>
      <w:marLeft w:val="0"/>
      <w:marRight w:val="0"/>
      <w:marTop w:val="0"/>
      <w:marBottom w:val="0"/>
      <w:divBdr>
        <w:top w:val="none" w:sz="0" w:space="0" w:color="auto"/>
        <w:left w:val="none" w:sz="0" w:space="0" w:color="auto"/>
        <w:bottom w:val="none" w:sz="0" w:space="0" w:color="auto"/>
        <w:right w:val="none" w:sz="0" w:space="0" w:color="auto"/>
      </w:divBdr>
    </w:div>
    <w:div w:id="1774084510">
      <w:bodyDiv w:val="1"/>
      <w:marLeft w:val="0"/>
      <w:marRight w:val="0"/>
      <w:marTop w:val="0"/>
      <w:marBottom w:val="0"/>
      <w:divBdr>
        <w:top w:val="none" w:sz="0" w:space="0" w:color="auto"/>
        <w:left w:val="none" w:sz="0" w:space="0" w:color="auto"/>
        <w:bottom w:val="none" w:sz="0" w:space="0" w:color="auto"/>
        <w:right w:val="none" w:sz="0" w:space="0" w:color="auto"/>
      </w:divBdr>
    </w:div>
    <w:div w:id="1775704851">
      <w:bodyDiv w:val="1"/>
      <w:marLeft w:val="0"/>
      <w:marRight w:val="0"/>
      <w:marTop w:val="0"/>
      <w:marBottom w:val="0"/>
      <w:divBdr>
        <w:top w:val="none" w:sz="0" w:space="0" w:color="auto"/>
        <w:left w:val="none" w:sz="0" w:space="0" w:color="auto"/>
        <w:bottom w:val="none" w:sz="0" w:space="0" w:color="auto"/>
        <w:right w:val="none" w:sz="0" w:space="0" w:color="auto"/>
      </w:divBdr>
      <w:divsChild>
        <w:div w:id="844056310">
          <w:marLeft w:val="0"/>
          <w:marRight w:val="0"/>
          <w:marTop w:val="0"/>
          <w:marBottom w:val="0"/>
          <w:divBdr>
            <w:top w:val="none" w:sz="0" w:space="0" w:color="auto"/>
            <w:left w:val="none" w:sz="0" w:space="0" w:color="auto"/>
            <w:bottom w:val="none" w:sz="0" w:space="0" w:color="auto"/>
            <w:right w:val="none" w:sz="0" w:space="0" w:color="auto"/>
          </w:divBdr>
        </w:div>
        <w:div w:id="1988631248">
          <w:marLeft w:val="0"/>
          <w:marRight w:val="0"/>
          <w:marTop w:val="0"/>
          <w:marBottom w:val="0"/>
          <w:divBdr>
            <w:top w:val="none" w:sz="0" w:space="0" w:color="auto"/>
            <w:left w:val="none" w:sz="0" w:space="0" w:color="auto"/>
            <w:bottom w:val="none" w:sz="0" w:space="0" w:color="auto"/>
            <w:right w:val="none" w:sz="0" w:space="0" w:color="auto"/>
          </w:divBdr>
        </w:div>
        <w:div w:id="539124824">
          <w:marLeft w:val="0"/>
          <w:marRight w:val="0"/>
          <w:marTop w:val="0"/>
          <w:marBottom w:val="0"/>
          <w:divBdr>
            <w:top w:val="none" w:sz="0" w:space="0" w:color="auto"/>
            <w:left w:val="none" w:sz="0" w:space="0" w:color="auto"/>
            <w:bottom w:val="none" w:sz="0" w:space="0" w:color="auto"/>
            <w:right w:val="none" w:sz="0" w:space="0" w:color="auto"/>
          </w:divBdr>
        </w:div>
        <w:div w:id="947270461">
          <w:marLeft w:val="0"/>
          <w:marRight w:val="0"/>
          <w:marTop w:val="0"/>
          <w:marBottom w:val="0"/>
          <w:divBdr>
            <w:top w:val="none" w:sz="0" w:space="0" w:color="auto"/>
            <w:left w:val="none" w:sz="0" w:space="0" w:color="auto"/>
            <w:bottom w:val="none" w:sz="0" w:space="0" w:color="auto"/>
            <w:right w:val="none" w:sz="0" w:space="0" w:color="auto"/>
          </w:divBdr>
        </w:div>
        <w:div w:id="1291276952">
          <w:marLeft w:val="0"/>
          <w:marRight w:val="0"/>
          <w:marTop w:val="0"/>
          <w:marBottom w:val="0"/>
          <w:divBdr>
            <w:top w:val="none" w:sz="0" w:space="0" w:color="auto"/>
            <w:left w:val="none" w:sz="0" w:space="0" w:color="auto"/>
            <w:bottom w:val="none" w:sz="0" w:space="0" w:color="auto"/>
            <w:right w:val="none" w:sz="0" w:space="0" w:color="auto"/>
          </w:divBdr>
        </w:div>
        <w:div w:id="611203902">
          <w:marLeft w:val="0"/>
          <w:marRight w:val="0"/>
          <w:marTop w:val="0"/>
          <w:marBottom w:val="0"/>
          <w:divBdr>
            <w:top w:val="none" w:sz="0" w:space="0" w:color="auto"/>
            <w:left w:val="none" w:sz="0" w:space="0" w:color="auto"/>
            <w:bottom w:val="none" w:sz="0" w:space="0" w:color="auto"/>
            <w:right w:val="none" w:sz="0" w:space="0" w:color="auto"/>
          </w:divBdr>
        </w:div>
        <w:div w:id="1550922847">
          <w:marLeft w:val="0"/>
          <w:marRight w:val="0"/>
          <w:marTop w:val="0"/>
          <w:marBottom w:val="0"/>
          <w:divBdr>
            <w:top w:val="none" w:sz="0" w:space="0" w:color="auto"/>
            <w:left w:val="none" w:sz="0" w:space="0" w:color="auto"/>
            <w:bottom w:val="none" w:sz="0" w:space="0" w:color="auto"/>
            <w:right w:val="none" w:sz="0" w:space="0" w:color="auto"/>
          </w:divBdr>
        </w:div>
        <w:div w:id="778375191">
          <w:marLeft w:val="0"/>
          <w:marRight w:val="0"/>
          <w:marTop w:val="0"/>
          <w:marBottom w:val="0"/>
          <w:divBdr>
            <w:top w:val="none" w:sz="0" w:space="0" w:color="auto"/>
            <w:left w:val="none" w:sz="0" w:space="0" w:color="auto"/>
            <w:bottom w:val="none" w:sz="0" w:space="0" w:color="auto"/>
            <w:right w:val="none" w:sz="0" w:space="0" w:color="auto"/>
          </w:divBdr>
        </w:div>
        <w:div w:id="1192307111">
          <w:marLeft w:val="0"/>
          <w:marRight w:val="0"/>
          <w:marTop w:val="0"/>
          <w:marBottom w:val="0"/>
          <w:divBdr>
            <w:top w:val="none" w:sz="0" w:space="0" w:color="auto"/>
            <w:left w:val="none" w:sz="0" w:space="0" w:color="auto"/>
            <w:bottom w:val="none" w:sz="0" w:space="0" w:color="auto"/>
            <w:right w:val="none" w:sz="0" w:space="0" w:color="auto"/>
          </w:divBdr>
        </w:div>
        <w:div w:id="1994020421">
          <w:marLeft w:val="0"/>
          <w:marRight w:val="0"/>
          <w:marTop w:val="0"/>
          <w:marBottom w:val="0"/>
          <w:divBdr>
            <w:top w:val="none" w:sz="0" w:space="0" w:color="auto"/>
            <w:left w:val="none" w:sz="0" w:space="0" w:color="auto"/>
            <w:bottom w:val="none" w:sz="0" w:space="0" w:color="auto"/>
            <w:right w:val="none" w:sz="0" w:space="0" w:color="auto"/>
          </w:divBdr>
        </w:div>
        <w:div w:id="1196699714">
          <w:marLeft w:val="0"/>
          <w:marRight w:val="0"/>
          <w:marTop w:val="0"/>
          <w:marBottom w:val="0"/>
          <w:divBdr>
            <w:top w:val="none" w:sz="0" w:space="0" w:color="auto"/>
            <w:left w:val="none" w:sz="0" w:space="0" w:color="auto"/>
            <w:bottom w:val="none" w:sz="0" w:space="0" w:color="auto"/>
            <w:right w:val="none" w:sz="0" w:space="0" w:color="auto"/>
          </w:divBdr>
        </w:div>
        <w:div w:id="1491406817">
          <w:marLeft w:val="0"/>
          <w:marRight w:val="0"/>
          <w:marTop w:val="0"/>
          <w:marBottom w:val="0"/>
          <w:divBdr>
            <w:top w:val="none" w:sz="0" w:space="0" w:color="auto"/>
            <w:left w:val="none" w:sz="0" w:space="0" w:color="auto"/>
            <w:bottom w:val="none" w:sz="0" w:space="0" w:color="auto"/>
            <w:right w:val="none" w:sz="0" w:space="0" w:color="auto"/>
          </w:divBdr>
        </w:div>
        <w:div w:id="1099449115">
          <w:marLeft w:val="0"/>
          <w:marRight w:val="0"/>
          <w:marTop w:val="0"/>
          <w:marBottom w:val="0"/>
          <w:divBdr>
            <w:top w:val="none" w:sz="0" w:space="0" w:color="auto"/>
            <w:left w:val="none" w:sz="0" w:space="0" w:color="auto"/>
            <w:bottom w:val="none" w:sz="0" w:space="0" w:color="auto"/>
            <w:right w:val="none" w:sz="0" w:space="0" w:color="auto"/>
          </w:divBdr>
        </w:div>
        <w:div w:id="1837375220">
          <w:marLeft w:val="0"/>
          <w:marRight w:val="0"/>
          <w:marTop w:val="0"/>
          <w:marBottom w:val="0"/>
          <w:divBdr>
            <w:top w:val="none" w:sz="0" w:space="0" w:color="auto"/>
            <w:left w:val="none" w:sz="0" w:space="0" w:color="auto"/>
            <w:bottom w:val="none" w:sz="0" w:space="0" w:color="auto"/>
            <w:right w:val="none" w:sz="0" w:space="0" w:color="auto"/>
          </w:divBdr>
        </w:div>
        <w:div w:id="203443349">
          <w:marLeft w:val="0"/>
          <w:marRight w:val="0"/>
          <w:marTop w:val="0"/>
          <w:marBottom w:val="0"/>
          <w:divBdr>
            <w:top w:val="none" w:sz="0" w:space="0" w:color="auto"/>
            <w:left w:val="none" w:sz="0" w:space="0" w:color="auto"/>
            <w:bottom w:val="none" w:sz="0" w:space="0" w:color="auto"/>
            <w:right w:val="none" w:sz="0" w:space="0" w:color="auto"/>
          </w:divBdr>
        </w:div>
        <w:div w:id="1248124">
          <w:marLeft w:val="0"/>
          <w:marRight w:val="0"/>
          <w:marTop w:val="0"/>
          <w:marBottom w:val="0"/>
          <w:divBdr>
            <w:top w:val="none" w:sz="0" w:space="0" w:color="auto"/>
            <w:left w:val="none" w:sz="0" w:space="0" w:color="auto"/>
            <w:bottom w:val="none" w:sz="0" w:space="0" w:color="auto"/>
            <w:right w:val="none" w:sz="0" w:space="0" w:color="auto"/>
          </w:divBdr>
        </w:div>
        <w:div w:id="345405350">
          <w:marLeft w:val="0"/>
          <w:marRight w:val="0"/>
          <w:marTop w:val="0"/>
          <w:marBottom w:val="0"/>
          <w:divBdr>
            <w:top w:val="none" w:sz="0" w:space="0" w:color="auto"/>
            <w:left w:val="none" w:sz="0" w:space="0" w:color="auto"/>
            <w:bottom w:val="none" w:sz="0" w:space="0" w:color="auto"/>
            <w:right w:val="none" w:sz="0" w:space="0" w:color="auto"/>
          </w:divBdr>
        </w:div>
        <w:div w:id="1003244236">
          <w:marLeft w:val="0"/>
          <w:marRight w:val="0"/>
          <w:marTop w:val="0"/>
          <w:marBottom w:val="0"/>
          <w:divBdr>
            <w:top w:val="none" w:sz="0" w:space="0" w:color="auto"/>
            <w:left w:val="none" w:sz="0" w:space="0" w:color="auto"/>
            <w:bottom w:val="none" w:sz="0" w:space="0" w:color="auto"/>
            <w:right w:val="none" w:sz="0" w:space="0" w:color="auto"/>
          </w:divBdr>
        </w:div>
        <w:div w:id="606427051">
          <w:marLeft w:val="0"/>
          <w:marRight w:val="0"/>
          <w:marTop w:val="0"/>
          <w:marBottom w:val="0"/>
          <w:divBdr>
            <w:top w:val="none" w:sz="0" w:space="0" w:color="auto"/>
            <w:left w:val="none" w:sz="0" w:space="0" w:color="auto"/>
            <w:bottom w:val="none" w:sz="0" w:space="0" w:color="auto"/>
            <w:right w:val="none" w:sz="0" w:space="0" w:color="auto"/>
          </w:divBdr>
        </w:div>
        <w:div w:id="1850025044">
          <w:marLeft w:val="0"/>
          <w:marRight w:val="0"/>
          <w:marTop w:val="0"/>
          <w:marBottom w:val="0"/>
          <w:divBdr>
            <w:top w:val="none" w:sz="0" w:space="0" w:color="auto"/>
            <w:left w:val="none" w:sz="0" w:space="0" w:color="auto"/>
            <w:bottom w:val="none" w:sz="0" w:space="0" w:color="auto"/>
            <w:right w:val="none" w:sz="0" w:space="0" w:color="auto"/>
          </w:divBdr>
        </w:div>
        <w:div w:id="757748047">
          <w:marLeft w:val="0"/>
          <w:marRight w:val="0"/>
          <w:marTop w:val="0"/>
          <w:marBottom w:val="0"/>
          <w:divBdr>
            <w:top w:val="none" w:sz="0" w:space="0" w:color="auto"/>
            <w:left w:val="none" w:sz="0" w:space="0" w:color="auto"/>
            <w:bottom w:val="none" w:sz="0" w:space="0" w:color="auto"/>
            <w:right w:val="none" w:sz="0" w:space="0" w:color="auto"/>
          </w:divBdr>
        </w:div>
        <w:div w:id="1490362295">
          <w:marLeft w:val="0"/>
          <w:marRight w:val="0"/>
          <w:marTop w:val="0"/>
          <w:marBottom w:val="0"/>
          <w:divBdr>
            <w:top w:val="none" w:sz="0" w:space="0" w:color="auto"/>
            <w:left w:val="none" w:sz="0" w:space="0" w:color="auto"/>
            <w:bottom w:val="none" w:sz="0" w:space="0" w:color="auto"/>
            <w:right w:val="none" w:sz="0" w:space="0" w:color="auto"/>
          </w:divBdr>
        </w:div>
        <w:div w:id="927471059">
          <w:marLeft w:val="0"/>
          <w:marRight w:val="0"/>
          <w:marTop w:val="0"/>
          <w:marBottom w:val="0"/>
          <w:divBdr>
            <w:top w:val="none" w:sz="0" w:space="0" w:color="auto"/>
            <w:left w:val="none" w:sz="0" w:space="0" w:color="auto"/>
            <w:bottom w:val="none" w:sz="0" w:space="0" w:color="auto"/>
            <w:right w:val="none" w:sz="0" w:space="0" w:color="auto"/>
          </w:divBdr>
        </w:div>
        <w:div w:id="1621762853">
          <w:marLeft w:val="0"/>
          <w:marRight w:val="0"/>
          <w:marTop w:val="0"/>
          <w:marBottom w:val="0"/>
          <w:divBdr>
            <w:top w:val="none" w:sz="0" w:space="0" w:color="auto"/>
            <w:left w:val="none" w:sz="0" w:space="0" w:color="auto"/>
            <w:bottom w:val="none" w:sz="0" w:space="0" w:color="auto"/>
            <w:right w:val="none" w:sz="0" w:space="0" w:color="auto"/>
          </w:divBdr>
        </w:div>
        <w:div w:id="1349256015">
          <w:marLeft w:val="0"/>
          <w:marRight w:val="0"/>
          <w:marTop w:val="0"/>
          <w:marBottom w:val="0"/>
          <w:divBdr>
            <w:top w:val="none" w:sz="0" w:space="0" w:color="auto"/>
            <w:left w:val="none" w:sz="0" w:space="0" w:color="auto"/>
            <w:bottom w:val="none" w:sz="0" w:space="0" w:color="auto"/>
            <w:right w:val="none" w:sz="0" w:space="0" w:color="auto"/>
          </w:divBdr>
        </w:div>
        <w:div w:id="2099591670">
          <w:marLeft w:val="0"/>
          <w:marRight w:val="0"/>
          <w:marTop w:val="0"/>
          <w:marBottom w:val="0"/>
          <w:divBdr>
            <w:top w:val="none" w:sz="0" w:space="0" w:color="auto"/>
            <w:left w:val="none" w:sz="0" w:space="0" w:color="auto"/>
            <w:bottom w:val="none" w:sz="0" w:space="0" w:color="auto"/>
            <w:right w:val="none" w:sz="0" w:space="0" w:color="auto"/>
          </w:divBdr>
        </w:div>
        <w:div w:id="848369100">
          <w:marLeft w:val="0"/>
          <w:marRight w:val="0"/>
          <w:marTop w:val="0"/>
          <w:marBottom w:val="0"/>
          <w:divBdr>
            <w:top w:val="none" w:sz="0" w:space="0" w:color="auto"/>
            <w:left w:val="none" w:sz="0" w:space="0" w:color="auto"/>
            <w:bottom w:val="none" w:sz="0" w:space="0" w:color="auto"/>
            <w:right w:val="none" w:sz="0" w:space="0" w:color="auto"/>
          </w:divBdr>
        </w:div>
        <w:div w:id="994723299">
          <w:marLeft w:val="0"/>
          <w:marRight w:val="0"/>
          <w:marTop w:val="0"/>
          <w:marBottom w:val="0"/>
          <w:divBdr>
            <w:top w:val="none" w:sz="0" w:space="0" w:color="auto"/>
            <w:left w:val="none" w:sz="0" w:space="0" w:color="auto"/>
            <w:bottom w:val="none" w:sz="0" w:space="0" w:color="auto"/>
            <w:right w:val="none" w:sz="0" w:space="0" w:color="auto"/>
          </w:divBdr>
        </w:div>
        <w:div w:id="642547156">
          <w:marLeft w:val="0"/>
          <w:marRight w:val="0"/>
          <w:marTop w:val="0"/>
          <w:marBottom w:val="0"/>
          <w:divBdr>
            <w:top w:val="none" w:sz="0" w:space="0" w:color="auto"/>
            <w:left w:val="none" w:sz="0" w:space="0" w:color="auto"/>
            <w:bottom w:val="none" w:sz="0" w:space="0" w:color="auto"/>
            <w:right w:val="none" w:sz="0" w:space="0" w:color="auto"/>
          </w:divBdr>
          <w:divsChild>
            <w:div w:id="1122386065">
              <w:marLeft w:val="0"/>
              <w:marRight w:val="0"/>
              <w:marTop w:val="0"/>
              <w:marBottom w:val="0"/>
              <w:divBdr>
                <w:top w:val="none" w:sz="0" w:space="0" w:color="auto"/>
                <w:left w:val="none" w:sz="0" w:space="0" w:color="auto"/>
                <w:bottom w:val="none" w:sz="0" w:space="0" w:color="auto"/>
                <w:right w:val="none" w:sz="0" w:space="0" w:color="auto"/>
              </w:divBdr>
              <w:divsChild>
                <w:div w:id="811602357">
                  <w:marLeft w:val="0"/>
                  <w:marRight w:val="0"/>
                  <w:marTop w:val="0"/>
                  <w:marBottom w:val="0"/>
                  <w:divBdr>
                    <w:top w:val="none" w:sz="0" w:space="0" w:color="auto"/>
                    <w:left w:val="none" w:sz="0" w:space="0" w:color="auto"/>
                    <w:bottom w:val="none" w:sz="0" w:space="0" w:color="auto"/>
                    <w:right w:val="none" w:sz="0" w:space="0" w:color="auto"/>
                  </w:divBdr>
                </w:div>
                <w:div w:id="1790932359">
                  <w:marLeft w:val="0"/>
                  <w:marRight w:val="0"/>
                  <w:marTop w:val="0"/>
                  <w:marBottom w:val="0"/>
                  <w:divBdr>
                    <w:top w:val="none" w:sz="0" w:space="0" w:color="auto"/>
                    <w:left w:val="none" w:sz="0" w:space="0" w:color="auto"/>
                    <w:bottom w:val="none" w:sz="0" w:space="0" w:color="auto"/>
                    <w:right w:val="none" w:sz="0" w:space="0" w:color="auto"/>
                  </w:divBdr>
                </w:div>
                <w:div w:id="1860074478">
                  <w:marLeft w:val="0"/>
                  <w:marRight w:val="0"/>
                  <w:marTop w:val="0"/>
                  <w:marBottom w:val="0"/>
                  <w:divBdr>
                    <w:top w:val="none" w:sz="0" w:space="0" w:color="auto"/>
                    <w:left w:val="none" w:sz="0" w:space="0" w:color="auto"/>
                    <w:bottom w:val="none" w:sz="0" w:space="0" w:color="auto"/>
                    <w:right w:val="none" w:sz="0" w:space="0" w:color="auto"/>
                  </w:divBdr>
                </w:div>
                <w:div w:id="119736718">
                  <w:marLeft w:val="0"/>
                  <w:marRight w:val="0"/>
                  <w:marTop w:val="0"/>
                  <w:marBottom w:val="0"/>
                  <w:divBdr>
                    <w:top w:val="none" w:sz="0" w:space="0" w:color="auto"/>
                    <w:left w:val="none" w:sz="0" w:space="0" w:color="auto"/>
                    <w:bottom w:val="none" w:sz="0" w:space="0" w:color="auto"/>
                    <w:right w:val="none" w:sz="0" w:space="0" w:color="auto"/>
                  </w:divBdr>
                </w:div>
                <w:div w:id="286817214">
                  <w:marLeft w:val="0"/>
                  <w:marRight w:val="0"/>
                  <w:marTop w:val="0"/>
                  <w:marBottom w:val="0"/>
                  <w:divBdr>
                    <w:top w:val="none" w:sz="0" w:space="0" w:color="auto"/>
                    <w:left w:val="none" w:sz="0" w:space="0" w:color="auto"/>
                    <w:bottom w:val="none" w:sz="0" w:space="0" w:color="auto"/>
                    <w:right w:val="none" w:sz="0" w:space="0" w:color="auto"/>
                  </w:divBdr>
                </w:div>
                <w:div w:id="1281842666">
                  <w:marLeft w:val="0"/>
                  <w:marRight w:val="0"/>
                  <w:marTop w:val="0"/>
                  <w:marBottom w:val="0"/>
                  <w:divBdr>
                    <w:top w:val="none" w:sz="0" w:space="0" w:color="auto"/>
                    <w:left w:val="none" w:sz="0" w:space="0" w:color="auto"/>
                    <w:bottom w:val="none" w:sz="0" w:space="0" w:color="auto"/>
                    <w:right w:val="none" w:sz="0" w:space="0" w:color="auto"/>
                  </w:divBdr>
                </w:div>
                <w:div w:id="20129708">
                  <w:marLeft w:val="0"/>
                  <w:marRight w:val="0"/>
                  <w:marTop w:val="0"/>
                  <w:marBottom w:val="0"/>
                  <w:divBdr>
                    <w:top w:val="none" w:sz="0" w:space="0" w:color="auto"/>
                    <w:left w:val="none" w:sz="0" w:space="0" w:color="auto"/>
                    <w:bottom w:val="none" w:sz="0" w:space="0" w:color="auto"/>
                    <w:right w:val="none" w:sz="0" w:space="0" w:color="auto"/>
                  </w:divBdr>
                </w:div>
                <w:div w:id="1936403157">
                  <w:marLeft w:val="0"/>
                  <w:marRight w:val="0"/>
                  <w:marTop w:val="0"/>
                  <w:marBottom w:val="0"/>
                  <w:divBdr>
                    <w:top w:val="none" w:sz="0" w:space="0" w:color="auto"/>
                    <w:left w:val="none" w:sz="0" w:space="0" w:color="auto"/>
                    <w:bottom w:val="none" w:sz="0" w:space="0" w:color="auto"/>
                    <w:right w:val="none" w:sz="0" w:space="0" w:color="auto"/>
                  </w:divBdr>
                </w:div>
                <w:div w:id="1412923142">
                  <w:marLeft w:val="0"/>
                  <w:marRight w:val="0"/>
                  <w:marTop w:val="0"/>
                  <w:marBottom w:val="0"/>
                  <w:divBdr>
                    <w:top w:val="none" w:sz="0" w:space="0" w:color="auto"/>
                    <w:left w:val="none" w:sz="0" w:space="0" w:color="auto"/>
                    <w:bottom w:val="none" w:sz="0" w:space="0" w:color="auto"/>
                    <w:right w:val="none" w:sz="0" w:space="0" w:color="auto"/>
                  </w:divBdr>
                </w:div>
                <w:div w:id="772359325">
                  <w:marLeft w:val="0"/>
                  <w:marRight w:val="0"/>
                  <w:marTop w:val="0"/>
                  <w:marBottom w:val="0"/>
                  <w:divBdr>
                    <w:top w:val="none" w:sz="0" w:space="0" w:color="auto"/>
                    <w:left w:val="none" w:sz="0" w:space="0" w:color="auto"/>
                    <w:bottom w:val="none" w:sz="0" w:space="0" w:color="auto"/>
                    <w:right w:val="none" w:sz="0" w:space="0" w:color="auto"/>
                  </w:divBdr>
                </w:div>
                <w:div w:id="1722242020">
                  <w:marLeft w:val="0"/>
                  <w:marRight w:val="0"/>
                  <w:marTop w:val="0"/>
                  <w:marBottom w:val="0"/>
                  <w:divBdr>
                    <w:top w:val="none" w:sz="0" w:space="0" w:color="auto"/>
                    <w:left w:val="none" w:sz="0" w:space="0" w:color="auto"/>
                    <w:bottom w:val="none" w:sz="0" w:space="0" w:color="auto"/>
                    <w:right w:val="none" w:sz="0" w:space="0" w:color="auto"/>
                  </w:divBdr>
                </w:div>
                <w:div w:id="2093237952">
                  <w:marLeft w:val="0"/>
                  <w:marRight w:val="0"/>
                  <w:marTop w:val="0"/>
                  <w:marBottom w:val="0"/>
                  <w:divBdr>
                    <w:top w:val="none" w:sz="0" w:space="0" w:color="auto"/>
                    <w:left w:val="none" w:sz="0" w:space="0" w:color="auto"/>
                    <w:bottom w:val="none" w:sz="0" w:space="0" w:color="auto"/>
                    <w:right w:val="none" w:sz="0" w:space="0" w:color="auto"/>
                  </w:divBdr>
                </w:div>
                <w:div w:id="1459185248">
                  <w:marLeft w:val="0"/>
                  <w:marRight w:val="0"/>
                  <w:marTop w:val="0"/>
                  <w:marBottom w:val="0"/>
                  <w:divBdr>
                    <w:top w:val="none" w:sz="0" w:space="0" w:color="auto"/>
                    <w:left w:val="none" w:sz="0" w:space="0" w:color="auto"/>
                    <w:bottom w:val="none" w:sz="0" w:space="0" w:color="auto"/>
                    <w:right w:val="none" w:sz="0" w:space="0" w:color="auto"/>
                  </w:divBdr>
                </w:div>
                <w:div w:id="98530764">
                  <w:marLeft w:val="0"/>
                  <w:marRight w:val="0"/>
                  <w:marTop w:val="0"/>
                  <w:marBottom w:val="0"/>
                  <w:divBdr>
                    <w:top w:val="none" w:sz="0" w:space="0" w:color="auto"/>
                    <w:left w:val="none" w:sz="0" w:space="0" w:color="auto"/>
                    <w:bottom w:val="none" w:sz="0" w:space="0" w:color="auto"/>
                    <w:right w:val="none" w:sz="0" w:space="0" w:color="auto"/>
                  </w:divBdr>
                </w:div>
                <w:div w:id="789126422">
                  <w:marLeft w:val="0"/>
                  <w:marRight w:val="0"/>
                  <w:marTop w:val="0"/>
                  <w:marBottom w:val="0"/>
                  <w:divBdr>
                    <w:top w:val="none" w:sz="0" w:space="0" w:color="auto"/>
                    <w:left w:val="none" w:sz="0" w:space="0" w:color="auto"/>
                    <w:bottom w:val="none" w:sz="0" w:space="0" w:color="auto"/>
                    <w:right w:val="none" w:sz="0" w:space="0" w:color="auto"/>
                  </w:divBdr>
                </w:div>
                <w:div w:id="1404140995">
                  <w:marLeft w:val="0"/>
                  <w:marRight w:val="0"/>
                  <w:marTop w:val="0"/>
                  <w:marBottom w:val="0"/>
                  <w:divBdr>
                    <w:top w:val="none" w:sz="0" w:space="0" w:color="auto"/>
                    <w:left w:val="none" w:sz="0" w:space="0" w:color="auto"/>
                    <w:bottom w:val="none" w:sz="0" w:space="0" w:color="auto"/>
                    <w:right w:val="none" w:sz="0" w:space="0" w:color="auto"/>
                  </w:divBdr>
                </w:div>
                <w:div w:id="1574271360">
                  <w:marLeft w:val="0"/>
                  <w:marRight w:val="0"/>
                  <w:marTop w:val="0"/>
                  <w:marBottom w:val="0"/>
                  <w:divBdr>
                    <w:top w:val="none" w:sz="0" w:space="0" w:color="auto"/>
                    <w:left w:val="none" w:sz="0" w:space="0" w:color="auto"/>
                    <w:bottom w:val="none" w:sz="0" w:space="0" w:color="auto"/>
                    <w:right w:val="none" w:sz="0" w:space="0" w:color="auto"/>
                  </w:divBdr>
                </w:div>
                <w:div w:id="1388644035">
                  <w:marLeft w:val="0"/>
                  <w:marRight w:val="0"/>
                  <w:marTop w:val="0"/>
                  <w:marBottom w:val="0"/>
                  <w:divBdr>
                    <w:top w:val="none" w:sz="0" w:space="0" w:color="auto"/>
                    <w:left w:val="none" w:sz="0" w:space="0" w:color="auto"/>
                    <w:bottom w:val="none" w:sz="0" w:space="0" w:color="auto"/>
                    <w:right w:val="none" w:sz="0" w:space="0" w:color="auto"/>
                  </w:divBdr>
                </w:div>
                <w:div w:id="1677464922">
                  <w:marLeft w:val="0"/>
                  <w:marRight w:val="0"/>
                  <w:marTop w:val="0"/>
                  <w:marBottom w:val="0"/>
                  <w:divBdr>
                    <w:top w:val="none" w:sz="0" w:space="0" w:color="auto"/>
                    <w:left w:val="none" w:sz="0" w:space="0" w:color="auto"/>
                    <w:bottom w:val="none" w:sz="0" w:space="0" w:color="auto"/>
                    <w:right w:val="none" w:sz="0" w:space="0" w:color="auto"/>
                  </w:divBdr>
                </w:div>
                <w:div w:id="1009716854">
                  <w:marLeft w:val="0"/>
                  <w:marRight w:val="0"/>
                  <w:marTop w:val="0"/>
                  <w:marBottom w:val="0"/>
                  <w:divBdr>
                    <w:top w:val="none" w:sz="0" w:space="0" w:color="auto"/>
                    <w:left w:val="none" w:sz="0" w:space="0" w:color="auto"/>
                    <w:bottom w:val="none" w:sz="0" w:space="0" w:color="auto"/>
                    <w:right w:val="none" w:sz="0" w:space="0" w:color="auto"/>
                  </w:divBdr>
                </w:div>
                <w:div w:id="1182628265">
                  <w:marLeft w:val="0"/>
                  <w:marRight w:val="0"/>
                  <w:marTop w:val="0"/>
                  <w:marBottom w:val="0"/>
                  <w:divBdr>
                    <w:top w:val="none" w:sz="0" w:space="0" w:color="auto"/>
                    <w:left w:val="none" w:sz="0" w:space="0" w:color="auto"/>
                    <w:bottom w:val="none" w:sz="0" w:space="0" w:color="auto"/>
                    <w:right w:val="none" w:sz="0" w:space="0" w:color="auto"/>
                  </w:divBdr>
                </w:div>
                <w:div w:id="1715957649">
                  <w:marLeft w:val="0"/>
                  <w:marRight w:val="0"/>
                  <w:marTop w:val="0"/>
                  <w:marBottom w:val="0"/>
                  <w:divBdr>
                    <w:top w:val="none" w:sz="0" w:space="0" w:color="auto"/>
                    <w:left w:val="none" w:sz="0" w:space="0" w:color="auto"/>
                    <w:bottom w:val="none" w:sz="0" w:space="0" w:color="auto"/>
                    <w:right w:val="none" w:sz="0" w:space="0" w:color="auto"/>
                  </w:divBdr>
                </w:div>
                <w:div w:id="734159795">
                  <w:marLeft w:val="0"/>
                  <w:marRight w:val="0"/>
                  <w:marTop w:val="0"/>
                  <w:marBottom w:val="0"/>
                  <w:divBdr>
                    <w:top w:val="none" w:sz="0" w:space="0" w:color="auto"/>
                    <w:left w:val="none" w:sz="0" w:space="0" w:color="auto"/>
                    <w:bottom w:val="none" w:sz="0" w:space="0" w:color="auto"/>
                    <w:right w:val="none" w:sz="0" w:space="0" w:color="auto"/>
                  </w:divBdr>
                </w:div>
                <w:div w:id="1903981756">
                  <w:marLeft w:val="0"/>
                  <w:marRight w:val="0"/>
                  <w:marTop w:val="0"/>
                  <w:marBottom w:val="0"/>
                  <w:divBdr>
                    <w:top w:val="none" w:sz="0" w:space="0" w:color="auto"/>
                    <w:left w:val="none" w:sz="0" w:space="0" w:color="auto"/>
                    <w:bottom w:val="none" w:sz="0" w:space="0" w:color="auto"/>
                    <w:right w:val="none" w:sz="0" w:space="0" w:color="auto"/>
                  </w:divBdr>
                </w:div>
                <w:div w:id="1783956095">
                  <w:marLeft w:val="0"/>
                  <w:marRight w:val="0"/>
                  <w:marTop w:val="0"/>
                  <w:marBottom w:val="0"/>
                  <w:divBdr>
                    <w:top w:val="none" w:sz="0" w:space="0" w:color="auto"/>
                    <w:left w:val="none" w:sz="0" w:space="0" w:color="auto"/>
                    <w:bottom w:val="none" w:sz="0" w:space="0" w:color="auto"/>
                    <w:right w:val="none" w:sz="0" w:space="0" w:color="auto"/>
                  </w:divBdr>
                </w:div>
                <w:div w:id="1432627306">
                  <w:marLeft w:val="0"/>
                  <w:marRight w:val="0"/>
                  <w:marTop w:val="0"/>
                  <w:marBottom w:val="0"/>
                  <w:divBdr>
                    <w:top w:val="none" w:sz="0" w:space="0" w:color="auto"/>
                    <w:left w:val="none" w:sz="0" w:space="0" w:color="auto"/>
                    <w:bottom w:val="none" w:sz="0" w:space="0" w:color="auto"/>
                    <w:right w:val="none" w:sz="0" w:space="0" w:color="auto"/>
                  </w:divBdr>
                </w:div>
                <w:div w:id="37515537">
                  <w:marLeft w:val="0"/>
                  <w:marRight w:val="0"/>
                  <w:marTop w:val="0"/>
                  <w:marBottom w:val="0"/>
                  <w:divBdr>
                    <w:top w:val="none" w:sz="0" w:space="0" w:color="auto"/>
                    <w:left w:val="none" w:sz="0" w:space="0" w:color="auto"/>
                    <w:bottom w:val="none" w:sz="0" w:space="0" w:color="auto"/>
                    <w:right w:val="none" w:sz="0" w:space="0" w:color="auto"/>
                  </w:divBdr>
                </w:div>
                <w:div w:id="1407265350">
                  <w:marLeft w:val="0"/>
                  <w:marRight w:val="0"/>
                  <w:marTop w:val="0"/>
                  <w:marBottom w:val="0"/>
                  <w:divBdr>
                    <w:top w:val="none" w:sz="0" w:space="0" w:color="auto"/>
                    <w:left w:val="none" w:sz="0" w:space="0" w:color="auto"/>
                    <w:bottom w:val="none" w:sz="0" w:space="0" w:color="auto"/>
                    <w:right w:val="none" w:sz="0" w:space="0" w:color="auto"/>
                  </w:divBdr>
                </w:div>
                <w:div w:id="169903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86747">
      <w:bodyDiv w:val="1"/>
      <w:marLeft w:val="0"/>
      <w:marRight w:val="0"/>
      <w:marTop w:val="0"/>
      <w:marBottom w:val="0"/>
      <w:divBdr>
        <w:top w:val="none" w:sz="0" w:space="0" w:color="auto"/>
        <w:left w:val="none" w:sz="0" w:space="0" w:color="auto"/>
        <w:bottom w:val="none" w:sz="0" w:space="0" w:color="auto"/>
        <w:right w:val="none" w:sz="0" w:space="0" w:color="auto"/>
      </w:divBdr>
    </w:div>
    <w:div w:id="1799761262">
      <w:bodyDiv w:val="1"/>
      <w:marLeft w:val="0"/>
      <w:marRight w:val="0"/>
      <w:marTop w:val="0"/>
      <w:marBottom w:val="0"/>
      <w:divBdr>
        <w:top w:val="none" w:sz="0" w:space="0" w:color="auto"/>
        <w:left w:val="none" w:sz="0" w:space="0" w:color="auto"/>
        <w:bottom w:val="none" w:sz="0" w:space="0" w:color="auto"/>
        <w:right w:val="none" w:sz="0" w:space="0" w:color="auto"/>
      </w:divBdr>
    </w:div>
    <w:div w:id="1800104730">
      <w:bodyDiv w:val="1"/>
      <w:marLeft w:val="0"/>
      <w:marRight w:val="0"/>
      <w:marTop w:val="0"/>
      <w:marBottom w:val="0"/>
      <w:divBdr>
        <w:top w:val="none" w:sz="0" w:space="0" w:color="auto"/>
        <w:left w:val="none" w:sz="0" w:space="0" w:color="auto"/>
        <w:bottom w:val="none" w:sz="0" w:space="0" w:color="auto"/>
        <w:right w:val="none" w:sz="0" w:space="0" w:color="auto"/>
      </w:divBdr>
      <w:divsChild>
        <w:div w:id="226111134">
          <w:marLeft w:val="0"/>
          <w:marRight w:val="0"/>
          <w:marTop w:val="0"/>
          <w:marBottom w:val="0"/>
          <w:divBdr>
            <w:top w:val="none" w:sz="0" w:space="0" w:color="auto"/>
            <w:left w:val="none" w:sz="0" w:space="0" w:color="auto"/>
            <w:bottom w:val="none" w:sz="0" w:space="0" w:color="auto"/>
            <w:right w:val="none" w:sz="0" w:space="0" w:color="auto"/>
          </w:divBdr>
          <w:divsChild>
            <w:div w:id="1292589323">
              <w:marLeft w:val="0"/>
              <w:marRight w:val="0"/>
              <w:marTop w:val="0"/>
              <w:marBottom w:val="0"/>
              <w:divBdr>
                <w:top w:val="none" w:sz="0" w:space="0" w:color="auto"/>
                <w:left w:val="none" w:sz="0" w:space="0" w:color="auto"/>
                <w:bottom w:val="none" w:sz="0" w:space="0" w:color="auto"/>
                <w:right w:val="none" w:sz="0" w:space="0" w:color="auto"/>
              </w:divBdr>
              <w:divsChild>
                <w:div w:id="644286963">
                  <w:marLeft w:val="0"/>
                  <w:marRight w:val="0"/>
                  <w:marTop w:val="0"/>
                  <w:marBottom w:val="0"/>
                  <w:divBdr>
                    <w:top w:val="none" w:sz="0" w:space="0" w:color="auto"/>
                    <w:left w:val="none" w:sz="0" w:space="0" w:color="auto"/>
                    <w:bottom w:val="none" w:sz="0" w:space="0" w:color="auto"/>
                    <w:right w:val="none" w:sz="0" w:space="0" w:color="auto"/>
                  </w:divBdr>
                  <w:divsChild>
                    <w:div w:id="14441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008434">
      <w:bodyDiv w:val="1"/>
      <w:marLeft w:val="0"/>
      <w:marRight w:val="0"/>
      <w:marTop w:val="0"/>
      <w:marBottom w:val="0"/>
      <w:divBdr>
        <w:top w:val="none" w:sz="0" w:space="0" w:color="auto"/>
        <w:left w:val="none" w:sz="0" w:space="0" w:color="auto"/>
        <w:bottom w:val="none" w:sz="0" w:space="0" w:color="auto"/>
        <w:right w:val="none" w:sz="0" w:space="0" w:color="auto"/>
      </w:divBdr>
    </w:div>
    <w:div w:id="1811557292">
      <w:bodyDiv w:val="1"/>
      <w:marLeft w:val="0"/>
      <w:marRight w:val="0"/>
      <w:marTop w:val="0"/>
      <w:marBottom w:val="0"/>
      <w:divBdr>
        <w:top w:val="none" w:sz="0" w:space="0" w:color="auto"/>
        <w:left w:val="none" w:sz="0" w:space="0" w:color="auto"/>
        <w:bottom w:val="none" w:sz="0" w:space="0" w:color="auto"/>
        <w:right w:val="none" w:sz="0" w:space="0" w:color="auto"/>
      </w:divBdr>
      <w:divsChild>
        <w:div w:id="1115173918">
          <w:marLeft w:val="0"/>
          <w:marRight w:val="0"/>
          <w:marTop w:val="0"/>
          <w:marBottom w:val="0"/>
          <w:divBdr>
            <w:top w:val="none" w:sz="0" w:space="0" w:color="auto"/>
            <w:left w:val="none" w:sz="0" w:space="0" w:color="auto"/>
            <w:bottom w:val="none" w:sz="0" w:space="0" w:color="auto"/>
            <w:right w:val="none" w:sz="0" w:space="0" w:color="auto"/>
          </w:divBdr>
        </w:div>
      </w:divsChild>
    </w:div>
    <w:div w:id="1826361271">
      <w:bodyDiv w:val="1"/>
      <w:marLeft w:val="0"/>
      <w:marRight w:val="0"/>
      <w:marTop w:val="0"/>
      <w:marBottom w:val="0"/>
      <w:divBdr>
        <w:top w:val="none" w:sz="0" w:space="0" w:color="auto"/>
        <w:left w:val="none" w:sz="0" w:space="0" w:color="auto"/>
        <w:bottom w:val="none" w:sz="0" w:space="0" w:color="auto"/>
        <w:right w:val="none" w:sz="0" w:space="0" w:color="auto"/>
      </w:divBdr>
      <w:divsChild>
        <w:div w:id="684985843">
          <w:marLeft w:val="0"/>
          <w:marRight w:val="0"/>
          <w:marTop w:val="0"/>
          <w:marBottom w:val="0"/>
          <w:divBdr>
            <w:top w:val="none" w:sz="0" w:space="0" w:color="auto"/>
            <w:left w:val="none" w:sz="0" w:space="0" w:color="auto"/>
            <w:bottom w:val="none" w:sz="0" w:space="0" w:color="auto"/>
            <w:right w:val="none" w:sz="0" w:space="0" w:color="auto"/>
          </w:divBdr>
        </w:div>
        <w:div w:id="524902179">
          <w:marLeft w:val="0"/>
          <w:marRight w:val="0"/>
          <w:marTop w:val="0"/>
          <w:marBottom w:val="0"/>
          <w:divBdr>
            <w:top w:val="none" w:sz="0" w:space="0" w:color="auto"/>
            <w:left w:val="none" w:sz="0" w:space="0" w:color="auto"/>
            <w:bottom w:val="none" w:sz="0" w:space="0" w:color="auto"/>
            <w:right w:val="none" w:sz="0" w:space="0" w:color="auto"/>
          </w:divBdr>
        </w:div>
        <w:div w:id="1943878136">
          <w:marLeft w:val="0"/>
          <w:marRight w:val="0"/>
          <w:marTop w:val="0"/>
          <w:marBottom w:val="0"/>
          <w:divBdr>
            <w:top w:val="none" w:sz="0" w:space="0" w:color="auto"/>
            <w:left w:val="none" w:sz="0" w:space="0" w:color="auto"/>
            <w:bottom w:val="none" w:sz="0" w:space="0" w:color="auto"/>
            <w:right w:val="none" w:sz="0" w:space="0" w:color="auto"/>
          </w:divBdr>
        </w:div>
        <w:div w:id="36664553">
          <w:marLeft w:val="0"/>
          <w:marRight w:val="0"/>
          <w:marTop w:val="0"/>
          <w:marBottom w:val="0"/>
          <w:divBdr>
            <w:top w:val="none" w:sz="0" w:space="0" w:color="auto"/>
            <w:left w:val="none" w:sz="0" w:space="0" w:color="auto"/>
            <w:bottom w:val="none" w:sz="0" w:space="0" w:color="auto"/>
            <w:right w:val="none" w:sz="0" w:space="0" w:color="auto"/>
          </w:divBdr>
        </w:div>
        <w:div w:id="750616564">
          <w:marLeft w:val="0"/>
          <w:marRight w:val="0"/>
          <w:marTop w:val="0"/>
          <w:marBottom w:val="0"/>
          <w:divBdr>
            <w:top w:val="none" w:sz="0" w:space="0" w:color="auto"/>
            <w:left w:val="none" w:sz="0" w:space="0" w:color="auto"/>
            <w:bottom w:val="none" w:sz="0" w:space="0" w:color="auto"/>
            <w:right w:val="none" w:sz="0" w:space="0" w:color="auto"/>
          </w:divBdr>
        </w:div>
        <w:div w:id="1578637118">
          <w:marLeft w:val="0"/>
          <w:marRight w:val="0"/>
          <w:marTop w:val="0"/>
          <w:marBottom w:val="0"/>
          <w:divBdr>
            <w:top w:val="none" w:sz="0" w:space="0" w:color="auto"/>
            <w:left w:val="none" w:sz="0" w:space="0" w:color="auto"/>
            <w:bottom w:val="none" w:sz="0" w:space="0" w:color="auto"/>
            <w:right w:val="none" w:sz="0" w:space="0" w:color="auto"/>
          </w:divBdr>
        </w:div>
        <w:div w:id="680009613">
          <w:marLeft w:val="0"/>
          <w:marRight w:val="0"/>
          <w:marTop w:val="0"/>
          <w:marBottom w:val="0"/>
          <w:divBdr>
            <w:top w:val="none" w:sz="0" w:space="0" w:color="auto"/>
            <w:left w:val="none" w:sz="0" w:space="0" w:color="auto"/>
            <w:bottom w:val="none" w:sz="0" w:space="0" w:color="auto"/>
            <w:right w:val="none" w:sz="0" w:space="0" w:color="auto"/>
          </w:divBdr>
        </w:div>
      </w:divsChild>
    </w:div>
    <w:div w:id="1833373568">
      <w:bodyDiv w:val="1"/>
      <w:marLeft w:val="0"/>
      <w:marRight w:val="0"/>
      <w:marTop w:val="0"/>
      <w:marBottom w:val="0"/>
      <w:divBdr>
        <w:top w:val="none" w:sz="0" w:space="0" w:color="auto"/>
        <w:left w:val="none" w:sz="0" w:space="0" w:color="auto"/>
        <w:bottom w:val="none" w:sz="0" w:space="0" w:color="auto"/>
        <w:right w:val="none" w:sz="0" w:space="0" w:color="auto"/>
      </w:divBdr>
      <w:divsChild>
        <w:div w:id="1837763937">
          <w:marLeft w:val="0"/>
          <w:marRight w:val="0"/>
          <w:marTop w:val="0"/>
          <w:marBottom w:val="0"/>
          <w:divBdr>
            <w:top w:val="none" w:sz="0" w:space="0" w:color="auto"/>
            <w:left w:val="none" w:sz="0" w:space="0" w:color="auto"/>
            <w:bottom w:val="none" w:sz="0" w:space="0" w:color="auto"/>
            <w:right w:val="none" w:sz="0" w:space="0" w:color="auto"/>
          </w:divBdr>
        </w:div>
        <w:div w:id="1401975532">
          <w:marLeft w:val="0"/>
          <w:marRight w:val="0"/>
          <w:marTop w:val="0"/>
          <w:marBottom w:val="0"/>
          <w:divBdr>
            <w:top w:val="none" w:sz="0" w:space="0" w:color="auto"/>
            <w:left w:val="none" w:sz="0" w:space="0" w:color="auto"/>
            <w:bottom w:val="none" w:sz="0" w:space="0" w:color="auto"/>
            <w:right w:val="none" w:sz="0" w:space="0" w:color="auto"/>
          </w:divBdr>
        </w:div>
        <w:div w:id="1854415048">
          <w:marLeft w:val="0"/>
          <w:marRight w:val="0"/>
          <w:marTop w:val="0"/>
          <w:marBottom w:val="0"/>
          <w:divBdr>
            <w:top w:val="none" w:sz="0" w:space="0" w:color="auto"/>
            <w:left w:val="none" w:sz="0" w:space="0" w:color="auto"/>
            <w:bottom w:val="none" w:sz="0" w:space="0" w:color="auto"/>
            <w:right w:val="none" w:sz="0" w:space="0" w:color="auto"/>
          </w:divBdr>
        </w:div>
        <w:div w:id="520702246">
          <w:marLeft w:val="0"/>
          <w:marRight w:val="0"/>
          <w:marTop w:val="0"/>
          <w:marBottom w:val="0"/>
          <w:divBdr>
            <w:top w:val="none" w:sz="0" w:space="0" w:color="auto"/>
            <w:left w:val="none" w:sz="0" w:space="0" w:color="auto"/>
            <w:bottom w:val="none" w:sz="0" w:space="0" w:color="auto"/>
            <w:right w:val="none" w:sz="0" w:space="0" w:color="auto"/>
          </w:divBdr>
        </w:div>
        <w:div w:id="1230385280">
          <w:marLeft w:val="0"/>
          <w:marRight w:val="0"/>
          <w:marTop w:val="0"/>
          <w:marBottom w:val="0"/>
          <w:divBdr>
            <w:top w:val="none" w:sz="0" w:space="0" w:color="auto"/>
            <w:left w:val="none" w:sz="0" w:space="0" w:color="auto"/>
            <w:bottom w:val="none" w:sz="0" w:space="0" w:color="auto"/>
            <w:right w:val="none" w:sz="0" w:space="0" w:color="auto"/>
          </w:divBdr>
        </w:div>
        <w:div w:id="788428092">
          <w:marLeft w:val="0"/>
          <w:marRight w:val="0"/>
          <w:marTop w:val="0"/>
          <w:marBottom w:val="0"/>
          <w:divBdr>
            <w:top w:val="none" w:sz="0" w:space="0" w:color="auto"/>
            <w:left w:val="none" w:sz="0" w:space="0" w:color="auto"/>
            <w:bottom w:val="none" w:sz="0" w:space="0" w:color="auto"/>
            <w:right w:val="none" w:sz="0" w:space="0" w:color="auto"/>
          </w:divBdr>
        </w:div>
        <w:div w:id="808405331">
          <w:marLeft w:val="0"/>
          <w:marRight w:val="0"/>
          <w:marTop w:val="0"/>
          <w:marBottom w:val="0"/>
          <w:divBdr>
            <w:top w:val="none" w:sz="0" w:space="0" w:color="auto"/>
            <w:left w:val="none" w:sz="0" w:space="0" w:color="auto"/>
            <w:bottom w:val="none" w:sz="0" w:space="0" w:color="auto"/>
            <w:right w:val="none" w:sz="0" w:space="0" w:color="auto"/>
          </w:divBdr>
        </w:div>
        <w:div w:id="476731216">
          <w:marLeft w:val="0"/>
          <w:marRight w:val="0"/>
          <w:marTop w:val="0"/>
          <w:marBottom w:val="0"/>
          <w:divBdr>
            <w:top w:val="none" w:sz="0" w:space="0" w:color="auto"/>
            <w:left w:val="none" w:sz="0" w:space="0" w:color="auto"/>
            <w:bottom w:val="none" w:sz="0" w:space="0" w:color="auto"/>
            <w:right w:val="none" w:sz="0" w:space="0" w:color="auto"/>
          </w:divBdr>
        </w:div>
        <w:div w:id="1158688145">
          <w:marLeft w:val="0"/>
          <w:marRight w:val="0"/>
          <w:marTop w:val="0"/>
          <w:marBottom w:val="0"/>
          <w:divBdr>
            <w:top w:val="none" w:sz="0" w:space="0" w:color="auto"/>
            <w:left w:val="none" w:sz="0" w:space="0" w:color="auto"/>
            <w:bottom w:val="none" w:sz="0" w:space="0" w:color="auto"/>
            <w:right w:val="none" w:sz="0" w:space="0" w:color="auto"/>
          </w:divBdr>
        </w:div>
        <w:div w:id="489833590">
          <w:marLeft w:val="0"/>
          <w:marRight w:val="0"/>
          <w:marTop w:val="0"/>
          <w:marBottom w:val="0"/>
          <w:divBdr>
            <w:top w:val="none" w:sz="0" w:space="0" w:color="auto"/>
            <w:left w:val="none" w:sz="0" w:space="0" w:color="auto"/>
            <w:bottom w:val="none" w:sz="0" w:space="0" w:color="auto"/>
            <w:right w:val="none" w:sz="0" w:space="0" w:color="auto"/>
          </w:divBdr>
        </w:div>
        <w:div w:id="102845443">
          <w:marLeft w:val="0"/>
          <w:marRight w:val="0"/>
          <w:marTop w:val="0"/>
          <w:marBottom w:val="0"/>
          <w:divBdr>
            <w:top w:val="none" w:sz="0" w:space="0" w:color="auto"/>
            <w:left w:val="none" w:sz="0" w:space="0" w:color="auto"/>
            <w:bottom w:val="none" w:sz="0" w:space="0" w:color="auto"/>
            <w:right w:val="none" w:sz="0" w:space="0" w:color="auto"/>
          </w:divBdr>
        </w:div>
        <w:div w:id="985014262">
          <w:marLeft w:val="0"/>
          <w:marRight w:val="0"/>
          <w:marTop w:val="0"/>
          <w:marBottom w:val="0"/>
          <w:divBdr>
            <w:top w:val="none" w:sz="0" w:space="0" w:color="auto"/>
            <w:left w:val="none" w:sz="0" w:space="0" w:color="auto"/>
            <w:bottom w:val="none" w:sz="0" w:space="0" w:color="auto"/>
            <w:right w:val="none" w:sz="0" w:space="0" w:color="auto"/>
          </w:divBdr>
        </w:div>
        <w:div w:id="546718277">
          <w:marLeft w:val="0"/>
          <w:marRight w:val="0"/>
          <w:marTop w:val="0"/>
          <w:marBottom w:val="0"/>
          <w:divBdr>
            <w:top w:val="none" w:sz="0" w:space="0" w:color="auto"/>
            <w:left w:val="none" w:sz="0" w:space="0" w:color="auto"/>
            <w:bottom w:val="none" w:sz="0" w:space="0" w:color="auto"/>
            <w:right w:val="none" w:sz="0" w:space="0" w:color="auto"/>
          </w:divBdr>
        </w:div>
        <w:div w:id="1831290536">
          <w:marLeft w:val="0"/>
          <w:marRight w:val="0"/>
          <w:marTop w:val="0"/>
          <w:marBottom w:val="0"/>
          <w:divBdr>
            <w:top w:val="none" w:sz="0" w:space="0" w:color="auto"/>
            <w:left w:val="none" w:sz="0" w:space="0" w:color="auto"/>
            <w:bottom w:val="none" w:sz="0" w:space="0" w:color="auto"/>
            <w:right w:val="none" w:sz="0" w:space="0" w:color="auto"/>
          </w:divBdr>
        </w:div>
        <w:div w:id="1209758170">
          <w:marLeft w:val="0"/>
          <w:marRight w:val="0"/>
          <w:marTop w:val="0"/>
          <w:marBottom w:val="0"/>
          <w:divBdr>
            <w:top w:val="none" w:sz="0" w:space="0" w:color="auto"/>
            <w:left w:val="none" w:sz="0" w:space="0" w:color="auto"/>
            <w:bottom w:val="none" w:sz="0" w:space="0" w:color="auto"/>
            <w:right w:val="none" w:sz="0" w:space="0" w:color="auto"/>
          </w:divBdr>
        </w:div>
        <w:div w:id="1908949799">
          <w:marLeft w:val="0"/>
          <w:marRight w:val="0"/>
          <w:marTop w:val="0"/>
          <w:marBottom w:val="0"/>
          <w:divBdr>
            <w:top w:val="none" w:sz="0" w:space="0" w:color="auto"/>
            <w:left w:val="none" w:sz="0" w:space="0" w:color="auto"/>
            <w:bottom w:val="none" w:sz="0" w:space="0" w:color="auto"/>
            <w:right w:val="none" w:sz="0" w:space="0" w:color="auto"/>
          </w:divBdr>
        </w:div>
        <w:div w:id="1379012707">
          <w:marLeft w:val="0"/>
          <w:marRight w:val="0"/>
          <w:marTop w:val="0"/>
          <w:marBottom w:val="0"/>
          <w:divBdr>
            <w:top w:val="none" w:sz="0" w:space="0" w:color="auto"/>
            <w:left w:val="none" w:sz="0" w:space="0" w:color="auto"/>
            <w:bottom w:val="none" w:sz="0" w:space="0" w:color="auto"/>
            <w:right w:val="none" w:sz="0" w:space="0" w:color="auto"/>
          </w:divBdr>
        </w:div>
        <w:div w:id="671227374">
          <w:marLeft w:val="0"/>
          <w:marRight w:val="0"/>
          <w:marTop w:val="0"/>
          <w:marBottom w:val="0"/>
          <w:divBdr>
            <w:top w:val="none" w:sz="0" w:space="0" w:color="auto"/>
            <w:left w:val="none" w:sz="0" w:space="0" w:color="auto"/>
            <w:bottom w:val="none" w:sz="0" w:space="0" w:color="auto"/>
            <w:right w:val="none" w:sz="0" w:space="0" w:color="auto"/>
          </w:divBdr>
        </w:div>
        <w:div w:id="904336696">
          <w:marLeft w:val="0"/>
          <w:marRight w:val="0"/>
          <w:marTop w:val="0"/>
          <w:marBottom w:val="0"/>
          <w:divBdr>
            <w:top w:val="none" w:sz="0" w:space="0" w:color="auto"/>
            <w:left w:val="none" w:sz="0" w:space="0" w:color="auto"/>
            <w:bottom w:val="none" w:sz="0" w:space="0" w:color="auto"/>
            <w:right w:val="none" w:sz="0" w:space="0" w:color="auto"/>
          </w:divBdr>
        </w:div>
        <w:div w:id="483858008">
          <w:marLeft w:val="0"/>
          <w:marRight w:val="0"/>
          <w:marTop w:val="0"/>
          <w:marBottom w:val="0"/>
          <w:divBdr>
            <w:top w:val="none" w:sz="0" w:space="0" w:color="auto"/>
            <w:left w:val="none" w:sz="0" w:space="0" w:color="auto"/>
            <w:bottom w:val="none" w:sz="0" w:space="0" w:color="auto"/>
            <w:right w:val="none" w:sz="0" w:space="0" w:color="auto"/>
          </w:divBdr>
        </w:div>
        <w:div w:id="1048334615">
          <w:marLeft w:val="0"/>
          <w:marRight w:val="0"/>
          <w:marTop w:val="0"/>
          <w:marBottom w:val="0"/>
          <w:divBdr>
            <w:top w:val="none" w:sz="0" w:space="0" w:color="auto"/>
            <w:left w:val="none" w:sz="0" w:space="0" w:color="auto"/>
            <w:bottom w:val="none" w:sz="0" w:space="0" w:color="auto"/>
            <w:right w:val="none" w:sz="0" w:space="0" w:color="auto"/>
          </w:divBdr>
        </w:div>
      </w:divsChild>
    </w:div>
    <w:div w:id="1843397264">
      <w:bodyDiv w:val="1"/>
      <w:marLeft w:val="0"/>
      <w:marRight w:val="0"/>
      <w:marTop w:val="0"/>
      <w:marBottom w:val="0"/>
      <w:divBdr>
        <w:top w:val="none" w:sz="0" w:space="0" w:color="auto"/>
        <w:left w:val="none" w:sz="0" w:space="0" w:color="auto"/>
        <w:bottom w:val="none" w:sz="0" w:space="0" w:color="auto"/>
        <w:right w:val="none" w:sz="0" w:space="0" w:color="auto"/>
      </w:divBdr>
      <w:divsChild>
        <w:div w:id="405684650">
          <w:marLeft w:val="0"/>
          <w:marRight w:val="0"/>
          <w:marTop w:val="0"/>
          <w:marBottom w:val="0"/>
          <w:divBdr>
            <w:top w:val="none" w:sz="0" w:space="0" w:color="auto"/>
            <w:left w:val="none" w:sz="0" w:space="0" w:color="auto"/>
            <w:bottom w:val="none" w:sz="0" w:space="0" w:color="auto"/>
            <w:right w:val="none" w:sz="0" w:space="0" w:color="auto"/>
          </w:divBdr>
        </w:div>
        <w:div w:id="839540659">
          <w:marLeft w:val="0"/>
          <w:marRight w:val="0"/>
          <w:marTop w:val="0"/>
          <w:marBottom w:val="0"/>
          <w:divBdr>
            <w:top w:val="none" w:sz="0" w:space="0" w:color="auto"/>
            <w:left w:val="none" w:sz="0" w:space="0" w:color="auto"/>
            <w:bottom w:val="none" w:sz="0" w:space="0" w:color="auto"/>
            <w:right w:val="none" w:sz="0" w:space="0" w:color="auto"/>
          </w:divBdr>
        </w:div>
        <w:div w:id="192812627">
          <w:marLeft w:val="0"/>
          <w:marRight w:val="0"/>
          <w:marTop w:val="0"/>
          <w:marBottom w:val="0"/>
          <w:divBdr>
            <w:top w:val="none" w:sz="0" w:space="0" w:color="auto"/>
            <w:left w:val="none" w:sz="0" w:space="0" w:color="auto"/>
            <w:bottom w:val="none" w:sz="0" w:space="0" w:color="auto"/>
            <w:right w:val="none" w:sz="0" w:space="0" w:color="auto"/>
          </w:divBdr>
        </w:div>
        <w:div w:id="228612151">
          <w:marLeft w:val="0"/>
          <w:marRight w:val="0"/>
          <w:marTop w:val="0"/>
          <w:marBottom w:val="0"/>
          <w:divBdr>
            <w:top w:val="none" w:sz="0" w:space="0" w:color="auto"/>
            <w:left w:val="none" w:sz="0" w:space="0" w:color="auto"/>
            <w:bottom w:val="none" w:sz="0" w:space="0" w:color="auto"/>
            <w:right w:val="none" w:sz="0" w:space="0" w:color="auto"/>
          </w:divBdr>
        </w:div>
        <w:div w:id="1333407319">
          <w:marLeft w:val="0"/>
          <w:marRight w:val="0"/>
          <w:marTop w:val="0"/>
          <w:marBottom w:val="0"/>
          <w:divBdr>
            <w:top w:val="none" w:sz="0" w:space="0" w:color="auto"/>
            <w:left w:val="none" w:sz="0" w:space="0" w:color="auto"/>
            <w:bottom w:val="none" w:sz="0" w:space="0" w:color="auto"/>
            <w:right w:val="none" w:sz="0" w:space="0" w:color="auto"/>
          </w:divBdr>
        </w:div>
        <w:div w:id="1427969041">
          <w:marLeft w:val="0"/>
          <w:marRight w:val="0"/>
          <w:marTop w:val="0"/>
          <w:marBottom w:val="0"/>
          <w:divBdr>
            <w:top w:val="none" w:sz="0" w:space="0" w:color="auto"/>
            <w:left w:val="none" w:sz="0" w:space="0" w:color="auto"/>
            <w:bottom w:val="none" w:sz="0" w:space="0" w:color="auto"/>
            <w:right w:val="none" w:sz="0" w:space="0" w:color="auto"/>
          </w:divBdr>
        </w:div>
      </w:divsChild>
    </w:div>
    <w:div w:id="1861120016">
      <w:bodyDiv w:val="1"/>
      <w:marLeft w:val="0"/>
      <w:marRight w:val="0"/>
      <w:marTop w:val="0"/>
      <w:marBottom w:val="0"/>
      <w:divBdr>
        <w:top w:val="none" w:sz="0" w:space="0" w:color="auto"/>
        <w:left w:val="none" w:sz="0" w:space="0" w:color="auto"/>
        <w:bottom w:val="none" w:sz="0" w:space="0" w:color="auto"/>
        <w:right w:val="none" w:sz="0" w:space="0" w:color="auto"/>
      </w:divBdr>
    </w:div>
    <w:div w:id="1878541859">
      <w:bodyDiv w:val="1"/>
      <w:marLeft w:val="0"/>
      <w:marRight w:val="0"/>
      <w:marTop w:val="0"/>
      <w:marBottom w:val="0"/>
      <w:divBdr>
        <w:top w:val="none" w:sz="0" w:space="0" w:color="auto"/>
        <w:left w:val="none" w:sz="0" w:space="0" w:color="auto"/>
        <w:bottom w:val="none" w:sz="0" w:space="0" w:color="auto"/>
        <w:right w:val="none" w:sz="0" w:space="0" w:color="auto"/>
      </w:divBdr>
    </w:div>
    <w:div w:id="1937402798">
      <w:bodyDiv w:val="1"/>
      <w:marLeft w:val="0"/>
      <w:marRight w:val="0"/>
      <w:marTop w:val="0"/>
      <w:marBottom w:val="0"/>
      <w:divBdr>
        <w:top w:val="none" w:sz="0" w:space="0" w:color="auto"/>
        <w:left w:val="none" w:sz="0" w:space="0" w:color="auto"/>
        <w:bottom w:val="none" w:sz="0" w:space="0" w:color="auto"/>
        <w:right w:val="none" w:sz="0" w:space="0" w:color="auto"/>
      </w:divBdr>
    </w:div>
    <w:div w:id="1944876910">
      <w:bodyDiv w:val="1"/>
      <w:marLeft w:val="0"/>
      <w:marRight w:val="0"/>
      <w:marTop w:val="0"/>
      <w:marBottom w:val="0"/>
      <w:divBdr>
        <w:top w:val="none" w:sz="0" w:space="0" w:color="auto"/>
        <w:left w:val="none" w:sz="0" w:space="0" w:color="auto"/>
        <w:bottom w:val="none" w:sz="0" w:space="0" w:color="auto"/>
        <w:right w:val="none" w:sz="0" w:space="0" w:color="auto"/>
      </w:divBdr>
    </w:div>
    <w:div w:id="1981496572">
      <w:bodyDiv w:val="1"/>
      <w:marLeft w:val="0"/>
      <w:marRight w:val="0"/>
      <w:marTop w:val="0"/>
      <w:marBottom w:val="0"/>
      <w:divBdr>
        <w:top w:val="none" w:sz="0" w:space="0" w:color="auto"/>
        <w:left w:val="none" w:sz="0" w:space="0" w:color="auto"/>
        <w:bottom w:val="none" w:sz="0" w:space="0" w:color="auto"/>
        <w:right w:val="none" w:sz="0" w:space="0" w:color="auto"/>
      </w:divBdr>
      <w:divsChild>
        <w:div w:id="1938125961">
          <w:marLeft w:val="0"/>
          <w:marRight w:val="0"/>
          <w:marTop w:val="0"/>
          <w:marBottom w:val="0"/>
          <w:divBdr>
            <w:top w:val="none" w:sz="0" w:space="0" w:color="auto"/>
            <w:left w:val="none" w:sz="0" w:space="0" w:color="auto"/>
            <w:bottom w:val="none" w:sz="0" w:space="0" w:color="auto"/>
            <w:right w:val="none" w:sz="0" w:space="0" w:color="auto"/>
          </w:divBdr>
        </w:div>
        <w:div w:id="1509901269">
          <w:marLeft w:val="0"/>
          <w:marRight w:val="0"/>
          <w:marTop w:val="0"/>
          <w:marBottom w:val="0"/>
          <w:divBdr>
            <w:top w:val="none" w:sz="0" w:space="0" w:color="auto"/>
            <w:left w:val="none" w:sz="0" w:space="0" w:color="auto"/>
            <w:bottom w:val="none" w:sz="0" w:space="0" w:color="auto"/>
            <w:right w:val="none" w:sz="0" w:space="0" w:color="auto"/>
          </w:divBdr>
        </w:div>
        <w:div w:id="1497261745">
          <w:marLeft w:val="0"/>
          <w:marRight w:val="0"/>
          <w:marTop w:val="0"/>
          <w:marBottom w:val="0"/>
          <w:divBdr>
            <w:top w:val="none" w:sz="0" w:space="0" w:color="auto"/>
            <w:left w:val="none" w:sz="0" w:space="0" w:color="auto"/>
            <w:bottom w:val="none" w:sz="0" w:space="0" w:color="auto"/>
            <w:right w:val="none" w:sz="0" w:space="0" w:color="auto"/>
          </w:divBdr>
        </w:div>
        <w:div w:id="1129011332">
          <w:marLeft w:val="0"/>
          <w:marRight w:val="0"/>
          <w:marTop w:val="0"/>
          <w:marBottom w:val="0"/>
          <w:divBdr>
            <w:top w:val="none" w:sz="0" w:space="0" w:color="auto"/>
            <w:left w:val="none" w:sz="0" w:space="0" w:color="auto"/>
            <w:bottom w:val="none" w:sz="0" w:space="0" w:color="auto"/>
            <w:right w:val="none" w:sz="0" w:space="0" w:color="auto"/>
          </w:divBdr>
        </w:div>
        <w:div w:id="1479959957">
          <w:marLeft w:val="0"/>
          <w:marRight w:val="0"/>
          <w:marTop w:val="0"/>
          <w:marBottom w:val="0"/>
          <w:divBdr>
            <w:top w:val="none" w:sz="0" w:space="0" w:color="auto"/>
            <w:left w:val="none" w:sz="0" w:space="0" w:color="auto"/>
            <w:bottom w:val="none" w:sz="0" w:space="0" w:color="auto"/>
            <w:right w:val="none" w:sz="0" w:space="0" w:color="auto"/>
          </w:divBdr>
        </w:div>
        <w:div w:id="651761699">
          <w:marLeft w:val="0"/>
          <w:marRight w:val="0"/>
          <w:marTop w:val="0"/>
          <w:marBottom w:val="0"/>
          <w:divBdr>
            <w:top w:val="none" w:sz="0" w:space="0" w:color="auto"/>
            <w:left w:val="none" w:sz="0" w:space="0" w:color="auto"/>
            <w:bottom w:val="none" w:sz="0" w:space="0" w:color="auto"/>
            <w:right w:val="none" w:sz="0" w:space="0" w:color="auto"/>
          </w:divBdr>
        </w:div>
        <w:div w:id="2003240696">
          <w:marLeft w:val="0"/>
          <w:marRight w:val="0"/>
          <w:marTop w:val="0"/>
          <w:marBottom w:val="0"/>
          <w:divBdr>
            <w:top w:val="none" w:sz="0" w:space="0" w:color="auto"/>
            <w:left w:val="none" w:sz="0" w:space="0" w:color="auto"/>
            <w:bottom w:val="none" w:sz="0" w:space="0" w:color="auto"/>
            <w:right w:val="none" w:sz="0" w:space="0" w:color="auto"/>
          </w:divBdr>
        </w:div>
        <w:div w:id="1953172888">
          <w:marLeft w:val="0"/>
          <w:marRight w:val="0"/>
          <w:marTop w:val="0"/>
          <w:marBottom w:val="0"/>
          <w:divBdr>
            <w:top w:val="none" w:sz="0" w:space="0" w:color="auto"/>
            <w:left w:val="none" w:sz="0" w:space="0" w:color="auto"/>
            <w:bottom w:val="none" w:sz="0" w:space="0" w:color="auto"/>
            <w:right w:val="none" w:sz="0" w:space="0" w:color="auto"/>
          </w:divBdr>
        </w:div>
        <w:div w:id="492139966">
          <w:marLeft w:val="0"/>
          <w:marRight w:val="0"/>
          <w:marTop w:val="0"/>
          <w:marBottom w:val="0"/>
          <w:divBdr>
            <w:top w:val="none" w:sz="0" w:space="0" w:color="auto"/>
            <w:left w:val="none" w:sz="0" w:space="0" w:color="auto"/>
            <w:bottom w:val="none" w:sz="0" w:space="0" w:color="auto"/>
            <w:right w:val="none" w:sz="0" w:space="0" w:color="auto"/>
          </w:divBdr>
        </w:div>
        <w:div w:id="579408159">
          <w:marLeft w:val="0"/>
          <w:marRight w:val="0"/>
          <w:marTop w:val="0"/>
          <w:marBottom w:val="0"/>
          <w:divBdr>
            <w:top w:val="none" w:sz="0" w:space="0" w:color="auto"/>
            <w:left w:val="none" w:sz="0" w:space="0" w:color="auto"/>
            <w:bottom w:val="none" w:sz="0" w:space="0" w:color="auto"/>
            <w:right w:val="none" w:sz="0" w:space="0" w:color="auto"/>
          </w:divBdr>
        </w:div>
        <w:div w:id="1621496422">
          <w:marLeft w:val="0"/>
          <w:marRight w:val="0"/>
          <w:marTop w:val="0"/>
          <w:marBottom w:val="0"/>
          <w:divBdr>
            <w:top w:val="none" w:sz="0" w:space="0" w:color="auto"/>
            <w:left w:val="none" w:sz="0" w:space="0" w:color="auto"/>
            <w:bottom w:val="none" w:sz="0" w:space="0" w:color="auto"/>
            <w:right w:val="none" w:sz="0" w:space="0" w:color="auto"/>
          </w:divBdr>
        </w:div>
        <w:div w:id="1646619812">
          <w:marLeft w:val="0"/>
          <w:marRight w:val="0"/>
          <w:marTop w:val="0"/>
          <w:marBottom w:val="0"/>
          <w:divBdr>
            <w:top w:val="none" w:sz="0" w:space="0" w:color="auto"/>
            <w:left w:val="none" w:sz="0" w:space="0" w:color="auto"/>
            <w:bottom w:val="none" w:sz="0" w:space="0" w:color="auto"/>
            <w:right w:val="none" w:sz="0" w:space="0" w:color="auto"/>
          </w:divBdr>
        </w:div>
        <w:div w:id="1949240483">
          <w:marLeft w:val="0"/>
          <w:marRight w:val="0"/>
          <w:marTop w:val="0"/>
          <w:marBottom w:val="0"/>
          <w:divBdr>
            <w:top w:val="none" w:sz="0" w:space="0" w:color="auto"/>
            <w:left w:val="none" w:sz="0" w:space="0" w:color="auto"/>
            <w:bottom w:val="none" w:sz="0" w:space="0" w:color="auto"/>
            <w:right w:val="none" w:sz="0" w:space="0" w:color="auto"/>
          </w:divBdr>
        </w:div>
        <w:div w:id="1174341436">
          <w:marLeft w:val="0"/>
          <w:marRight w:val="0"/>
          <w:marTop w:val="0"/>
          <w:marBottom w:val="0"/>
          <w:divBdr>
            <w:top w:val="none" w:sz="0" w:space="0" w:color="auto"/>
            <w:left w:val="none" w:sz="0" w:space="0" w:color="auto"/>
            <w:bottom w:val="none" w:sz="0" w:space="0" w:color="auto"/>
            <w:right w:val="none" w:sz="0" w:space="0" w:color="auto"/>
          </w:divBdr>
        </w:div>
        <w:div w:id="412431344">
          <w:marLeft w:val="0"/>
          <w:marRight w:val="0"/>
          <w:marTop w:val="0"/>
          <w:marBottom w:val="0"/>
          <w:divBdr>
            <w:top w:val="none" w:sz="0" w:space="0" w:color="auto"/>
            <w:left w:val="none" w:sz="0" w:space="0" w:color="auto"/>
            <w:bottom w:val="none" w:sz="0" w:space="0" w:color="auto"/>
            <w:right w:val="none" w:sz="0" w:space="0" w:color="auto"/>
          </w:divBdr>
        </w:div>
        <w:div w:id="139886370">
          <w:marLeft w:val="0"/>
          <w:marRight w:val="0"/>
          <w:marTop w:val="0"/>
          <w:marBottom w:val="0"/>
          <w:divBdr>
            <w:top w:val="none" w:sz="0" w:space="0" w:color="auto"/>
            <w:left w:val="none" w:sz="0" w:space="0" w:color="auto"/>
            <w:bottom w:val="none" w:sz="0" w:space="0" w:color="auto"/>
            <w:right w:val="none" w:sz="0" w:space="0" w:color="auto"/>
          </w:divBdr>
        </w:div>
        <w:div w:id="1692147678">
          <w:marLeft w:val="0"/>
          <w:marRight w:val="0"/>
          <w:marTop w:val="0"/>
          <w:marBottom w:val="0"/>
          <w:divBdr>
            <w:top w:val="none" w:sz="0" w:space="0" w:color="auto"/>
            <w:left w:val="none" w:sz="0" w:space="0" w:color="auto"/>
            <w:bottom w:val="none" w:sz="0" w:space="0" w:color="auto"/>
            <w:right w:val="none" w:sz="0" w:space="0" w:color="auto"/>
          </w:divBdr>
        </w:div>
        <w:div w:id="192690701">
          <w:marLeft w:val="0"/>
          <w:marRight w:val="0"/>
          <w:marTop w:val="0"/>
          <w:marBottom w:val="0"/>
          <w:divBdr>
            <w:top w:val="none" w:sz="0" w:space="0" w:color="auto"/>
            <w:left w:val="none" w:sz="0" w:space="0" w:color="auto"/>
            <w:bottom w:val="none" w:sz="0" w:space="0" w:color="auto"/>
            <w:right w:val="none" w:sz="0" w:space="0" w:color="auto"/>
          </w:divBdr>
        </w:div>
        <w:div w:id="587924120">
          <w:marLeft w:val="0"/>
          <w:marRight w:val="0"/>
          <w:marTop w:val="0"/>
          <w:marBottom w:val="0"/>
          <w:divBdr>
            <w:top w:val="none" w:sz="0" w:space="0" w:color="auto"/>
            <w:left w:val="none" w:sz="0" w:space="0" w:color="auto"/>
            <w:bottom w:val="none" w:sz="0" w:space="0" w:color="auto"/>
            <w:right w:val="none" w:sz="0" w:space="0" w:color="auto"/>
          </w:divBdr>
        </w:div>
        <w:div w:id="220287929">
          <w:marLeft w:val="0"/>
          <w:marRight w:val="0"/>
          <w:marTop w:val="0"/>
          <w:marBottom w:val="0"/>
          <w:divBdr>
            <w:top w:val="none" w:sz="0" w:space="0" w:color="auto"/>
            <w:left w:val="none" w:sz="0" w:space="0" w:color="auto"/>
            <w:bottom w:val="none" w:sz="0" w:space="0" w:color="auto"/>
            <w:right w:val="none" w:sz="0" w:space="0" w:color="auto"/>
          </w:divBdr>
        </w:div>
        <w:div w:id="1958490552">
          <w:marLeft w:val="0"/>
          <w:marRight w:val="0"/>
          <w:marTop w:val="0"/>
          <w:marBottom w:val="0"/>
          <w:divBdr>
            <w:top w:val="none" w:sz="0" w:space="0" w:color="auto"/>
            <w:left w:val="none" w:sz="0" w:space="0" w:color="auto"/>
            <w:bottom w:val="none" w:sz="0" w:space="0" w:color="auto"/>
            <w:right w:val="none" w:sz="0" w:space="0" w:color="auto"/>
          </w:divBdr>
        </w:div>
        <w:div w:id="1900556325">
          <w:marLeft w:val="0"/>
          <w:marRight w:val="0"/>
          <w:marTop w:val="0"/>
          <w:marBottom w:val="0"/>
          <w:divBdr>
            <w:top w:val="none" w:sz="0" w:space="0" w:color="auto"/>
            <w:left w:val="none" w:sz="0" w:space="0" w:color="auto"/>
            <w:bottom w:val="none" w:sz="0" w:space="0" w:color="auto"/>
            <w:right w:val="none" w:sz="0" w:space="0" w:color="auto"/>
          </w:divBdr>
        </w:div>
        <w:div w:id="377820417">
          <w:marLeft w:val="0"/>
          <w:marRight w:val="0"/>
          <w:marTop w:val="0"/>
          <w:marBottom w:val="0"/>
          <w:divBdr>
            <w:top w:val="none" w:sz="0" w:space="0" w:color="auto"/>
            <w:left w:val="none" w:sz="0" w:space="0" w:color="auto"/>
            <w:bottom w:val="none" w:sz="0" w:space="0" w:color="auto"/>
            <w:right w:val="none" w:sz="0" w:space="0" w:color="auto"/>
          </w:divBdr>
        </w:div>
        <w:div w:id="1597901897">
          <w:marLeft w:val="0"/>
          <w:marRight w:val="0"/>
          <w:marTop w:val="0"/>
          <w:marBottom w:val="0"/>
          <w:divBdr>
            <w:top w:val="none" w:sz="0" w:space="0" w:color="auto"/>
            <w:left w:val="none" w:sz="0" w:space="0" w:color="auto"/>
            <w:bottom w:val="none" w:sz="0" w:space="0" w:color="auto"/>
            <w:right w:val="none" w:sz="0" w:space="0" w:color="auto"/>
          </w:divBdr>
        </w:div>
        <w:div w:id="1264190744">
          <w:marLeft w:val="0"/>
          <w:marRight w:val="0"/>
          <w:marTop w:val="0"/>
          <w:marBottom w:val="0"/>
          <w:divBdr>
            <w:top w:val="none" w:sz="0" w:space="0" w:color="auto"/>
            <w:left w:val="none" w:sz="0" w:space="0" w:color="auto"/>
            <w:bottom w:val="none" w:sz="0" w:space="0" w:color="auto"/>
            <w:right w:val="none" w:sz="0" w:space="0" w:color="auto"/>
          </w:divBdr>
        </w:div>
      </w:divsChild>
    </w:div>
    <w:div w:id="2005165764">
      <w:bodyDiv w:val="1"/>
      <w:marLeft w:val="0"/>
      <w:marRight w:val="0"/>
      <w:marTop w:val="0"/>
      <w:marBottom w:val="0"/>
      <w:divBdr>
        <w:top w:val="none" w:sz="0" w:space="0" w:color="auto"/>
        <w:left w:val="none" w:sz="0" w:space="0" w:color="auto"/>
        <w:bottom w:val="none" w:sz="0" w:space="0" w:color="auto"/>
        <w:right w:val="none" w:sz="0" w:space="0" w:color="auto"/>
      </w:divBdr>
    </w:div>
    <w:div w:id="2011135987">
      <w:bodyDiv w:val="1"/>
      <w:marLeft w:val="0"/>
      <w:marRight w:val="0"/>
      <w:marTop w:val="0"/>
      <w:marBottom w:val="0"/>
      <w:divBdr>
        <w:top w:val="none" w:sz="0" w:space="0" w:color="auto"/>
        <w:left w:val="none" w:sz="0" w:space="0" w:color="auto"/>
        <w:bottom w:val="none" w:sz="0" w:space="0" w:color="auto"/>
        <w:right w:val="none" w:sz="0" w:space="0" w:color="auto"/>
      </w:divBdr>
    </w:div>
    <w:div w:id="2041321657">
      <w:bodyDiv w:val="1"/>
      <w:marLeft w:val="0"/>
      <w:marRight w:val="0"/>
      <w:marTop w:val="0"/>
      <w:marBottom w:val="0"/>
      <w:divBdr>
        <w:top w:val="none" w:sz="0" w:space="0" w:color="auto"/>
        <w:left w:val="none" w:sz="0" w:space="0" w:color="auto"/>
        <w:bottom w:val="none" w:sz="0" w:space="0" w:color="auto"/>
        <w:right w:val="none" w:sz="0" w:space="0" w:color="auto"/>
      </w:divBdr>
      <w:divsChild>
        <w:div w:id="478765675">
          <w:marLeft w:val="0"/>
          <w:marRight w:val="0"/>
          <w:marTop w:val="0"/>
          <w:marBottom w:val="0"/>
          <w:divBdr>
            <w:top w:val="none" w:sz="0" w:space="0" w:color="auto"/>
            <w:left w:val="none" w:sz="0" w:space="0" w:color="auto"/>
            <w:bottom w:val="none" w:sz="0" w:space="0" w:color="auto"/>
            <w:right w:val="none" w:sz="0" w:space="0" w:color="auto"/>
          </w:divBdr>
        </w:div>
        <w:div w:id="1228809589">
          <w:marLeft w:val="0"/>
          <w:marRight w:val="0"/>
          <w:marTop w:val="0"/>
          <w:marBottom w:val="0"/>
          <w:divBdr>
            <w:top w:val="none" w:sz="0" w:space="0" w:color="auto"/>
            <w:left w:val="none" w:sz="0" w:space="0" w:color="auto"/>
            <w:bottom w:val="none" w:sz="0" w:space="0" w:color="auto"/>
            <w:right w:val="none" w:sz="0" w:space="0" w:color="auto"/>
          </w:divBdr>
        </w:div>
        <w:div w:id="2108887077">
          <w:marLeft w:val="0"/>
          <w:marRight w:val="0"/>
          <w:marTop w:val="0"/>
          <w:marBottom w:val="0"/>
          <w:divBdr>
            <w:top w:val="none" w:sz="0" w:space="0" w:color="auto"/>
            <w:left w:val="none" w:sz="0" w:space="0" w:color="auto"/>
            <w:bottom w:val="none" w:sz="0" w:space="0" w:color="auto"/>
            <w:right w:val="none" w:sz="0" w:space="0" w:color="auto"/>
          </w:divBdr>
        </w:div>
        <w:div w:id="1967933100">
          <w:marLeft w:val="0"/>
          <w:marRight w:val="0"/>
          <w:marTop w:val="0"/>
          <w:marBottom w:val="0"/>
          <w:divBdr>
            <w:top w:val="none" w:sz="0" w:space="0" w:color="auto"/>
            <w:left w:val="none" w:sz="0" w:space="0" w:color="auto"/>
            <w:bottom w:val="none" w:sz="0" w:space="0" w:color="auto"/>
            <w:right w:val="none" w:sz="0" w:space="0" w:color="auto"/>
          </w:divBdr>
        </w:div>
        <w:div w:id="1541866472">
          <w:marLeft w:val="0"/>
          <w:marRight w:val="0"/>
          <w:marTop w:val="0"/>
          <w:marBottom w:val="0"/>
          <w:divBdr>
            <w:top w:val="none" w:sz="0" w:space="0" w:color="auto"/>
            <w:left w:val="none" w:sz="0" w:space="0" w:color="auto"/>
            <w:bottom w:val="none" w:sz="0" w:space="0" w:color="auto"/>
            <w:right w:val="none" w:sz="0" w:space="0" w:color="auto"/>
          </w:divBdr>
        </w:div>
        <w:div w:id="1930576665">
          <w:marLeft w:val="0"/>
          <w:marRight w:val="0"/>
          <w:marTop w:val="0"/>
          <w:marBottom w:val="0"/>
          <w:divBdr>
            <w:top w:val="none" w:sz="0" w:space="0" w:color="auto"/>
            <w:left w:val="none" w:sz="0" w:space="0" w:color="auto"/>
            <w:bottom w:val="none" w:sz="0" w:space="0" w:color="auto"/>
            <w:right w:val="none" w:sz="0" w:space="0" w:color="auto"/>
          </w:divBdr>
        </w:div>
        <w:div w:id="809173569">
          <w:marLeft w:val="0"/>
          <w:marRight w:val="0"/>
          <w:marTop w:val="0"/>
          <w:marBottom w:val="0"/>
          <w:divBdr>
            <w:top w:val="none" w:sz="0" w:space="0" w:color="auto"/>
            <w:left w:val="none" w:sz="0" w:space="0" w:color="auto"/>
            <w:bottom w:val="none" w:sz="0" w:space="0" w:color="auto"/>
            <w:right w:val="none" w:sz="0" w:space="0" w:color="auto"/>
          </w:divBdr>
        </w:div>
        <w:div w:id="241304469">
          <w:marLeft w:val="0"/>
          <w:marRight w:val="0"/>
          <w:marTop w:val="0"/>
          <w:marBottom w:val="0"/>
          <w:divBdr>
            <w:top w:val="none" w:sz="0" w:space="0" w:color="auto"/>
            <w:left w:val="none" w:sz="0" w:space="0" w:color="auto"/>
            <w:bottom w:val="none" w:sz="0" w:space="0" w:color="auto"/>
            <w:right w:val="none" w:sz="0" w:space="0" w:color="auto"/>
          </w:divBdr>
        </w:div>
        <w:div w:id="1917932412">
          <w:marLeft w:val="0"/>
          <w:marRight w:val="0"/>
          <w:marTop w:val="0"/>
          <w:marBottom w:val="0"/>
          <w:divBdr>
            <w:top w:val="none" w:sz="0" w:space="0" w:color="auto"/>
            <w:left w:val="none" w:sz="0" w:space="0" w:color="auto"/>
            <w:bottom w:val="none" w:sz="0" w:space="0" w:color="auto"/>
            <w:right w:val="none" w:sz="0" w:space="0" w:color="auto"/>
          </w:divBdr>
        </w:div>
        <w:div w:id="1775906998">
          <w:marLeft w:val="0"/>
          <w:marRight w:val="0"/>
          <w:marTop w:val="0"/>
          <w:marBottom w:val="0"/>
          <w:divBdr>
            <w:top w:val="none" w:sz="0" w:space="0" w:color="auto"/>
            <w:left w:val="none" w:sz="0" w:space="0" w:color="auto"/>
            <w:bottom w:val="none" w:sz="0" w:space="0" w:color="auto"/>
            <w:right w:val="none" w:sz="0" w:space="0" w:color="auto"/>
          </w:divBdr>
        </w:div>
        <w:div w:id="1190606313">
          <w:marLeft w:val="0"/>
          <w:marRight w:val="0"/>
          <w:marTop w:val="0"/>
          <w:marBottom w:val="0"/>
          <w:divBdr>
            <w:top w:val="none" w:sz="0" w:space="0" w:color="auto"/>
            <w:left w:val="none" w:sz="0" w:space="0" w:color="auto"/>
            <w:bottom w:val="none" w:sz="0" w:space="0" w:color="auto"/>
            <w:right w:val="none" w:sz="0" w:space="0" w:color="auto"/>
          </w:divBdr>
        </w:div>
        <w:div w:id="904334519">
          <w:marLeft w:val="0"/>
          <w:marRight w:val="0"/>
          <w:marTop w:val="0"/>
          <w:marBottom w:val="0"/>
          <w:divBdr>
            <w:top w:val="none" w:sz="0" w:space="0" w:color="auto"/>
            <w:left w:val="none" w:sz="0" w:space="0" w:color="auto"/>
            <w:bottom w:val="none" w:sz="0" w:space="0" w:color="auto"/>
            <w:right w:val="none" w:sz="0" w:space="0" w:color="auto"/>
          </w:divBdr>
        </w:div>
        <w:div w:id="1717003495">
          <w:marLeft w:val="0"/>
          <w:marRight w:val="0"/>
          <w:marTop w:val="0"/>
          <w:marBottom w:val="0"/>
          <w:divBdr>
            <w:top w:val="none" w:sz="0" w:space="0" w:color="auto"/>
            <w:left w:val="none" w:sz="0" w:space="0" w:color="auto"/>
            <w:bottom w:val="none" w:sz="0" w:space="0" w:color="auto"/>
            <w:right w:val="none" w:sz="0" w:space="0" w:color="auto"/>
          </w:divBdr>
        </w:div>
        <w:div w:id="450251360">
          <w:marLeft w:val="0"/>
          <w:marRight w:val="0"/>
          <w:marTop w:val="0"/>
          <w:marBottom w:val="0"/>
          <w:divBdr>
            <w:top w:val="none" w:sz="0" w:space="0" w:color="auto"/>
            <w:left w:val="none" w:sz="0" w:space="0" w:color="auto"/>
            <w:bottom w:val="none" w:sz="0" w:space="0" w:color="auto"/>
            <w:right w:val="none" w:sz="0" w:space="0" w:color="auto"/>
          </w:divBdr>
        </w:div>
        <w:div w:id="1685739547">
          <w:marLeft w:val="0"/>
          <w:marRight w:val="0"/>
          <w:marTop w:val="0"/>
          <w:marBottom w:val="0"/>
          <w:divBdr>
            <w:top w:val="none" w:sz="0" w:space="0" w:color="auto"/>
            <w:left w:val="none" w:sz="0" w:space="0" w:color="auto"/>
            <w:bottom w:val="none" w:sz="0" w:space="0" w:color="auto"/>
            <w:right w:val="none" w:sz="0" w:space="0" w:color="auto"/>
          </w:divBdr>
        </w:div>
        <w:div w:id="424771444">
          <w:marLeft w:val="0"/>
          <w:marRight w:val="0"/>
          <w:marTop w:val="0"/>
          <w:marBottom w:val="0"/>
          <w:divBdr>
            <w:top w:val="none" w:sz="0" w:space="0" w:color="auto"/>
            <w:left w:val="none" w:sz="0" w:space="0" w:color="auto"/>
            <w:bottom w:val="none" w:sz="0" w:space="0" w:color="auto"/>
            <w:right w:val="none" w:sz="0" w:space="0" w:color="auto"/>
          </w:divBdr>
        </w:div>
        <w:div w:id="586159816">
          <w:marLeft w:val="0"/>
          <w:marRight w:val="0"/>
          <w:marTop w:val="0"/>
          <w:marBottom w:val="0"/>
          <w:divBdr>
            <w:top w:val="none" w:sz="0" w:space="0" w:color="auto"/>
            <w:left w:val="none" w:sz="0" w:space="0" w:color="auto"/>
            <w:bottom w:val="none" w:sz="0" w:space="0" w:color="auto"/>
            <w:right w:val="none" w:sz="0" w:space="0" w:color="auto"/>
          </w:divBdr>
        </w:div>
        <w:div w:id="2009748374">
          <w:marLeft w:val="0"/>
          <w:marRight w:val="0"/>
          <w:marTop w:val="0"/>
          <w:marBottom w:val="0"/>
          <w:divBdr>
            <w:top w:val="none" w:sz="0" w:space="0" w:color="auto"/>
            <w:left w:val="none" w:sz="0" w:space="0" w:color="auto"/>
            <w:bottom w:val="none" w:sz="0" w:space="0" w:color="auto"/>
            <w:right w:val="none" w:sz="0" w:space="0" w:color="auto"/>
          </w:divBdr>
        </w:div>
        <w:div w:id="1138230370">
          <w:marLeft w:val="0"/>
          <w:marRight w:val="0"/>
          <w:marTop w:val="0"/>
          <w:marBottom w:val="0"/>
          <w:divBdr>
            <w:top w:val="none" w:sz="0" w:space="0" w:color="auto"/>
            <w:left w:val="none" w:sz="0" w:space="0" w:color="auto"/>
            <w:bottom w:val="none" w:sz="0" w:space="0" w:color="auto"/>
            <w:right w:val="none" w:sz="0" w:space="0" w:color="auto"/>
          </w:divBdr>
        </w:div>
        <w:div w:id="500463964">
          <w:marLeft w:val="0"/>
          <w:marRight w:val="0"/>
          <w:marTop w:val="0"/>
          <w:marBottom w:val="0"/>
          <w:divBdr>
            <w:top w:val="none" w:sz="0" w:space="0" w:color="auto"/>
            <w:left w:val="none" w:sz="0" w:space="0" w:color="auto"/>
            <w:bottom w:val="none" w:sz="0" w:space="0" w:color="auto"/>
            <w:right w:val="none" w:sz="0" w:space="0" w:color="auto"/>
          </w:divBdr>
        </w:div>
        <w:div w:id="2092114292">
          <w:marLeft w:val="0"/>
          <w:marRight w:val="0"/>
          <w:marTop w:val="0"/>
          <w:marBottom w:val="0"/>
          <w:divBdr>
            <w:top w:val="none" w:sz="0" w:space="0" w:color="auto"/>
            <w:left w:val="none" w:sz="0" w:space="0" w:color="auto"/>
            <w:bottom w:val="none" w:sz="0" w:space="0" w:color="auto"/>
            <w:right w:val="none" w:sz="0" w:space="0" w:color="auto"/>
          </w:divBdr>
        </w:div>
        <w:div w:id="2092384821">
          <w:marLeft w:val="0"/>
          <w:marRight w:val="0"/>
          <w:marTop w:val="0"/>
          <w:marBottom w:val="0"/>
          <w:divBdr>
            <w:top w:val="none" w:sz="0" w:space="0" w:color="auto"/>
            <w:left w:val="none" w:sz="0" w:space="0" w:color="auto"/>
            <w:bottom w:val="none" w:sz="0" w:space="0" w:color="auto"/>
            <w:right w:val="none" w:sz="0" w:space="0" w:color="auto"/>
          </w:divBdr>
        </w:div>
        <w:div w:id="2105110902">
          <w:marLeft w:val="0"/>
          <w:marRight w:val="0"/>
          <w:marTop w:val="0"/>
          <w:marBottom w:val="0"/>
          <w:divBdr>
            <w:top w:val="none" w:sz="0" w:space="0" w:color="auto"/>
            <w:left w:val="none" w:sz="0" w:space="0" w:color="auto"/>
            <w:bottom w:val="none" w:sz="0" w:space="0" w:color="auto"/>
            <w:right w:val="none" w:sz="0" w:space="0" w:color="auto"/>
          </w:divBdr>
        </w:div>
        <w:div w:id="1904488918">
          <w:marLeft w:val="0"/>
          <w:marRight w:val="0"/>
          <w:marTop w:val="0"/>
          <w:marBottom w:val="0"/>
          <w:divBdr>
            <w:top w:val="none" w:sz="0" w:space="0" w:color="auto"/>
            <w:left w:val="none" w:sz="0" w:space="0" w:color="auto"/>
            <w:bottom w:val="none" w:sz="0" w:space="0" w:color="auto"/>
            <w:right w:val="none" w:sz="0" w:space="0" w:color="auto"/>
          </w:divBdr>
        </w:div>
        <w:div w:id="1946232229">
          <w:marLeft w:val="0"/>
          <w:marRight w:val="0"/>
          <w:marTop w:val="0"/>
          <w:marBottom w:val="0"/>
          <w:divBdr>
            <w:top w:val="none" w:sz="0" w:space="0" w:color="auto"/>
            <w:left w:val="none" w:sz="0" w:space="0" w:color="auto"/>
            <w:bottom w:val="none" w:sz="0" w:space="0" w:color="auto"/>
            <w:right w:val="none" w:sz="0" w:space="0" w:color="auto"/>
          </w:divBdr>
        </w:div>
        <w:div w:id="1269580970">
          <w:marLeft w:val="0"/>
          <w:marRight w:val="0"/>
          <w:marTop w:val="0"/>
          <w:marBottom w:val="0"/>
          <w:divBdr>
            <w:top w:val="none" w:sz="0" w:space="0" w:color="auto"/>
            <w:left w:val="none" w:sz="0" w:space="0" w:color="auto"/>
            <w:bottom w:val="none" w:sz="0" w:space="0" w:color="auto"/>
            <w:right w:val="none" w:sz="0" w:space="0" w:color="auto"/>
          </w:divBdr>
        </w:div>
        <w:div w:id="1472594424">
          <w:marLeft w:val="0"/>
          <w:marRight w:val="0"/>
          <w:marTop w:val="0"/>
          <w:marBottom w:val="0"/>
          <w:divBdr>
            <w:top w:val="none" w:sz="0" w:space="0" w:color="auto"/>
            <w:left w:val="none" w:sz="0" w:space="0" w:color="auto"/>
            <w:bottom w:val="none" w:sz="0" w:space="0" w:color="auto"/>
            <w:right w:val="none" w:sz="0" w:space="0" w:color="auto"/>
          </w:divBdr>
        </w:div>
        <w:div w:id="338387351">
          <w:marLeft w:val="0"/>
          <w:marRight w:val="0"/>
          <w:marTop w:val="0"/>
          <w:marBottom w:val="0"/>
          <w:divBdr>
            <w:top w:val="none" w:sz="0" w:space="0" w:color="auto"/>
            <w:left w:val="none" w:sz="0" w:space="0" w:color="auto"/>
            <w:bottom w:val="none" w:sz="0" w:space="0" w:color="auto"/>
            <w:right w:val="none" w:sz="0" w:space="0" w:color="auto"/>
          </w:divBdr>
        </w:div>
        <w:div w:id="2004550232">
          <w:marLeft w:val="0"/>
          <w:marRight w:val="0"/>
          <w:marTop w:val="0"/>
          <w:marBottom w:val="0"/>
          <w:divBdr>
            <w:top w:val="none" w:sz="0" w:space="0" w:color="auto"/>
            <w:left w:val="none" w:sz="0" w:space="0" w:color="auto"/>
            <w:bottom w:val="none" w:sz="0" w:space="0" w:color="auto"/>
            <w:right w:val="none" w:sz="0" w:space="0" w:color="auto"/>
          </w:divBdr>
        </w:div>
      </w:divsChild>
    </w:div>
    <w:div w:id="2044670015">
      <w:bodyDiv w:val="1"/>
      <w:marLeft w:val="0"/>
      <w:marRight w:val="0"/>
      <w:marTop w:val="0"/>
      <w:marBottom w:val="0"/>
      <w:divBdr>
        <w:top w:val="none" w:sz="0" w:space="0" w:color="auto"/>
        <w:left w:val="none" w:sz="0" w:space="0" w:color="auto"/>
        <w:bottom w:val="none" w:sz="0" w:space="0" w:color="auto"/>
        <w:right w:val="none" w:sz="0" w:space="0" w:color="auto"/>
      </w:divBdr>
    </w:div>
    <w:div w:id="2044818412">
      <w:bodyDiv w:val="1"/>
      <w:marLeft w:val="0"/>
      <w:marRight w:val="0"/>
      <w:marTop w:val="0"/>
      <w:marBottom w:val="0"/>
      <w:divBdr>
        <w:top w:val="none" w:sz="0" w:space="0" w:color="auto"/>
        <w:left w:val="none" w:sz="0" w:space="0" w:color="auto"/>
        <w:bottom w:val="none" w:sz="0" w:space="0" w:color="auto"/>
        <w:right w:val="none" w:sz="0" w:space="0" w:color="auto"/>
      </w:divBdr>
      <w:divsChild>
        <w:div w:id="941646614">
          <w:marLeft w:val="0"/>
          <w:marRight w:val="0"/>
          <w:marTop w:val="0"/>
          <w:marBottom w:val="0"/>
          <w:divBdr>
            <w:top w:val="none" w:sz="0" w:space="0" w:color="auto"/>
            <w:left w:val="none" w:sz="0" w:space="0" w:color="auto"/>
            <w:bottom w:val="none" w:sz="0" w:space="0" w:color="auto"/>
            <w:right w:val="none" w:sz="0" w:space="0" w:color="auto"/>
          </w:divBdr>
        </w:div>
        <w:div w:id="2021471063">
          <w:marLeft w:val="0"/>
          <w:marRight w:val="0"/>
          <w:marTop w:val="0"/>
          <w:marBottom w:val="0"/>
          <w:divBdr>
            <w:top w:val="none" w:sz="0" w:space="0" w:color="auto"/>
            <w:left w:val="none" w:sz="0" w:space="0" w:color="auto"/>
            <w:bottom w:val="none" w:sz="0" w:space="0" w:color="auto"/>
            <w:right w:val="none" w:sz="0" w:space="0" w:color="auto"/>
          </w:divBdr>
        </w:div>
        <w:div w:id="748892933">
          <w:marLeft w:val="0"/>
          <w:marRight w:val="0"/>
          <w:marTop w:val="0"/>
          <w:marBottom w:val="0"/>
          <w:divBdr>
            <w:top w:val="none" w:sz="0" w:space="0" w:color="auto"/>
            <w:left w:val="none" w:sz="0" w:space="0" w:color="auto"/>
            <w:bottom w:val="none" w:sz="0" w:space="0" w:color="auto"/>
            <w:right w:val="none" w:sz="0" w:space="0" w:color="auto"/>
          </w:divBdr>
        </w:div>
        <w:div w:id="1825004430">
          <w:marLeft w:val="0"/>
          <w:marRight w:val="0"/>
          <w:marTop w:val="0"/>
          <w:marBottom w:val="0"/>
          <w:divBdr>
            <w:top w:val="none" w:sz="0" w:space="0" w:color="auto"/>
            <w:left w:val="none" w:sz="0" w:space="0" w:color="auto"/>
            <w:bottom w:val="none" w:sz="0" w:space="0" w:color="auto"/>
            <w:right w:val="none" w:sz="0" w:space="0" w:color="auto"/>
          </w:divBdr>
        </w:div>
        <w:div w:id="15736802">
          <w:marLeft w:val="0"/>
          <w:marRight w:val="0"/>
          <w:marTop w:val="0"/>
          <w:marBottom w:val="0"/>
          <w:divBdr>
            <w:top w:val="none" w:sz="0" w:space="0" w:color="auto"/>
            <w:left w:val="none" w:sz="0" w:space="0" w:color="auto"/>
            <w:bottom w:val="none" w:sz="0" w:space="0" w:color="auto"/>
            <w:right w:val="none" w:sz="0" w:space="0" w:color="auto"/>
          </w:divBdr>
        </w:div>
        <w:div w:id="864563817">
          <w:marLeft w:val="0"/>
          <w:marRight w:val="0"/>
          <w:marTop w:val="0"/>
          <w:marBottom w:val="0"/>
          <w:divBdr>
            <w:top w:val="none" w:sz="0" w:space="0" w:color="auto"/>
            <w:left w:val="none" w:sz="0" w:space="0" w:color="auto"/>
            <w:bottom w:val="none" w:sz="0" w:space="0" w:color="auto"/>
            <w:right w:val="none" w:sz="0" w:space="0" w:color="auto"/>
          </w:divBdr>
        </w:div>
        <w:div w:id="63183292">
          <w:marLeft w:val="0"/>
          <w:marRight w:val="0"/>
          <w:marTop w:val="0"/>
          <w:marBottom w:val="0"/>
          <w:divBdr>
            <w:top w:val="none" w:sz="0" w:space="0" w:color="auto"/>
            <w:left w:val="none" w:sz="0" w:space="0" w:color="auto"/>
            <w:bottom w:val="none" w:sz="0" w:space="0" w:color="auto"/>
            <w:right w:val="none" w:sz="0" w:space="0" w:color="auto"/>
          </w:divBdr>
        </w:div>
        <w:div w:id="1284799680">
          <w:marLeft w:val="0"/>
          <w:marRight w:val="0"/>
          <w:marTop w:val="0"/>
          <w:marBottom w:val="0"/>
          <w:divBdr>
            <w:top w:val="none" w:sz="0" w:space="0" w:color="auto"/>
            <w:left w:val="none" w:sz="0" w:space="0" w:color="auto"/>
            <w:bottom w:val="none" w:sz="0" w:space="0" w:color="auto"/>
            <w:right w:val="none" w:sz="0" w:space="0" w:color="auto"/>
          </w:divBdr>
        </w:div>
        <w:div w:id="122970207">
          <w:marLeft w:val="0"/>
          <w:marRight w:val="0"/>
          <w:marTop w:val="0"/>
          <w:marBottom w:val="0"/>
          <w:divBdr>
            <w:top w:val="none" w:sz="0" w:space="0" w:color="auto"/>
            <w:left w:val="none" w:sz="0" w:space="0" w:color="auto"/>
            <w:bottom w:val="none" w:sz="0" w:space="0" w:color="auto"/>
            <w:right w:val="none" w:sz="0" w:space="0" w:color="auto"/>
          </w:divBdr>
        </w:div>
        <w:div w:id="863522926">
          <w:marLeft w:val="0"/>
          <w:marRight w:val="0"/>
          <w:marTop w:val="0"/>
          <w:marBottom w:val="0"/>
          <w:divBdr>
            <w:top w:val="none" w:sz="0" w:space="0" w:color="auto"/>
            <w:left w:val="none" w:sz="0" w:space="0" w:color="auto"/>
            <w:bottom w:val="none" w:sz="0" w:space="0" w:color="auto"/>
            <w:right w:val="none" w:sz="0" w:space="0" w:color="auto"/>
          </w:divBdr>
        </w:div>
        <w:div w:id="523253697">
          <w:marLeft w:val="0"/>
          <w:marRight w:val="0"/>
          <w:marTop w:val="0"/>
          <w:marBottom w:val="0"/>
          <w:divBdr>
            <w:top w:val="none" w:sz="0" w:space="0" w:color="auto"/>
            <w:left w:val="none" w:sz="0" w:space="0" w:color="auto"/>
            <w:bottom w:val="none" w:sz="0" w:space="0" w:color="auto"/>
            <w:right w:val="none" w:sz="0" w:space="0" w:color="auto"/>
          </w:divBdr>
        </w:div>
        <w:div w:id="258223905">
          <w:marLeft w:val="0"/>
          <w:marRight w:val="0"/>
          <w:marTop w:val="0"/>
          <w:marBottom w:val="0"/>
          <w:divBdr>
            <w:top w:val="none" w:sz="0" w:space="0" w:color="auto"/>
            <w:left w:val="none" w:sz="0" w:space="0" w:color="auto"/>
            <w:bottom w:val="none" w:sz="0" w:space="0" w:color="auto"/>
            <w:right w:val="none" w:sz="0" w:space="0" w:color="auto"/>
          </w:divBdr>
        </w:div>
        <w:div w:id="450174010">
          <w:marLeft w:val="0"/>
          <w:marRight w:val="0"/>
          <w:marTop w:val="0"/>
          <w:marBottom w:val="0"/>
          <w:divBdr>
            <w:top w:val="none" w:sz="0" w:space="0" w:color="auto"/>
            <w:left w:val="none" w:sz="0" w:space="0" w:color="auto"/>
            <w:bottom w:val="none" w:sz="0" w:space="0" w:color="auto"/>
            <w:right w:val="none" w:sz="0" w:space="0" w:color="auto"/>
          </w:divBdr>
        </w:div>
        <w:div w:id="1776556579">
          <w:marLeft w:val="0"/>
          <w:marRight w:val="0"/>
          <w:marTop w:val="0"/>
          <w:marBottom w:val="0"/>
          <w:divBdr>
            <w:top w:val="none" w:sz="0" w:space="0" w:color="auto"/>
            <w:left w:val="none" w:sz="0" w:space="0" w:color="auto"/>
            <w:bottom w:val="none" w:sz="0" w:space="0" w:color="auto"/>
            <w:right w:val="none" w:sz="0" w:space="0" w:color="auto"/>
          </w:divBdr>
        </w:div>
        <w:div w:id="1214854594">
          <w:marLeft w:val="0"/>
          <w:marRight w:val="0"/>
          <w:marTop w:val="0"/>
          <w:marBottom w:val="0"/>
          <w:divBdr>
            <w:top w:val="none" w:sz="0" w:space="0" w:color="auto"/>
            <w:left w:val="none" w:sz="0" w:space="0" w:color="auto"/>
            <w:bottom w:val="none" w:sz="0" w:space="0" w:color="auto"/>
            <w:right w:val="none" w:sz="0" w:space="0" w:color="auto"/>
          </w:divBdr>
        </w:div>
        <w:div w:id="1959214247">
          <w:marLeft w:val="0"/>
          <w:marRight w:val="0"/>
          <w:marTop w:val="0"/>
          <w:marBottom w:val="0"/>
          <w:divBdr>
            <w:top w:val="none" w:sz="0" w:space="0" w:color="auto"/>
            <w:left w:val="none" w:sz="0" w:space="0" w:color="auto"/>
            <w:bottom w:val="none" w:sz="0" w:space="0" w:color="auto"/>
            <w:right w:val="none" w:sz="0" w:space="0" w:color="auto"/>
          </w:divBdr>
        </w:div>
        <w:div w:id="1967391482">
          <w:marLeft w:val="0"/>
          <w:marRight w:val="0"/>
          <w:marTop w:val="0"/>
          <w:marBottom w:val="0"/>
          <w:divBdr>
            <w:top w:val="none" w:sz="0" w:space="0" w:color="auto"/>
            <w:left w:val="none" w:sz="0" w:space="0" w:color="auto"/>
            <w:bottom w:val="none" w:sz="0" w:space="0" w:color="auto"/>
            <w:right w:val="none" w:sz="0" w:space="0" w:color="auto"/>
          </w:divBdr>
        </w:div>
        <w:div w:id="822696554">
          <w:marLeft w:val="0"/>
          <w:marRight w:val="0"/>
          <w:marTop w:val="0"/>
          <w:marBottom w:val="0"/>
          <w:divBdr>
            <w:top w:val="none" w:sz="0" w:space="0" w:color="auto"/>
            <w:left w:val="none" w:sz="0" w:space="0" w:color="auto"/>
            <w:bottom w:val="none" w:sz="0" w:space="0" w:color="auto"/>
            <w:right w:val="none" w:sz="0" w:space="0" w:color="auto"/>
          </w:divBdr>
        </w:div>
        <w:div w:id="1165781317">
          <w:marLeft w:val="0"/>
          <w:marRight w:val="0"/>
          <w:marTop w:val="0"/>
          <w:marBottom w:val="0"/>
          <w:divBdr>
            <w:top w:val="none" w:sz="0" w:space="0" w:color="auto"/>
            <w:left w:val="none" w:sz="0" w:space="0" w:color="auto"/>
            <w:bottom w:val="none" w:sz="0" w:space="0" w:color="auto"/>
            <w:right w:val="none" w:sz="0" w:space="0" w:color="auto"/>
          </w:divBdr>
        </w:div>
        <w:div w:id="818158849">
          <w:marLeft w:val="0"/>
          <w:marRight w:val="0"/>
          <w:marTop w:val="0"/>
          <w:marBottom w:val="0"/>
          <w:divBdr>
            <w:top w:val="none" w:sz="0" w:space="0" w:color="auto"/>
            <w:left w:val="none" w:sz="0" w:space="0" w:color="auto"/>
            <w:bottom w:val="none" w:sz="0" w:space="0" w:color="auto"/>
            <w:right w:val="none" w:sz="0" w:space="0" w:color="auto"/>
          </w:divBdr>
        </w:div>
        <w:div w:id="1293054272">
          <w:marLeft w:val="0"/>
          <w:marRight w:val="0"/>
          <w:marTop w:val="0"/>
          <w:marBottom w:val="0"/>
          <w:divBdr>
            <w:top w:val="none" w:sz="0" w:space="0" w:color="auto"/>
            <w:left w:val="none" w:sz="0" w:space="0" w:color="auto"/>
            <w:bottom w:val="none" w:sz="0" w:space="0" w:color="auto"/>
            <w:right w:val="none" w:sz="0" w:space="0" w:color="auto"/>
          </w:divBdr>
        </w:div>
        <w:div w:id="1314062722">
          <w:marLeft w:val="0"/>
          <w:marRight w:val="0"/>
          <w:marTop w:val="0"/>
          <w:marBottom w:val="0"/>
          <w:divBdr>
            <w:top w:val="none" w:sz="0" w:space="0" w:color="auto"/>
            <w:left w:val="none" w:sz="0" w:space="0" w:color="auto"/>
            <w:bottom w:val="none" w:sz="0" w:space="0" w:color="auto"/>
            <w:right w:val="none" w:sz="0" w:space="0" w:color="auto"/>
          </w:divBdr>
        </w:div>
        <w:div w:id="1359354679">
          <w:marLeft w:val="0"/>
          <w:marRight w:val="0"/>
          <w:marTop w:val="0"/>
          <w:marBottom w:val="0"/>
          <w:divBdr>
            <w:top w:val="none" w:sz="0" w:space="0" w:color="auto"/>
            <w:left w:val="none" w:sz="0" w:space="0" w:color="auto"/>
            <w:bottom w:val="none" w:sz="0" w:space="0" w:color="auto"/>
            <w:right w:val="none" w:sz="0" w:space="0" w:color="auto"/>
          </w:divBdr>
        </w:div>
        <w:div w:id="328561548">
          <w:marLeft w:val="0"/>
          <w:marRight w:val="0"/>
          <w:marTop w:val="0"/>
          <w:marBottom w:val="0"/>
          <w:divBdr>
            <w:top w:val="none" w:sz="0" w:space="0" w:color="auto"/>
            <w:left w:val="none" w:sz="0" w:space="0" w:color="auto"/>
            <w:bottom w:val="none" w:sz="0" w:space="0" w:color="auto"/>
            <w:right w:val="none" w:sz="0" w:space="0" w:color="auto"/>
          </w:divBdr>
        </w:div>
        <w:div w:id="1640497182">
          <w:marLeft w:val="0"/>
          <w:marRight w:val="0"/>
          <w:marTop w:val="0"/>
          <w:marBottom w:val="0"/>
          <w:divBdr>
            <w:top w:val="none" w:sz="0" w:space="0" w:color="auto"/>
            <w:left w:val="none" w:sz="0" w:space="0" w:color="auto"/>
            <w:bottom w:val="none" w:sz="0" w:space="0" w:color="auto"/>
            <w:right w:val="none" w:sz="0" w:space="0" w:color="auto"/>
          </w:divBdr>
        </w:div>
      </w:divsChild>
    </w:div>
    <w:div w:id="2065521491">
      <w:bodyDiv w:val="1"/>
      <w:marLeft w:val="0"/>
      <w:marRight w:val="0"/>
      <w:marTop w:val="0"/>
      <w:marBottom w:val="0"/>
      <w:divBdr>
        <w:top w:val="none" w:sz="0" w:space="0" w:color="auto"/>
        <w:left w:val="none" w:sz="0" w:space="0" w:color="auto"/>
        <w:bottom w:val="none" w:sz="0" w:space="0" w:color="auto"/>
        <w:right w:val="none" w:sz="0" w:space="0" w:color="auto"/>
      </w:divBdr>
      <w:divsChild>
        <w:div w:id="605695950">
          <w:marLeft w:val="323"/>
          <w:marRight w:val="0"/>
          <w:marTop w:val="0"/>
          <w:marBottom w:val="0"/>
          <w:divBdr>
            <w:top w:val="none" w:sz="0" w:space="0" w:color="auto"/>
            <w:left w:val="none" w:sz="0" w:space="0" w:color="auto"/>
            <w:bottom w:val="none" w:sz="0" w:space="0" w:color="auto"/>
            <w:right w:val="none" w:sz="0" w:space="0" w:color="auto"/>
          </w:divBdr>
        </w:div>
      </w:divsChild>
    </w:div>
    <w:div w:id="2074353658">
      <w:bodyDiv w:val="1"/>
      <w:marLeft w:val="0"/>
      <w:marRight w:val="0"/>
      <w:marTop w:val="0"/>
      <w:marBottom w:val="0"/>
      <w:divBdr>
        <w:top w:val="none" w:sz="0" w:space="0" w:color="auto"/>
        <w:left w:val="none" w:sz="0" w:space="0" w:color="auto"/>
        <w:bottom w:val="none" w:sz="0" w:space="0" w:color="auto"/>
        <w:right w:val="none" w:sz="0" w:space="0" w:color="auto"/>
      </w:divBdr>
    </w:div>
    <w:div w:id="2101370165">
      <w:bodyDiv w:val="1"/>
      <w:marLeft w:val="0"/>
      <w:marRight w:val="0"/>
      <w:marTop w:val="0"/>
      <w:marBottom w:val="0"/>
      <w:divBdr>
        <w:top w:val="none" w:sz="0" w:space="0" w:color="auto"/>
        <w:left w:val="none" w:sz="0" w:space="0" w:color="auto"/>
        <w:bottom w:val="none" w:sz="0" w:space="0" w:color="auto"/>
        <w:right w:val="none" w:sz="0" w:space="0" w:color="auto"/>
      </w:divBdr>
    </w:div>
    <w:div w:id="2106731401">
      <w:bodyDiv w:val="1"/>
      <w:marLeft w:val="0"/>
      <w:marRight w:val="0"/>
      <w:marTop w:val="0"/>
      <w:marBottom w:val="0"/>
      <w:divBdr>
        <w:top w:val="none" w:sz="0" w:space="0" w:color="auto"/>
        <w:left w:val="none" w:sz="0" w:space="0" w:color="auto"/>
        <w:bottom w:val="none" w:sz="0" w:space="0" w:color="auto"/>
        <w:right w:val="none" w:sz="0" w:space="0" w:color="auto"/>
      </w:divBdr>
    </w:div>
    <w:div w:id="2129006837">
      <w:bodyDiv w:val="1"/>
      <w:marLeft w:val="0"/>
      <w:marRight w:val="0"/>
      <w:marTop w:val="0"/>
      <w:marBottom w:val="0"/>
      <w:divBdr>
        <w:top w:val="none" w:sz="0" w:space="0" w:color="auto"/>
        <w:left w:val="none" w:sz="0" w:space="0" w:color="auto"/>
        <w:bottom w:val="none" w:sz="0" w:space="0" w:color="auto"/>
        <w:right w:val="none" w:sz="0" w:space="0" w:color="auto"/>
      </w:divBdr>
    </w:div>
    <w:div w:id="2132743114">
      <w:bodyDiv w:val="1"/>
      <w:marLeft w:val="0"/>
      <w:marRight w:val="0"/>
      <w:marTop w:val="0"/>
      <w:marBottom w:val="0"/>
      <w:divBdr>
        <w:top w:val="none" w:sz="0" w:space="0" w:color="auto"/>
        <w:left w:val="none" w:sz="0" w:space="0" w:color="auto"/>
        <w:bottom w:val="none" w:sz="0" w:space="0" w:color="auto"/>
        <w:right w:val="none" w:sz="0" w:space="0" w:color="auto"/>
      </w:divBdr>
    </w:div>
    <w:div w:id="2135445788">
      <w:bodyDiv w:val="1"/>
      <w:marLeft w:val="0"/>
      <w:marRight w:val="0"/>
      <w:marTop w:val="0"/>
      <w:marBottom w:val="0"/>
      <w:divBdr>
        <w:top w:val="none" w:sz="0" w:space="0" w:color="auto"/>
        <w:left w:val="none" w:sz="0" w:space="0" w:color="auto"/>
        <w:bottom w:val="none" w:sz="0" w:space="0" w:color="auto"/>
        <w:right w:val="none" w:sz="0" w:space="0" w:color="auto"/>
      </w:divBdr>
    </w:div>
    <w:div w:id="2136170931">
      <w:bodyDiv w:val="1"/>
      <w:marLeft w:val="0"/>
      <w:marRight w:val="0"/>
      <w:marTop w:val="0"/>
      <w:marBottom w:val="0"/>
      <w:divBdr>
        <w:top w:val="none" w:sz="0" w:space="0" w:color="auto"/>
        <w:left w:val="none" w:sz="0" w:space="0" w:color="auto"/>
        <w:bottom w:val="none" w:sz="0" w:space="0" w:color="auto"/>
        <w:right w:val="none" w:sz="0" w:space="0" w:color="auto"/>
      </w:divBdr>
      <w:divsChild>
        <w:div w:id="1173758763">
          <w:marLeft w:val="0"/>
          <w:marRight w:val="0"/>
          <w:marTop w:val="0"/>
          <w:marBottom w:val="0"/>
          <w:divBdr>
            <w:top w:val="none" w:sz="0" w:space="0" w:color="auto"/>
            <w:left w:val="none" w:sz="0" w:space="0" w:color="auto"/>
            <w:bottom w:val="none" w:sz="0" w:space="0" w:color="auto"/>
            <w:right w:val="none" w:sz="0" w:space="0" w:color="auto"/>
          </w:divBdr>
        </w:div>
        <w:div w:id="1112550283">
          <w:marLeft w:val="0"/>
          <w:marRight w:val="0"/>
          <w:marTop w:val="0"/>
          <w:marBottom w:val="0"/>
          <w:divBdr>
            <w:top w:val="none" w:sz="0" w:space="0" w:color="auto"/>
            <w:left w:val="none" w:sz="0" w:space="0" w:color="auto"/>
            <w:bottom w:val="none" w:sz="0" w:space="0" w:color="auto"/>
            <w:right w:val="none" w:sz="0" w:space="0" w:color="auto"/>
          </w:divBdr>
        </w:div>
        <w:div w:id="2063365181">
          <w:marLeft w:val="0"/>
          <w:marRight w:val="0"/>
          <w:marTop w:val="0"/>
          <w:marBottom w:val="0"/>
          <w:divBdr>
            <w:top w:val="none" w:sz="0" w:space="0" w:color="auto"/>
            <w:left w:val="none" w:sz="0" w:space="0" w:color="auto"/>
            <w:bottom w:val="none" w:sz="0" w:space="0" w:color="auto"/>
            <w:right w:val="none" w:sz="0" w:space="0" w:color="auto"/>
          </w:divBdr>
        </w:div>
        <w:div w:id="1972787151">
          <w:marLeft w:val="0"/>
          <w:marRight w:val="0"/>
          <w:marTop w:val="0"/>
          <w:marBottom w:val="0"/>
          <w:divBdr>
            <w:top w:val="none" w:sz="0" w:space="0" w:color="auto"/>
            <w:left w:val="none" w:sz="0" w:space="0" w:color="auto"/>
            <w:bottom w:val="none" w:sz="0" w:space="0" w:color="auto"/>
            <w:right w:val="none" w:sz="0" w:space="0" w:color="auto"/>
          </w:divBdr>
        </w:div>
        <w:div w:id="1215895642">
          <w:marLeft w:val="0"/>
          <w:marRight w:val="0"/>
          <w:marTop w:val="0"/>
          <w:marBottom w:val="0"/>
          <w:divBdr>
            <w:top w:val="none" w:sz="0" w:space="0" w:color="auto"/>
            <w:left w:val="none" w:sz="0" w:space="0" w:color="auto"/>
            <w:bottom w:val="none" w:sz="0" w:space="0" w:color="auto"/>
            <w:right w:val="none" w:sz="0" w:space="0" w:color="auto"/>
          </w:divBdr>
        </w:div>
        <w:div w:id="1053893525">
          <w:marLeft w:val="0"/>
          <w:marRight w:val="0"/>
          <w:marTop w:val="0"/>
          <w:marBottom w:val="0"/>
          <w:divBdr>
            <w:top w:val="none" w:sz="0" w:space="0" w:color="auto"/>
            <w:left w:val="none" w:sz="0" w:space="0" w:color="auto"/>
            <w:bottom w:val="none" w:sz="0" w:space="0" w:color="auto"/>
            <w:right w:val="none" w:sz="0" w:space="0" w:color="auto"/>
          </w:divBdr>
        </w:div>
        <w:div w:id="247883225">
          <w:marLeft w:val="0"/>
          <w:marRight w:val="0"/>
          <w:marTop w:val="0"/>
          <w:marBottom w:val="0"/>
          <w:divBdr>
            <w:top w:val="none" w:sz="0" w:space="0" w:color="auto"/>
            <w:left w:val="none" w:sz="0" w:space="0" w:color="auto"/>
            <w:bottom w:val="none" w:sz="0" w:space="0" w:color="auto"/>
            <w:right w:val="none" w:sz="0" w:space="0" w:color="auto"/>
          </w:divBdr>
        </w:div>
        <w:div w:id="1760982511">
          <w:marLeft w:val="0"/>
          <w:marRight w:val="0"/>
          <w:marTop w:val="0"/>
          <w:marBottom w:val="0"/>
          <w:divBdr>
            <w:top w:val="none" w:sz="0" w:space="0" w:color="auto"/>
            <w:left w:val="none" w:sz="0" w:space="0" w:color="auto"/>
            <w:bottom w:val="none" w:sz="0" w:space="0" w:color="auto"/>
            <w:right w:val="none" w:sz="0" w:space="0" w:color="auto"/>
          </w:divBdr>
        </w:div>
        <w:div w:id="1935942596">
          <w:marLeft w:val="0"/>
          <w:marRight w:val="0"/>
          <w:marTop w:val="0"/>
          <w:marBottom w:val="0"/>
          <w:divBdr>
            <w:top w:val="none" w:sz="0" w:space="0" w:color="auto"/>
            <w:left w:val="none" w:sz="0" w:space="0" w:color="auto"/>
            <w:bottom w:val="none" w:sz="0" w:space="0" w:color="auto"/>
            <w:right w:val="none" w:sz="0" w:space="0" w:color="auto"/>
          </w:divBdr>
        </w:div>
        <w:div w:id="363822891">
          <w:marLeft w:val="0"/>
          <w:marRight w:val="0"/>
          <w:marTop w:val="0"/>
          <w:marBottom w:val="0"/>
          <w:divBdr>
            <w:top w:val="none" w:sz="0" w:space="0" w:color="auto"/>
            <w:left w:val="none" w:sz="0" w:space="0" w:color="auto"/>
            <w:bottom w:val="none" w:sz="0" w:space="0" w:color="auto"/>
            <w:right w:val="none" w:sz="0" w:space="0" w:color="auto"/>
          </w:divBdr>
        </w:div>
        <w:div w:id="805204673">
          <w:marLeft w:val="0"/>
          <w:marRight w:val="0"/>
          <w:marTop w:val="0"/>
          <w:marBottom w:val="0"/>
          <w:divBdr>
            <w:top w:val="none" w:sz="0" w:space="0" w:color="auto"/>
            <w:left w:val="none" w:sz="0" w:space="0" w:color="auto"/>
            <w:bottom w:val="none" w:sz="0" w:space="0" w:color="auto"/>
            <w:right w:val="none" w:sz="0" w:space="0" w:color="auto"/>
          </w:divBdr>
        </w:div>
        <w:div w:id="2041785527">
          <w:marLeft w:val="0"/>
          <w:marRight w:val="0"/>
          <w:marTop w:val="0"/>
          <w:marBottom w:val="0"/>
          <w:divBdr>
            <w:top w:val="none" w:sz="0" w:space="0" w:color="auto"/>
            <w:left w:val="none" w:sz="0" w:space="0" w:color="auto"/>
            <w:bottom w:val="none" w:sz="0" w:space="0" w:color="auto"/>
            <w:right w:val="none" w:sz="0" w:space="0" w:color="auto"/>
          </w:divBdr>
        </w:div>
        <w:div w:id="1965841207">
          <w:marLeft w:val="0"/>
          <w:marRight w:val="0"/>
          <w:marTop w:val="0"/>
          <w:marBottom w:val="0"/>
          <w:divBdr>
            <w:top w:val="none" w:sz="0" w:space="0" w:color="auto"/>
            <w:left w:val="none" w:sz="0" w:space="0" w:color="auto"/>
            <w:bottom w:val="none" w:sz="0" w:space="0" w:color="auto"/>
            <w:right w:val="none" w:sz="0" w:space="0" w:color="auto"/>
          </w:divBdr>
        </w:div>
        <w:div w:id="2137138549">
          <w:marLeft w:val="0"/>
          <w:marRight w:val="0"/>
          <w:marTop w:val="0"/>
          <w:marBottom w:val="0"/>
          <w:divBdr>
            <w:top w:val="none" w:sz="0" w:space="0" w:color="auto"/>
            <w:left w:val="none" w:sz="0" w:space="0" w:color="auto"/>
            <w:bottom w:val="none" w:sz="0" w:space="0" w:color="auto"/>
            <w:right w:val="none" w:sz="0" w:space="0" w:color="auto"/>
          </w:divBdr>
        </w:div>
        <w:div w:id="88820258">
          <w:marLeft w:val="0"/>
          <w:marRight w:val="0"/>
          <w:marTop w:val="0"/>
          <w:marBottom w:val="0"/>
          <w:divBdr>
            <w:top w:val="none" w:sz="0" w:space="0" w:color="auto"/>
            <w:left w:val="none" w:sz="0" w:space="0" w:color="auto"/>
            <w:bottom w:val="none" w:sz="0" w:space="0" w:color="auto"/>
            <w:right w:val="none" w:sz="0" w:space="0" w:color="auto"/>
          </w:divBdr>
        </w:div>
        <w:div w:id="101188639">
          <w:marLeft w:val="0"/>
          <w:marRight w:val="0"/>
          <w:marTop w:val="0"/>
          <w:marBottom w:val="0"/>
          <w:divBdr>
            <w:top w:val="none" w:sz="0" w:space="0" w:color="auto"/>
            <w:left w:val="none" w:sz="0" w:space="0" w:color="auto"/>
            <w:bottom w:val="none" w:sz="0" w:space="0" w:color="auto"/>
            <w:right w:val="none" w:sz="0" w:space="0" w:color="auto"/>
          </w:divBdr>
        </w:div>
        <w:div w:id="740641232">
          <w:marLeft w:val="0"/>
          <w:marRight w:val="0"/>
          <w:marTop w:val="0"/>
          <w:marBottom w:val="0"/>
          <w:divBdr>
            <w:top w:val="none" w:sz="0" w:space="0" w:color="auto"/>
            <w:left w:val="none" w:sz="0" w:space="0" w:color="auto"/>
            <w:bottom w:val="none" w:sz="0" w:space="0" w:color="auto"/>
            <w:right w:val="none" w:sz="0" w:space="0" w:color="auto"/>
          </w:divBdr>
        </w:div>
        <w:div w:id="1525943017">
          <w:marLeft w:val="0"/>
          <w:marRight w:val="0"/>
          <w:marTop w:val="0"/>
          <w:marBottom w:val="0"/>
          <w:divBdr>
            <w:top w:val="none" w:sz="0" w:space="0" w:color="auto"/>
            <w:left w:val="none" w:sz="0" w:space="0" w:color="auto"/>
            <w:bottom w:val="none" w:sz="0" w:space="0" w:color="auto"/>
            <w:right w:val="none" w:sz="0" w:space="0" w:color="auto"/>
          </w:divBdr>
        </w:div>
        <w:div w:id="566110564">
          <w:marLeft w:val="0"/>
          <w:marRight w:val="0"/>
          <w:marTop w:val="0"/>
          <w:marBottom w:val="0"/>
          <w:divBdr>
            <w:top w:val="none" w:sz="0" w:space="0" w:color="auto"/>
            <w:left w:val="none" w:sz="0" w:space="0" w:color="auto"/>
            <w:bottom w:val="none" w:sz="0" w:space="0" w:color="auto"/>
            <w:right w:val="none" w:sz="0" w:space="0" w:color="auto"/>
          </w:divBdr>
        </w:div>
        <w:div w:id="2045321762">
          <w:marLeft w:val="0"/>
          <w:marRight w:val="0"/>
          <w:marTop w:val="0"/>
          <w:marBottom w:val="0"/>
          <w:divBdr>
            <w:top w:val="none" w:sz="0" w:space="0" w:color="auto"/>
            <w:left w:val="none" w:sz="0" w:space="0" w:color="auto"/>
            <w:bottom w:val="none" w:sz="0" w:space="0" w:color="auto"/>
            <w:right w:val="none" w:sz="0" w:space="0" w:color="auto"/>
          </w:divBdr>
        </w:div>
        <w:div w:id="1997490449">
          <w:marLeft w:val="0"/>
          <w:marRight w:val="0"/>
          <w:marTop w:val="0"/>
          <w:marBottom w:val="0"/>
          <w:divBdr>
            <w:top w:val="none" w:sz="0" w:space="0" w:color="auto"/>
            <w:left w:val="none" w:sz="0" w:space="0" w:color="auto"/>
            <w:bottom w:val="none" w:sz="0" w:space="0" w:color="auto"/>
            <w:right w:val="none" w:sz="0" w:space="0" w:color="auto"/>
          </w:divBdr>
        </w:div>
        <w:div w:id="1054739821">
          <w:marLeft w:val="0"/>
          <w:marRight w:val="0"/>
          <w:marTop w:val="0"/>
          <w:marBottom w:val="0"/>
          <w:divBdr>
            <w:top w:val="none" w:sz="0" w:space="0" w:color="auto"/>
            <w:left w:val="none" w:sz="0" w:space="0" w:color="auto"/>
            <w:bottom w:val="none" w:sz="0" w:space="0" w:color="auto"/>
            <w:right w:val="none" w:sz="0" w:space="0" w:color="auto"/>
          </w:divBdr>
        </w:div>
        <w:div w:id="297077751">
          <w:marLeft w:val="0"/>
          <w:marRight w:val="0"/>
          <w:marTop w:val="0"/>
          <w:marBottom w:val="0"/>
          <w:divBdr>
            <w:top w:val="none" w:sz="0" w:space="0" w:color="auto"/>
            <w:left w:val="none" w:sz="0" w:space="0" w:color="auto"/>
            <w:bottom w:val="none" w:sz="0" w:space="0" w:color="auto"/>
            <w:right w:val="none" w:sz="0" w:space="0" w:color="auto"/>
          </w:divBdr>
        </w:div>
        <w:div w:id="88623965">
          <w:marLeft w:val="0"/>
          <w:marRight w:val="0"/>
          <w:marTop w:val="0"/>
          <w:marBottom w:val="0"/>
          <w:divBdr>
            <w:top w:val="none" w:sz="0" w:space="0" w:color="auto"/>
            <w:left w:val="none" w:sz="0" w:space="0" w:color="auto"/>
            <w:bottom w:val="none" w:sz="0" w:space="0" w:color="auto"/>
            <w:right w:val="none" w:sz="0" w:space="0" w:color="auto"/>
          </w:divBdr>
        </w:div>
        <w:div w:id="983630962">
          <w:marLeft w:val="0"/>
          <w:marRight w:val="0"/>
          <w:marTop w:val="0"/>
          <w:marBottom w:val="0"/>
          <w:divBdr>
            <w:top w:val="none" w:sz="0" w:space="0" w:color="auto"/>
            <w:left w:val="none" w:sz="0" w:space="0" w:color="auto"/>
            <w:bottom w:val="none" w:sz="0" w:space="0" w:color="auto"/>
            <w:right w:val="none" w:sz="0" w:space="0" w:color="auto"/>
          </w:divBdr>
        </w:div>
        <w:div w:id="413818176">
          <w:marLeft w:val="0"/>
          <w:marRight w:val="0"/>
          <w:marTop w:val="0"/>
          <w:marBottom w:val="0"/>
          <w:divBdr>
            <w:top w:val="none" w:sz="0" w:space="0" w:color="auto"/>
            <w:left w:val="none" w:sz="0" w:space="0" w:color="auto"/>
            <w:bottom w:val="none" w:sz="0" w:space="0" w:color="auto"/>
            <w:right w:val="none" w:sz="0" w:space="0" w:color="auto"/>
          </w:divBdr>
        </w:div>
      </w:divsChild>
    </w:div>
    <w:div w:id="2138646274">
      <w:bodyDiv w:val="1"/>
      <w:marLeft w:val="0"/>
      <w:marRight w:val="0"/>
      <w:marTop w:val="0"/>
      <w:marBottom w:val="0"/>
      <w:divBdr>
        <w:top w:val="none" w:sz="0" w:space="0" w:color="auto"/>
        <w:left w:val="none" w:sz="0" w:space="0" w:color="auto"/>
        <w:bottom w:val="none" w:sz="0" w:space="0" w:color="auto"/>
        <w:right w:val="none" w:sz="0" w:space="0" w:color="auto"/>
      </w:divBdr>
      <w:divsChild>
        <w:div w:id="1687905216">
          <w:marLeft w:val="0"/>
          <w:marRight w:val="0"/>
          <w:marTop w:val="0"/>
          <w:marBottom w:val="0"/>
          <w:divBdr>
            <w:top w:val="none" w:sz="0" w:space="0" w:color="auto"/>
            <w:left w:val="none" w:sz="0" w:space="0" w:color="auto"/>
            <w:bottom w:val="none" w:sz="0" w:space="0" w:color="auto"/>
            <w:right w:val="none" w:sz="0" w:space="0" w:color="auto"/>
          </w:divBdr>
        </w:div>
        <w:div w:id="1682010054">
          <w:marLeft w:val="0"/>
          <w:marRight w:val="0"/>
          <w:marTop w:val="0"/>
          <w:marBottom w:val="0"/>
          <w:divBdr>
            <w:top w:val="none" w:sz="0" w:space="0" w:color="auto"/>
            <w:left w:val="none" w:sz="0" w:space="0" w:color="auto"/>
            <w:bottom w:val="none" w:sz="0" w:space="0" w:color="auto"/>
            <w:right w:val="none" w:sz="0" w:space="0" w:color="auto"/>
          </w:divBdr>
        </w:div>
        <w:div w:id="513418626">
          <w:marLeft w:val="0"/>
          <w:marRight w:val="0"/>
          <w:marTop w:val="0"/>
          <w:marBottom w:val="0"/>
          <w:divBdr>
            <w:top w:val="none" w:sz="0" w:space="0" w:color="auto"/>
            <w:left w:val="none" w:sz="0" w:space="0" w:color="auto"/>
            <w:bottom w:val="none" w:sz="0" w:space="0" w:color="auto"/>
            <w:right w:val="none" w:sz="0" w:space="0" w:color="auto"/>
          </w:divBdr>
        </w:div>
        <w:div w:id="2120101895">
          <w:marLeft w:val="0"/>
          <w:marRight w:val="0"/>
          <w:marTop w:val="0"/>
          <w:marBottom w:val="0"/>
          <w:divBdr>
            <w:top w:val="none" w:sz="0" w:space="0" w:color="auto"/>
            <w:left w:val="none" w:sz="0" w:space="0" w:color="auto"/>
            <w:bottom w:val="none" w:sz="0" w:space="0" w:color="auto"/>
            <w:right w:val="none" w:sz="0" w:space="0" w:color="auto"/>
          </w:divBdr>
        </w:div>
        <w:div w:id="348457333">
          <w:marLeft w:val="0"/>
          <w:marRight w:val="0"/>
          <w:marTop w:val="0"/>
          <w:marBottom w:val="0"/>
          <w:divBdr>
            <w:top w:val="none" w:sz="0" w:space="0" w:color="auto"/>
            <w:left w:val="none" w:sz="0" w:space="0" w:color="auto"/>
            <w:bottom w:val="none" w:sz="0" w:space="0" w:color="auto"/>
            <w:right w:val="none" w:sz="0" w:space="0" w:color="auto"/>
          </w:divBdr>
        </w:div>
        <w:div w:id="1335838742">
          <w:marLeft w:val="0"/>
          <w:marRight w:val="0"/>
          <w:marTop w:val="0"/>
          <w:marBottom w:val="0"/>
          <w:divBdr>
            <w:top w:val="none" w:sz="0" w:space="0" w:color="auto"/>
            <w:left w:val="none" w:sz="0" w:space="0" w:color="auto"/>
            <w:bottom w:val="none" w:sz="0" w:space="0" w:color="auto"/>
            <w:right w:val="none" w:sz="0" w:space="0" w:color="auto"/>
          </w:divBdr>
        </w:div>
        <w:div w:id="361132807">
          <w:marLeft w:val="0"/>
          <w:marRight w:val="0"/>
          <w:marTop w:val="0"/>
          <w:marBottom w:val="0"/>
          <w:divBdr>
            <w:top w:val="none" w:sz="0" w:space="0" w:color="auto"/>
            <w:left w:val="none" w:sz="0" w:space="0" w:color="auto"/>
            <w:bottom w:val="none" w:sz="0" w:space="0" w:color="auto"/>
            <w:right w:val="none" w:sz="0" w:space="0" w:color="auto"/>
          </w:divBdr>
        </w:div>
        <w:div w:id="122121196">
          <w:marLeft w:val="0"/>
          <w:marRight w:val="0"/>
          <w:marTop w:val="0"/>
          <w:marBottom w:val="0"/>
          <w:divBdr>
            <w:top w:val="none" w:sz="0" w:space="0" w:color="auto"/>
            <w:left w:val="none" w:sz="0" w:space="0" w:color="auto"/>
            <w:bottom w:val="none" w:sz="0" w:space="0" w:color="auto"/>
            <w:right w:val="none" w:sz="0" w:space="0" w:color="auto"/>
          </w:divBdr>
        </w:div>
        <w:div w:id="1643651497">
          <w:marLeft w:val="0"/>
          <w:marRight w:val="0"/>
          <w:marTop w:val="0"/>
          <w:marBottom w:val="0"/>
          <w:divBdr>
            <w:top w:val="none" w:sz="0" w:space="0" w:color="auto"/>
            <w:left w:val="none" w:sz="0" w:space="0" w:color="auto"/>
            <w:bottom w:val="none" w:sz="0" w:space="0" w:color="auto"/>
            <w:right w:val="none" w:sz="0" w:space="0" w:color="auto"/>
          </w:divBdr>
        </w:div>
        <w:div w:id="1416590317">
          <w:marLeft w:val="0"/>
          <w:marRight w:val="0"/>
          <w:marTop w:val="0"/>
          <w:marBottom w:val="0"/>
          <w:divBdr>
            <w:top w:val="none" w:sz="0" w:space="0" w:color="auto"/>
            <w:left w:val="none" w:sz="0" w:space="0" w:color="auto"/>
            <w:bottom w:val="none" w:sz="0" w:space="0" w:color="auto"/>
            <w:right w:val="none" w:sz="0" w:space="0" w:color="auto"/>
          </w:divBdr>
        </w:div>
        <w:div w:id="82343128">
          <w:marLeft w:val="0"/>
          <w:marRight w:val="0"/>
          <w:marTop w:val="0"/>
          <w:marBottom w:val="0"/>
          <w:divBdr>
            <w:top w:val="none" w:sz="0" w:space="0" w:color="auto"/>
            <w:left w:val="none" w:sz="0" w:space="0" w:color="auto"/>
            <w:bottom w:val="none" w:sz="0" w:space="0" w:color="auto"/>
            <w:right w:val="none" w:sz="0" w:space="0" w:color="auto"/>
          </w:divBdr>
        </w:div>
        <w:div w:id="490756714">
          <w:marLeft w:val="0"/>
          <w:marRight w:val="0"/>
          <w:marTop w:val="0"/>
          <w:marBottom w:val="0"/>
          <w:divBdr>
            <w:top w:val="none" w:sz="0" w:space="0" w:color="auto"/>
            <w:left w:val="none" w:sz="0" w:space="0" w:color="auto"/>
            <w:bottom w:val="none" w:sz="0" w:space="0" w:color="auto"/>
            <w:right w:val="none" w:sz="0" w:space="0" w:color="auto"/>
          </w:divBdr>
        </w:div>
        <w:div w:id="1076055086">
          <w:marLeft w:val="0"/>
          <w:marRight w:val="0"/>
          <w:marTop w:val="0"/>
          <w:marBottom w:val="0"/>
          <w:divBdr>
            <w:top w:val="none" w:sz="0" w:space="0" w:color="auto"/>
            <w:left w:val="none" w:sz="0" w:space="0" w:color="auto"/>
            <w:bottom w:val="none" w:sz="0" w:space="0" w:color="auto"/>
            <w:right w:val="none" w:sz="0" w:space="0" w:color="auto"/>
          </w:divBdr>
        </w:div>
        <w:div w:id="366375325">
          <w:marLeft w:val="0"/>
          <w:marRight w:val="0"/>
          <w:marTop w:val="0"/>
          <w:marBottom w:val="0"/>
          <w:divBdr>
            <w:top w:val="none" w:sz="0" w:space="0" w:color="auto"/>
            <w:left w:val="none" w:sz="0" w:space="0" w:color="auto"/>
            <w:bottom w:val="none" w:sz="0" w:space="0" w:color="auto"/>
            <w:right w:val="none" w:sz="0" w:space="0" w:color="auto"/>
          </w:divBdr>
        </w:div>
        <w:div w:id="1247543385">
          <w:marLeft w:val="0"/>
          <w:marRight w:val="0"/>
          <w:marTop w:val="0"/>
          <w:marBottom w:val="0"/>
          <w:divBdr>
            <w:top w:val="none" w:sz="0" w:space="0" w:color="auto"/>
            <w:left w:val="none" w:sz="0" w:space="0" w:color="auto"/>
            <w:bottom w:val="none" w:sz="0" w:space="0" w:color="auto"/>
            <w:right w:val="none" w:sz="0" w:space="0" w:color="auto"/>
          </w:divBdr>
        </w:div>
        <w:div w:id="1410082880">
          <w:marLeft w:val="0"/>
          <w:marRight w:val="0"/>
          <w:marTop w:val="0"/>
          <w:marBottom w:val="0"/>
          <w:divBdr>
            <w:top w:val="none" w:sz="0" w:space="0" w:color="auto"/>
            <w:left w:val="none" w:sz="0" w:space="0" w:color="auto"/>
            <w:bottom w:val="none" w:sz="0" w:space="0" w:color="auto"/>
            <w:right w:val="none" w:sz="0" w:space="0" w:color="auto"/>
          </w:divBdr>
        </w:div>
        <w:div w:id="801458023">
          <w:marLeft w:val="0"/>
          <w:marRight w:val="0"/>
          <w:marTop w:val="0"/>
          <w:marBottom w:val="0"/>
          <w:divBdr>
            <w:top w:val="none" w:sz="0" w:space="0" w:color="auto"/>
            <w:left w:val="none" w:sz="0" w:space="0" w:color="auto"/>
            <w:bottom w:val="none" w:sz="0" w:space="0" w:color="auto"/>
            <w:right w:val="none" w:sz="0" w:space="0" w:color="auto"/>
          </w:divBdr>
        </w:div>
        <w:div w:id="1679115809">
          <w:marLeft w:val="0"/>
          <w:marRight w:val="0"/>
          <w:marTop w:val="0"/>
          <w:marBottom w:val="0"/>
          <w:divBdr>
            <w:top w:val="none" w:sz="0" w:space="0" w:color="auto"/>
            <w:left w:val="none" w:sz="0" w:space="0" w:color="auto"/>
            <w:bottom w:val="none" w:sz="0" w:space="0" w:color="auto"/>
            <w:right w:val="none" w:sz="0" w:space="0" w:color="auto"/>
          </w:divBdr>
        </w:div>
        <w:div w:id="1784033240">
          <w:marLeft w:val="0"/>
          <w:marRight w:val="0"/>
          <w:marTop w:val="0"/>
          <w:marBottom w:val="0"/>
          <w:divBdr>
            <w:top w:val="none" w:sz="0" w:space="0" w:color="auto"/>
            <w:left w:val="none" w:sz="0" w:space="0" w:color="auto"/>
            <w:bottom w:val="none" w:sz="0" w:space="0" w:color="auto"/>
            <w:right w:val="none" w:sz="0" w:space="0" w:color="auto"/>
          </w:divBdr>
        </w:div>
        <w:div w:id="19863922">
          <w:marLeft w:val="0"/>
          <w:marRight w:val="0"/>
          <w:marTop w:val="0"/>
          <w:marBottom w:val="0"/>
          <w:divBdr>
            <w:top w:val="none" w:sz="0" w:space="0" w:color="auto"/>
            <w:left w:val="none" w:sz="0" w:space="0" w:color="auto"/>
            <w:bottom w:val="none" w:sz="0" w:space="0" w:color="auto"/>
            <w:right w:val="none" w:sz="0" w:space="0" w:color="auto"/>
          </w:divBdr>
        </w:div>
        <w:div w:id="1211766451">
          <w:marLeft w:val="0"/>
          <w:marRight w:val="0"/>
          <w:marTop w:val="0"/>
          <w:marBottom w:val="0"/>
          <w:divBdr>
            <w:top w:val="none" w:sz="0" w:space="0" w:color="auto"/>
            <w:left w:val="none" w:sz="0" w:space="0" w:color="auto"/>
            <w:bottom w:val="none" w:sz="0" w:space="0" w:color="auto"/>
            <w:right w:val="none" w:sz="0" w:space="0" w:color="auto"/>
          </w:divBdr>
        </w:div>
        <w:div w:id="1297374303">
          <w:marLeft w:val="0"/>
          <w:marRight w:val="0"/>
          <w:marTop w:val="0"/>
          <w:marBottom w:val="0"/>
          <w:divBdr>
            <w:top w:val="none" w:sz="0" w:space="0" w:color="auto"/>
            <w:left w:val="none" w:sz="0" w:space="0" w:color="auto"/>
            <w:bottom w:val="none" w:sz="0" w:space="0" w:color="auto"/>
            <w:right w:val="none" w:sz="0" w:space="0" w:color="auto"/>
          </w:divBdr>
        </w:div>
        <w:div w:id="1154220652">
          <w:marLeft w:val="0"/>
          <w:marRight w:val="0"/>
          <w:marTop w:val="0"/>
          <w:marBottom w:val="0"/>
          <w:divBdr>
            <w:top w:val="none" w:sz="0" w:space="0" w:color="auto"/>
            <w:left w:val="none" w:sz="0" w:space="0" w:color="auto"/>
            <w:bottom w:val="none" w:sz="0" w:space="0" w:color="auto"/>
            <w:right w:val="none" w:sz="0" w:space="0" w:color="auto"/>
          </w:divBdr>
        </w:div>
        <w:div w:id="1625304386">
          <w:marLeft w:val="0"/>
          <w:marRight w:val="0"/>
          <w:marTop w:val="0"/>
          <w:marBottom w:val="0"/>
          <w:divBdr>
            <w:top w:val="none" w:sz="0" w:space="0" w:color="auto"/>
            <w:left w:val="none" w:sz="0" w:space="0" w:color="auto"/>
            <w:bottom w:val="none" w:sz="0" w:space="0" w:color="auto"/>
            <w:right w:val="none" w:sz="0" w:space="0" w:color="auto"/>
          </w:divBdr>
        </w:div>
        <w:div w:id="1096053833">
          <w:marLeft w:val="0"/>
          <w:marRight w:val="0"/>
          <w:marTop w:val="0"/>
          <w:marBottom w:val="0"/>
          <w:divBdr>
            <w:top w:val="none" w:sz="0" w:space="0" w:color="auto"/>
            <w:left w:val="none" w:sz="0" w:space="0" w:color="auto"/>
            <w:bottom w:val="none" w:sz="0" w:space="0" w:color="auto"/>
            <w:right w:val="none" w:sz="0" w:space="0" w:color="auto"/>
          </w:divBdr>
        </w:div>
        <w:div w:id="910432455">
          <w:marLeft w:val="0"/>
          <w:marRight w:val="0"/>
          <w:marTop w:val="0"/>
          <w:marBottom w:val="0"/>
          <w:divBdr>
            <w:top w:val="none" w:sz="0" w:space="0" w:color="auto"/>
            <w:left w:val="none" w:sz="0" w:space="0" w:color="auto"/>
            <w:bottom w:val="none" w:sz="0" w:space="0" w:color="auto"/>
            <w:right w:val="none" w:sz="0" w:space="0" w:color="auto"/>
          </w:divBdr>
        </w:div>
        <w:div w:id="234977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toria.Rufini@unicatt.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089F52-6B10-4DF3-8389-053EBBCA0327}">
  <we:reference id="wa104382081" version="1.7.0.0" store="en-001" storeType="OMEX"/>
  <we:alternateReferences>
    <we:reference id="WA104382081" version="1.7.0.0" store="" storeType="OMEX"/>
  </we:alternateReferences>
  <we:properties>
    <we:property name="MENDELEY_CITATIONS" value="[{&quot;citationID&quot;:&quot;MENDELEY_CITATION_8bf69ec2-acf0-4aa3-9b92-31890ee606f9&quot;,&quot;citationItems&quot;:[{&quot;id&quot;:&quot;cc7a09b0-5646-30fb-b455-5394806cd7a3&quot;,&quot;itemData&quot;:{&quot;type&quot;:&quot;webpage&quot;,&quot;id&quot;:&quot;cc7a09b0-5646-30fb-b455-5394806cd7a3&quot;,&quot;title&quot;:&quot;Cancer Stat Facts: Vulvar Cancer&quot;,&quot;author&quot;:[{&quot;family&quot;:&quot;National Cancer Institute&quot;,&quot;given&quot;:&quot;&quot;,&quot;parse-names&quot;:false,&quot;dropping-particle&quot;:&quot;&quot;,&quot;non-dropping-particle&quot;:&quot;&quot;}],&quot;accessed&quot;:{&quot;date-parts&quot;:[[2020,3,16]]},&quot;URL&quot;:&quot;https://seer.cancer.gov/statfacts/html/vulva.html&quot;},&quot;isTemporary&quot;:false}],&quot;properties&quot;:{&quot;noteIndex&quot;:0},&quot;isEdited&quot;:false,&quot;manualOverride&quot;:{&quot;isManuallyOverriden&quot;:false,&quot;citeprocText&quot;:&quot;[1]&quot;,&quot;manualOverrideText&quot;:&quot;&quot;}},{&quot;citationID&quot;:&quot;MENDELEY_CITATION_2aa11cc5-1b34-429b-8ccd-bc36a43bca0d&quot;,&quot;citationItems&quot;:[{&quot;id&quot;:&quot;b8365d78-a107-3fea-af41-5cb9d7dd8472&quot;,&quot;itemData&quot;:{&quot;type&quot;:&quot;article-journal&quot;,&quot;id&quot;:&quot;b8365d78-a107-3fea-af41-5cb9d7dd8472&quot;,&quot;title&quot;:&quot;Cancer of the vulva&quot;,&quot;author&quot;:[{&quot;family&quot;:&quot;Hacker&quot;,&quot;given&quot;:&quot;Neville F.&quot;,&quot;parse-names&quot;:false,&quot;dropping-particle&quot;:&quot;&quot;,&quot;non-dropping-particle&quot;:&quot;&quot;},{&quot;family&quot;:&quot;Eifel&quot;,&quot;given&quot;:&quot;Patricia J.&quot;,&quot;parse-names&quot;:false,&quot;dropping-particle&quot;:&quot;&quot;,&quot;non-dropping-particle&quot;:&quot;&quot;},{&quot;family&quot;:&quot;Velden&quot;,&quot;given&quot;:&quot;Jacobus&quot;,&quot;parse-names&quot;:false,&quot;dropping-particle&quot;:&quot;&quot;,&quot;non-dropping-particle&quot;:&quot;van der&quot;}],&quot;container-title&quot;:&quot;Int J Gynaecol Obstet&quot;,&quot;DOI&quot;:&quot;10.1016/S0020-7292(12)60021-6&quot;,&quot;ISSN&quot;:&quot;18793479&quot;,&quot;PMID&quot;:&quot;22999509&quot;,&quot;issued&quot;:{&quot;date-parts&quot;:[[2012]]},&quot;page&quot;:&quot;S90-S96&quot;,&quot;issue&quot;:&quot;SUPPL. 2&quot;,&quot;volume&quot;:&quot;119&quot;},&quot;isTemporary&quot;:false}],&quot;properties&quot;:{&quot;noteIndex&quot;:0},&quot;isEdited&quot;:false,&quot;manualOverride&quot;:{&quot;isManuallyOverriden&quot;:false,&quot;citeprocText&quot;:&quot;[2]&quot;,&quot;manualOverrideText&quot;:&quot;&quot;}},{&quot;citationID&quot;:&quot;MENDELEY_CITATION_03e1f6b7-d574-4c3c-8fd2-d26f47ddb00c&quot;,&quot;citationItems&quot;:[{&quot;id&quot;:&quot;a76481eb-58e0-370a-b89b-2b88cd763a33&quot;,&quot;itemData&quot;:{&quot;type&quot;:&quot;article-journal&quot;,&quot;id&quot;:&quot;a76481eb-58e0-370a-b89b-2b88cd763a33&quot;,&quot;title&quot;:&quot;Lymph drainage from the vulva&quot;,&quot;author&quot;:[{&quot;family&quot;:&quot;Iversen&quot;,&quot;given&quot;:&quot;Torbjørn&quot;,&quot;parse-names&quot;:false,&quot;dropping-particle&quot;:&quot;&quot;,&quot;non-dropping-particle&quot;:&quot;&quot;},{&quot;family&quot;:&quot;Aas&quot;,&quot;given&quot;:&quot;Magne&quot;,&quot;parse-names&quot;:false,&quot;dropping-particle&quot;:&quot;&quot;,&quot;non-dropping-particle&quot;:&quot;&quot;}],&quot;container-title&quot;:&quot;Gynecol Oncol&quot;,&quot;DOI&quot;:&quot;10.1016/0090-8258(83)90092-6&quot;,&quot;ISSN&quot;:&quot;10956859&quot;,&quot;PMID&quot;:&quot;6226578&quot;,&quot;issued&quot;:{&quot;date-parts&quot;:[[1983]]},&quot;page&quot;:&quot;179-189&quot;,&quot;abstract&quot;:&quot;Fifty-four patients with cervical cancer stage Ib were injected preoperatively with 99mTccolloid in different areas of the vulva and three controls in the axilla. The radioactivity in the groins and the pelvis was measured with a scintillation camera and in the removed pelvic lymph nodes with a well counter. A low activity could be measured in the removed pelvic nodes of the controls indicating the radioactivity which had reached the pelvic nodes via the bloodstream. Clitoris and perineum had a bilateral lymph flow. In all the other patients the vast majority of the radioactivity was found in the ipsilateral lymph nodes. A significant, but small amount of activity was recorded in the contralateral nodes in 67% of the patients and in all patients injected in the anterior part of the labium minus. The medial external iliac lymph chain had an uptake of 73% of the total activity measured in the removed pelvic nodes. Only in 13% of the patients was the activity higher in the lateral than in the medial external iliac chain. Direct lymphatic pathway from the clitoris to the pelvic lymph nodes was not found. Anastomoses exist probably in 13 out of 42 patients between the presacral and/or common iliac nodes on both sides. © 1983.&quot;,&quot;issue&quot;:&quot;2&quot;,&quot;volume&quot;:&quot;16&quot;},&quot;isTemporary&quot;:false}],&quot;properties&quot;:{&quot;noteIndex&quot;:0},&quot;isEdited&quot;:false,&quot;manualOverride&quot;:{&quot;isManuallyOverriden&quot;:false,&quot;citeprocText&quot;:&quot;[3]&quot;,&quot;manualOverrideText&quot;:&quot;&quot;}},{&quot;citationID&quot;:&quot;MENDELEY_CITATION_ca09a574-c7b7-4537-8150-133595a2e824&quot;,&quot;citationItems&quot;:[{&quot;id&quot;:&quot;b974260b-bed2-3943-801b-5b6adc94b4a1&quot;,&quot;itemData&quot;:{&quot;type&quot;:&quot;book&quot;,&quot;id&quot;:&quot;b974260b-bed2-3943-801b-5b6adc94b4a1&quot;,&quot;title&quot;:&quot;NCCN Clinical Practice Guidelines in Oncology (NCCN guidelines), Vulvar cancer (squamous cell carcinoma): version 1.2020&quot;,&quot;accessed&quot;:{&quot;date-parts&quot;:[[2020,9,21]]},&quot;DOI&quot;:&quot;10.1136/jitc-2019-000147&quot;,&quot;URL&quot;:&quot;https://www.nccn.org/professionals/physician_gls/pdf/vulvar.pdf&quot;,&quot;issued&quot;:{&quot;date-parts&quot;:[[2020]]}},&quot;isTemporary&quot;:false},{&quot;id&quot;:&quot;15d5c0ac-ee1a-3f2d-9779-546cbccb5e79&quot;,&quot;itemData&quot;:{&quot;type&quot;:&quot;article-journal&quot;,&quot;id&quot;:&quot;15d5c0ac-ee1a-3f2d-9779-546cbccb5e79&quot;,&quot;title&quot;:&quot;Advanced vulvar carcinoma: Is it worth operating? A perioperative management protocol for radical and reconstructive surgery&quot;,&quot;author&quot;:[{&quot;family&quot;:&quot;Fanfani&quot;,&quot;given&quot;:&quot;Francesco&quot;,&quot;parse-names&quot;:false,&quot;dropping-particle&quot;:&quot;&quot;,&quot;non-dropping-particle&quot;:&quot;&quot;},{&quot;family&quot;:&quot;Garganese&quot;,&quot;given&quot;:&quot;Giorgia&quot;,&quot;parse-names&quot;:false,&quot;dropping-particle&quot;:&quot;&quot;,&quot;non-dropping-particle&quot;:&quot;&quot;},{&quot;family&quot;:&quot;Fagotti&quot;,&quot;given&quot;:&quot;Anna&quot;,&quot;parse-names&quot;:false,&quot;dropping-particle&quot;:&quot;&quot;,&quot;non-dropping-particle&quot;:&quot;&quot;},{&quot;family&quot;:&quot;Lorusso&quot;,&quot;given&quot;:&quot;Domenica&quot;,&quot;parse-names&quot;:false,&quot;dropping-particle&quot;:&quot;&quot;,&quot;non-dropping-particle&quot;:&quot;&quot;},{&quot;family&quot;:&quot;Gagliardi&quot;,&quot;given&quot;:&quot;Maria Lucia&quot;,&quot;parse-names&quot;:false,&quot;dropping-particle&quot;:&quot;&quot;,&quot;non-dropping-particle&quot;:&quot;&quot;},{&quot;family&quot;:&quot;Rossi&quot;,&quot;given&quot;:&quot;Marco&quot;,&quot;parse-names&quot;:false,&quot;dropping-particle&quot;:&quot;&quot;,&quot;non-dropping-particle&quot;:&quot;&quot;},{&quot;family&quot;:&quot;Salgarello&quot;,&quot;given&quot;:&quot;Marzia&quot;,&quot;parse-names&quot;:false,&quot;dropping-particle&quot;:&quot;&quot;,&quot;non-dropping-particle&quot;:&quot;&quot;},{&quot;family&quot;:&quot;Scambia&quot;,&quot;given&quot;:&quot;Giovanni&quot;,&quot;parse-names&quot;:false,&quot;dropping-particle&quot;:&quot;&quot;,&quot;non-dropping-particle&quot;:&quot;&quot;}],&quot;container-title&quot;:&quot;Gynecol Oncol&quot;,&quot;DOI&quot;:&quot;10.1016/j.ygyno.2006.03.022&quot;,&quot;ISSN&quot;:&quot;00908258&quot;,&quot;PMID&quot;:&quot;16647747&quot;,&quot;issued&quot;:{&quot;date-parts&quot;:[[2006]]},&quot;page&quot;:&quot;467-472&quot;,&quot;abstract&quot;:&quot;Objective.: The aim of this study was to characterize the means whereby the results could be improved and the morbidity and side-effects minimized, of radical and extensive surgery performed together with plastic reconstruction, in the treatment of locally advanced and relapsed vulvar carcinoma. Methods.: Between May 2000 and November 2004, twenty-three patients with locally advanced or relapsed vulvar carcinoma underwent major radical or extended vulvectomy, requiring reconstructive surgery. A consistent protocol for the perioperative management of these patients, including precautionary measures to reduce the rate of early complications, was introduced in the second study period (from November 2003) to verify the benefit on surgical outcome. Results.: An analysis of the medical reports showed an improvement in the median time of the postoperative course and related morbidity as a consequence of a strict application of the management protocol, with consequent decrease of early complications. Conclusions.: Reconstructive surgery, which broadens the spectrum of available operative therapy in primary and locally recurrent vulvar cancer, is characterized by a high complication rate. The application of a strict perioperative protocol could reduce the number and the clinical impact of such complications. © 2006 Elsevier Inc. All rights reserved.&quot;,&quot;issue&quot;:&quot;2&quot;,&quot;volume&quot;:&quot;103&quot;},&quot;isTemporary&quot;:false},{&quot;id&quot;:&quot;f891eefa-1b6b-3e63-af33-95c9bf093c46&quot;,&quot;itemData&quot;:{&quot;type&quot;:&quot;article-journal&quot;,&quot;id&quot;:&quot;f891eefa-1b6b-3e63-af33-95c9bf093c46&quot;,&quot;title&quot;:&quot;Surgical therapy of vulvar cancer: How to choose the correct reconstruction?&quot;,&quot;author&quot;:[{&quot;family&quot;:&quot;Gentileschi&quot;,&quot;given&quot;:&quot;Stefano&quot;,&quot;parse-names&quot;:false,&quot;dropping-particle&quot;:&quot;&quot;,&quot;non-dropping-particle&quot;:&quot;&quot;},{&quot;family&quot;:&quot;Servillo&quot;,&quot;given&quot;:&quot;Maria&quot;,&quot;parse-names&quot;:false,&quot;dropping-particle&quot;:&quot;&quot;,&quot;non-dropping-particle&quot;:&quot;&quot;},{&quot;family&quot;:&quot;Garganese&quot;,&quot;given&quot;:&quot;Giorgia&quot;,&quot;parse-names&quot;:false,&quot;dropping-particle&quot;:&quot;&quot;,&quot;non-dropping-particle&quot;:&quot;&quot;},{&quot;family&quot;:&quot;Fragomeni&quot;,&quot;given&quot;:&quot;Simona&quot;,&quot;parse-names&quot;:false,&quot;dropping-particle&quot;:&quot;&quot;,&quot;non-dropping-particle&quot;:&quot;&quot;},{&quot;family&quot;:&quot;Bonis&quot;,&quot;given&quot;:&quot;Francesca&quot;,&quot;parse-names&quot;:false,&quot;dropping-particle&quot;:&quot;&quot;,&quot;non-dropping-particle&quot;:&quot;de&quot;},{&quot;family&quot;:&quot;Scambia&quot;,&quot;given&quot;:&quot;Giovanni&quot;,&quot;parse-names&quot;:false,&quot;dropping-particle&quot;:&quot;&quot;,&quot;non-dropping-particle&quot;:&quot;&quot;},{&quot;family&quot;:&quot;Salgarello&quot;,&quot;given&quot;:&quot;Marzia&quot;,&quot;parse-names&quot;:false,&quot;dropping-particle&quot;:&quot;&quot;,&quot;non-dropping-particle&quot;:&quot;&quot;}],&quot;container-title&quot;:&quot;J Gynecol Oncol&quot;,&quot;DOI&quot;:&quot;10.3802/jgo.2016.27.e60&quot;,&quot;ISSN&quot;:&quot;20050399&quot;,&quot;PMID&quot;:&quot;27550406&quot;,&quot;issued&quot;:{&quot;date-parts&quot;:[[2016]]},&quot;abstract&quot;:&quot;Objective: To create a comprehensive algorithmic approach to reconstruction after vulvar cancer ablative surgery, which includes both traditional and perforator flaps, evaluating anatomical subunits and shape of the defect. Methods: We retrospectively reviewed 80 cases of reconstruction after vulvar cancer ablative surgery, performed between June 2006 and January 2016, transferring 101 flaps. We registered the possibility to achieve the complete wound closure, even in presence of very complex defects, and the postoperative complications. On the basis of these experience, analyzing the choices made and considering the complications, we developed an algorithm to help with the selection of the flap in vulvoperineal reconstruction after oncologic ablative surgery for vulvar cancer. Results: We employed eight types of different flaps, including 54 traditional fasciocutaneous V-Y flaps, 23 rectus abdominis myocutaneous flaps, 11 anterolateral thigh flaps, three V-Y gracilis myocutaneous flaps, three free style perforators V-Y flaps from the inner thigh, two Limberg flaps, two lotus flaps, two deep inferior epigastric artery perforator flap, and one superficial circumflex iliac artery perforator flap. The structures most frequently involved in resection were vulva, perineum, mons pubis, groins, vagina, urethra and, more rarely, rectum, bladder, and lower abdominal wall. Conclusion: The algorithm we implemented can be a useful tool to help flap selection. The key points in the decision-making process are: anatomical subunits to be covered, overall shape and symmetry of the defect and some patient features such as skin laxity or previous radiotherapy. Perforator flaps, when feasible, must be considered standard in vulvoperineal reconstruction, although in some cases traditional flaps remain the best choice.&quot;,&quot;issue&quot;:&quot;6&quot;,&quot;volume&quot;:&quot;27&quot;},&quot;isTemporary&quot;:false}],&quot;properties&quot;:{&quot;noteIndex&quot;:0},&quot;isEdited&quot;:false,&quot;manualOverride&quot;:{&quot;isManuallyOverriden&quot;:false,&quot;citeprocText&quot;:&quot;[4–6]&quot;,&quot;manualOverrideText&quot;:&quot;&quot;}},{&quot;citationID&quot;:&quot;MENDELEY_CITATION_49bee808-46c7-4cad-86b5-ee0da597e602&quot;,&quot;citationItems&quot;:[{&quot;id&quot;:&quot;975834ce-da58-32bc-8bda-0b719daba739&quot;,&quot;itemData&quot;:{&quot;type&quot;:&quot;article-journal&quot;,&quot;id&quot;:&quot;975834ce-da58-32bc-8bda-0b719daba739&quot;,&quot;title&quot;:&quot;The importance of the groin node status for the survival of T1 and T2 vulval carcinoma patients&quot;,&quot;author&quot;:[{&quot;family&quot;:&quot;Burger&quot;,&quot;given&quot;:&quot;M. P.M.&quot;,&quot;parse-names&quot;:false,&quot;dropping-particle&quot;:&quot;&quot;,&quot;non-dropping-particle&quot;:&quot;&quot;},{&quot;family&quot;:&quot;Hollema&quot;,&quot;given&quot;:&quot;H.&quot;,&quot;parse-names&quot;:false,&quot;dropping-particle&quot;:&quot;&quot;,&quot;non-dropping-particle&quot;:&quot;&quot;},{&quot;family&quot;:&quot;Emanuels&quot;,&quot;given&quot;:&quot;A. G.&quot;,&quot;parse-names&quot;:false,&quot;dropping-particle&quot;:&quot;&quot;,&quot;non-dropping-particle&quot;:&quot;&quot;},{&quot;family&quot;:&quot;Krans&quot;,&quot;given&quot;:&quot;M.&quot;,&quot;parse-names&quot;:false,&quot;dropping-particle&quot;:&quot;&quot;,&quot;non-dropping-particle&quot;:&quot;&quot;},{&quot;family&quot;:&quot;Pras&quot;,&quot;given&quot;:&quot;E.&quot;,&quot;parse-names&quot;:false,&quot;dropping-particle&quot;:&quot;&quot;,&quot;non-dropping-particle&quot;:&quot;&quot;},{&quot;family&quot;:&quot;Bouma&quot;,&quot;given&quot;:&quot;J.&quot;,&quot;parse-names&quot;:false,&quot;dropping-particle&quot;:&quot;&quot;,&quot;non-dropping-particle&quot;:&quot;&quot;}],&quot;container-title&quot;:&quot;Gynecol Oncol&quot;,&quot;DOI&quot;:&quot;10.1006/gyno.1995.1151&quot;,&quot;ISSN&quot;:&quot;10956859&quot;,&quot;PMID&quot;:&quot;7774836&quot;,&quot;issued&quot;:{&quot;date-parts&quot;:[[1995]]},&quot;page&quot;:&quot;327-334&quot;,&quot;abstract&quot;:&quot;The purpose of this study was to analyze (1) the prognostic factors for survival of T1 and T2 carcinoma patients and (2) the impact of the initial groin node status for the time to recurrence and site of recurrence. We performed a follow-up study on 190 women with a T1 or T2 squamous cell carcinoma of the vulva. Data were obtained on age and general medical condition, the clinical and histological characteristics of the primary tumor and the inguinofemoral lymph nodes, treatment, recurrences, and survival. The standard treatment was radical vulvectomy with bilateral inguinofemoral lymphadenectomy supplemented with postoperative radiotherapy to the primary site, groin, and pelvic side walls if groin metastases were present. Compared to patients without lymph node metastases in the groin, the relative risk of dying within a given time period was estimated to be 2.47 (limits of the 95% confidence interval: 1.24, 4.93) and 9.69 (3.90, 24.03) for patients with unilateral and bilateral node metastases, respectively. The number of metastatic lymph nodes or their intra- or extranodal growth was not associated with survival. The relative risk of dying within a given time period was 2.71 (1.36, 5.40) for patients with a T2 tumor compared to those with a T1 tumor and 2.37 (1.31, 4.31) for patients with vasoinvasive growth compared to those without capillary-lymphatic tumor infiltration. Tumor thickness, differentiation grade, and multifocal growth did not determine survival. In the multivariate Cox regression analysis, the presence of inguinofemoral lymph node metastases proved to be the most important prognostic factor for patients’ survival. Of the 119 patients who underwent lymphadenectomy but in whom no groin node metastases were found, 6 (5%) patients manifested an early recurrence (i.e., residual cancer or a recurrence within 2 years after the diagnosis). In contrast, of the 51 patients with histologically documented groin node metastases, 15 (29.4%) manifested an early recurrence and these recurrences appeared equally distributed over the primary site and other sites. Only 1 of the 51 women with documented inguinofemoral lymph node metastases presented with the first manifestation of recurrent cancer in the groin. Groin node metastases did not increase the risk for late recurrences. The presence of inguinofemoral lymph node metastases (none/unilateral/bilateral) is the most important predictor of failure to survive. Groin node metastases are associated with early recurrences which seldomly manifest primarily in the groin if it is hospital policy to supplement the surgical excision with adjunctive radiotherapy. © 1995 Academic Press, Inc.&quot;,&quot;issue&quot;:&quot;3&quot;,&quot;volume&quot;:&quot;57&quot;},&quot;isTemporary&quot;:false}],&quot;properties&quot;:{&quot;noteIndex&quot;:0},&quot;isEdited&quot;:false,&quot;manualOverride&quot;:{&quot;isManuallyOverriden&quot;:false,&quot;citeprocText&quot;:&quot;[7]&quot;,&quot;manualOverrideText&quot;:&quot;&quot;}},{&quot;citationID&quot;:&quot;MENDELEY_CITATION_5520e20b-0598-4c31-80e9-505171c796ce&quot;,&quot;citationItems&quot;:[{&quot;id&quot;:&quot;fd704acc-05bb-35b7-9dd4-ce5c0b37b3a7&quot;,&quot;itemData&quot;:{&quot;type&quot;:&quot;article-journal&quot;,&quot;id&quot;:&quot;fd704acc-05bb-35b7-9dd4-ce5c0b37b3a7&quot;,&quot;title&quot;:&quot;The lymphatic superficial circumflex iliac vessels deep branch perforator flap: A new preventive approach to lower limb lymphedema after groin dissection-preliminary evidence&quot;,&quot;author&quot;:[{&quot;family&quot;:&quot;Gentileschi&quot;,&quot;given&quot;:&quot;Stefano&quot;,&quot;parse-names&quot;:false,&quot;dropping-particle&quot;:&quot;&quot;,&quot;non-dropping-particle&quot;:&quot;&quot;},{&quot;family&quot;:&quot;Servillo&quot;,&quot;given&quot;:&quot;Maria&quot;,&quot;parse-names&quot;:false,&quot;dropping-particle&quot;:&quot;&quot;,&quot;non-dropping-particle&quot;:&quot;&quot;},{&quot;family&quot;:&quot;Garganese&quot;,&quot;given&quot;:&quot;Giorgia&quot;,&quot;parse-names&quot;:false,&quot;dropping-particle&quot;:&quot;&quot;,&quot;non-dropping-particle&quot;:&quot;&quot;},{&quot;family&quot;:&quot;Fragomeni&quot;,&quot;given&quot;:&quot;Simona&quot;,&quot;parse-names&quot;:false,&quot;dropping-particle&quot;:&quot;&quot;,&quot;non-dropping-particle&quot;:&quot;&quot;},{&quot;family&quot;:&quot;Bonis&quot;,&quot;given&quot;:&quot;Francesca&quot;,&quot;parse-names&quot;:false,&quot;dropping-particle&quot;:&quot;&quot;,&quot;non-dropping-particle&quot;:&quot;de&quot;},{&quot;family&quot;:&quot;Cina&quot;,&quot;given&quot;:&quot;Alessandro&quot;,&quot;parse-names&quot;:false,&quot;dropping-particle&quot;:&quot;&quot;,&quot;non-dropping-particle&quot;:&quot;&quot;},{&quot;family&quot;:&quot;Scambia&quot;,&quot;given&quot;:&quot;Giovanni&quot;,&quot;parse-names&quot;:false,&quot;dropping-particle&quot;:&quot;&quot;,&quot;non-dropping-particle&quot;:&quot;&quot;},{&quot;family&quot;:&quot;Salgarello&quot;,&quot;given&quot;:&quot;Marzia&quot;,&quot;parse-names&quot;:false,&quot;dropping-particle&quot;:&quot;&quot;,&quot;non-dropping-particle&quot;:&quot;&quot;}],&quot;container-title&quot;:&quot;Microsurgery&quot;,&quot;DOI&quot;:&quot;10.1002/micr.30142&quot;,&quot;ISSN&quot;:&quot;10982752&quot;,&quot;PMID&quot;:&quot;27987230&quot;,&quot;issued&quot;:{&quot;date-parts&quot;:[[2017]]},&quot;page&quot;:&quot;564-573&quot;,&quot;abstract&quot;:&quot;Objective: Groin dissection is the procedure with the highest risk of lower limb lymphedema.As lymph stasis causes irreversible alterations to the limb over time,therapies should be administered in early stages,or better yet, lymphatic drainage impairment should be prevented.We developed a new preventive approach to lymphedema after groin dissection, and we report our preliminary experience. Patients and Methods: We enrolled 5 patients undergoing bilateral groin dissection for vulvar cancer. Preoperative study of lower limbs lymphatic function was obtained by lymphoscintigraphy, with lymphatic transport index, indocyanine green (ICG) lymphography, and volume measurement with lower extremity lymphedema (LEL) index calculation. At the end of lymphadenectomy, one groin was closed in the standard way. On the other side, a lymphatic flap pedicled on the distal perforator of the deep branch of the superficial circumflex iliac vessels, was transposed into the groin region. Lymphatic function examination of the limbs was repeated 6 months after surgery. Results: Before surgery no patient showed lymphatic drainage impairment at lymphoscintigraphy or lymphography, LEL index was in every limb lower than 250 (mean: 217.3 ± 13.83). After surgery the limbs treated with the flap showed no pathological swelling, LEL-index &lt; 250 (mean: 235.4 ± 13.069), linear pattern at lymphography, and normal lymphoscintigraphy. The untreated limbs showed from moderate to severe edema with 265 &lt; LEL-index &lt; 310 (mean: 283 ± 16.3), diffuse dermal backflow at lymphography and interruption of lymph flow, with dermal backflow, at lymphoscintigraphy. Mean difference between preoperative and postoperative volumes was 64.8 ± 25.1 in the untreated side and 19 ± 11.7 in the side with the flap. The difference between preoperative and postoperative volumes compared between the treated and untreated side was statistically significant (P &lt;.01). Conclusion: Our preliminary evidence suggests that this flap can prevent lymphedema after groin dissection. Further studies are necessary to confirm these results.&quot;,&quot;issue&quot;:&quot;6&quot;,&quot;volume&quot;:&quot;37&quot;},&quot;isTemporary&quot;:false}],&quot;properties&quot;:{&quot;noteIndex&quot;:0},&quot;isEdited&quot;:false,&quot;manualOverride&quot;:{&quot;isManuallyOverriden&quot;:false,&quot;citeprocText&quot;:&quot;[8]&quot;,&quot;manualOverrideText&quot;:&quot;&quot;}},{&quot;citationID&quot;:&quot;MENDELEY_CITATION_d8bdfe81-8ed0-4a1a-999a-5f3743cdbc32&quot;,&quot;citationItems&quot;:[{&quot;id&quot;:&quot;13e70cd5-0160-3a5e-a95a-6cef6d69e1fb&quot;,&quot;itemData&quot;:{&quot;type&quot;:&quot;article-journal&quot;,&quot;id&quot;:&quot;13e70cd5-0160-3a5e-a95a-6cef6d69e1fb&quot;,&quot;title&quot;:&quot;The role of preoperative ultrasound evaluation of inguinal lymph nodes in patients with vulvar malignancy&quot;,&quot;author&quot;:[{&quot;family&quot;:&quot;Gregorio&quot;,&quot;given&quot;:&quot;Nikolaus&quot;,&quot;parse-names&quot;:false,&quot;dropping-particle&quot;:&quot;&quot;,&quot;non-dropping-particle&quot;:&quot;de&quot;},{&quot;family&quot;:&quot;Ebner&quot;,&quot;given&quot;:&quot;Florian&quot;,&quot;parse-names&quot;:false,&quot;dropping-particle&quot;:&quot;&quot;,&quot;non-dropping-particle&quot;:&quot;&quot;},{&quot;family&quot;:&quot;Schwentner&quot;,&quot;given&quot;:&quot;Lukas&quot;,&quot;parse-names&quot;:false,&quot;dropping-particle&quot;:&quot;&quot;,&quot;non-dropping-particle&quot;:&quot;&quot;},{&quot;family&quot;:&quot;Friedl&quot;,&quot;given&quot;:&quot;Thomas W.P.&quot;,&quot;parse-names&quot;:false,&quot;dropping-particle&quot;:&quot;&quot;,&quot;non-dropping-particle&quot;:&quot;&quot;},{&quot;family&quot;:&quot;Deniz&quot;,&quot;given&quot;:&quot;Miriam&quot;,&quot;parse-names&quot;:false,&quot;dropping-particle&quot;:&quot;&quot;,&quot;non-dropping-particle&quot;:&quot;&quot;},{&quot;family&quot;:&quot;Látó&quot;,&quot;given&quot;:&quot;Krisztián&quot;,&quot;parse-names&quot;:false,&quot;dropping-particle&quot;:&quot;&quot;,&quot;non-dropping-particle&quot;:&quot;&quot;},{&quot;family&quot;:&quot;Kreienberg&quot;,&quot;given&quot;:&quot;Rolf&quot;,&quot;parse-names&quot;:false,&quot;dropping-particle&quot;:&quot;&quot;,&quot;non-dropping-particle&quot;:&quot;&quot;},{&quot;family&quot;:&quot;Janni&quot;,&quot;given&quot;:&quot;Wolfgang&quot;,&quot;parse-names&quot;:false,&quot;dropping-particle&quot;:&quot;&quot;,&quot;non-dropping-particle&quot;:&quot;&quot;},{&quot;family&quot;:&quot;Varga&quot;,&quot;given&quot;:&quot;Dominic&quot;,&quot;parse-names&quot;:false,&quot;dropping-particle&quot;:&quot;&quot;,&quot;non-dropping-particle&quot;:&quot;&quot;}],&quot;container-title&quot;:&quot;Gynecol Oncol&quot;,&quot;DOI&quot;:&quot;10.1016/j.ygyno.2013.07.103&quot;,&quot;ISSN&quot;:&quot;10956859&quot;,&quot;issued&quot;:{&quot;date-parts&quot;:[[2013]]},&quot;page&quot;:&quot;113-117&quot;,&quot;abstract&quot;:&quot;Objectives. Inguinal lymphadenectomy in vulvar malignancies is associated with significant morbidity, especially in patients over 70 years old. Under certain conditions, surgical guidelines recommend biopsy and evaluation of the sentinel node in early vulvar cancer. The purpose of our study is to evaluate ultrasonography as a predictor of inguinal lymph node involvement. Methods. A retrospective study was performed with 60 patients who had vulvarmalignancies (92% of which were squamous cell carcinomas) and who were treated at our hospital between 2002 and 2012. The patients ranged in age from 35 to 89 years, with a median age of 76 years. In total, 118 groin scans were retrospectively evaluated for sonographic evidence of lymph node involvement (i.e., absence of fatty hilum, irregular shape, cortical region diameter and vascularization pattern). The results were then compared with histopathologically confirmed lymph node status. Results. Histopathologically confirmed lymph node status was available for 107 of the inguinal nodes examined by ultrasound, and lymph node metastases were found in 38 (35.5%) cases. The presence or absence of inguinal lymph node metastases was correctly identified by sonography in 92 (86.0%) of the scanned areas. Sensitivity was 76.3%, specificity was 91.3%, and positive and negative predictive values were 82.9% and 87.5%, respectively. Conclusions. Ultrasonography of the inguinal lymph nodes showed a relatively high sensitivity and specificity for predicting inguinal tumor metastases. However, our results indicate that surgical lymph node staging is still needed to precisely determine inguinal lymph node status in vulvar cancer, especially because a missed lymph node-metastasis is often fatal. © 2013 Elsevier Inc. All rights reserved.&quot;,&quot;issue&quot;:&quot;1&quot;,&quot;volume&quot;:&quot;131&quot;},&quot;isTemporary&quot;:false},{&quot;id&quot;:&quot;a2e6a619-c071-34aa-879a-882d1a911f19&quot;,&quot;itemData&quot;:{&quot;type&quot;:&quot;article-journal&quot;,&quot;id&quot;:&quot;a2e6a619-c071-34aa-879a-882d1a911f19&quot;,&quot;title&quot;:&quot;Ultrasound morphometric and cytologic preoperative assessment of inguinal lymph-node status in women with vulvar cancer: MorphoNode study&quot;,&quot;author&quot;:[{&quot;family&quot;:&quot;Garganese&quot;,&quot;given&quot;:&quot;G.&quot;,&quot;parse-names&quot;:false,&quot;dropping-particle&quot;:&quot;&quot;,&quot;non-dropping-particle&quot;:&quot;&quot;},{&quot;family&quot;:&quot;Fragomeni&quot;,&quot;given&quot;:&quot;S. M.&quot;,&quot;parse-names&quot;:false,&quot;dropping-particle&quot;:&quot;&quot;,&quot;non-dropping-particle&quot;:&quot;&quot;},{&quot;family&quot;:&quot;Pasciuto&quot;,&quot;given&quot;:&quot;T.&quot;,&quot;parse-names&quot;:false,&quot;dropping-particle&quot;:&quot;&quot;,&quot;non-dropping-particle&quot;:&quot;&quot;},{&quot;family&quot;:&quot;Leombroni&quot;,&quot;given&quot;:&quot;M.&quot;,&quot;parse-names&quot;:false,&quot;dropping-particle&quot;:&quot;&quot;,&quot;non-dropping-particle&quot;:&quot;&quot;},{&quot;family&quot;:&quot;Moro&quot;,&quot;given&quot;:&quot;F.&quot;,&quot;parse-names&quot;:false,&quot;dropping-particle&quot;:&quot;&quot;,&quot;non-dropping-particle&quot;:&quot;&quot;},{&quot;family&quot;:&quot;Evangelista&quot;,&quot;given&quot;:&quot;M. T.&quot;,&quot;parse-names&quot;:false,&quot;dropping-particle&quot;:&quot;&quot;,&quot;non-dropping-particle&quot;:&quot;&quot;},{&quot;family&quot;:&quot;Bove&quot;,&quot;given&quot;:&quot;S.&quot;,&quot;parse-names&quot;:false,&quot;dropping-particle&quot;:&quot;&quot;,&quot;non-dropping-particle&quot;:&quot;&quot;},{&quot;family&quot;:&quot;Gentileschi&quot;,&quot;given&quot;:&quot;S.&quot;,&quot;parse-names&quot;:false,&quot;dropping-particle&quot;:&quot;&quot;,&quot;non-dropping-particle&quot;:&quot;&quot;},{&quot;family&quot;:&quot;Tagliaferri&quot;,&quot;given&quot;:&quot;L.&quot;,&quot;parse-names&quot;:false,&quot;dropping-particle&quot;:&quot;&quot;,&quot;non-dropping-particle&quot;:&quot;&quot;},{&quot;family&quot;:&quot;Paris&quot;,&quot;given&quot;:&quot;I.&quot;,&quot;parse-names&quot;:false,&quot;dropping-particle&quot;:&quot;&quot;,&quot;non-dropping-particle&quot;:&quot;&quot;},{&quot;family&quot;:&quot;Inzani&quot;,&quot;given&quot;:&quot;F.&quot;,&quot;parse-names&quot;:false,&quot;dropping-particle&quot;:&quot;&quot;,&quot;non-dropping-particle&quot;:&quot;&quot;},{&quot;family&quot;:&quot;Fanfani&quot;,&quot;given&quot;:&quot;F.&quot;,&quot;parse-names&quot;:false,&quot;dropping-particle&quot;:&quot;&quot;,&quot;non-dropping-particle&quot;:&quot;&quot;},{&quot;family&quot;:&quot;Scambia&quot;,&quot;given&quot;:&quot;G.&quot;,&quot;parse-names&quot;:false,&quot;dropping-particle&quot;:&quot;&quot;,&quot;non-dropping-particle&quot;:&quot;&quot;},{&quot;family&quot;:&quot;Testa&quot;,&quot;given&quot;:&quot;A. C.&quot;,&quot;parse-names&quot;:false,&quot;dropping-particle&quot;:&quot;&quot;,&quot;non-dropping-particle&quot;:&quot;&quot;}],&quot;container-title&quot;:&quot;Ultrasound Obstet Gynecol&quot;,&quot;DOI&quot;:&quot;10.1002/uog.20378&quot;,&quot;ISSN&quot;:&quot;14690705&quot;,&quot;PMID&quot;:&quot;31237047&quot;,&quot;issued&quot;:{&quot;date-parts&quot;:[[2020]]},&quot;page&quot;:&quot;401-410&quot;,&quot;abstract&quot;:&quot;Objective: To assess the accuracy of preoperative ultrasound examination for predicting lymph-node (LN) status in patients with vulvar cancer. Methods: This was a single-institution retrospective observational study of all women with a histological diagnosis of vulvar cancer triaged to inguinal surgery within 30 days following ultrasound evaluation between December 2010 and January 2016. For each groin examined, 15 morphological and dimensional sonographic parameters associated with suspicion for LN involvement were examined. A morphometric ultrasound pattern (MUP) was expressed for each groin, classifying the inguinal LN status into five groups (normal; reactive-but-negative; minimally suspicious/probably negative; moderately suspicious; and highly suspicious/positive) according to subjective judgment, followed by stratification as positive or negative for metastasis according to morphometric binomial assessment (MBA). In cases of positive MBA, fine-needle aspiration cytology was performed. Combining the information obtained from MUP and cytologic results, a binomial final overall assessment (FOA) was assigned for each groin. The final histology was considered as the reference standard. Comparison was performed between patients with negative and those with positive LNs on histology, and receiver-operating-characteristics curves were generated for statistically significant variables on univariate analysis, to evaluate their diagnostic ability to predict negative LN status. Results: Of 144 patients included in the analysis, 87 had negative inguinal LNs and 57 had positive LNs on histology. A total of 256 groins were analyzed, of which 171 were negative and 85 showed at least one metastatic LN on histology. The following parameters showed the greatest accuracy, with the best balance between specificity and sensitivity, in predicting negative LN status: cortical (C) thickness of the dominant LN (cut-off, 2.5 mm; sensitivity, 90.0%; specificity, 77.9%); short-axis (S) length of the dominant LN (cut-off, 8.4 mm; sensitivity, 63.9%; specificity, 90.6%); C/medulla (M) thickness ratio of the dominant LN (cut-off, 1.2 mm; sensitivity, 70.4%; specificity, 91.5%), the combination of S length and C/M thickness ratio (sensitivity, 88.9%; specificity, 82.4%); and the FOA analysis (sensitivity, 85.9%; specificity, 84.2%). Conclusions: Preoperative ultrasound assessment, with or without the addition of cytology, has a high accuracy in assessing inguinal LN status in patients with vulvar cancer. In particular, the combination of two ultrasound parameters (S length and C/M thickness ratio) provided the greatest accuracy in discriminating between negative and positive LNs. Copyright © 2019 ISUOG. Published by John Wiley &amp; Sons Ltd.&quot;,&quot;issue&quot;:&quot;3&quot;,&quot;volume&quot;:&quot;55&quot;},&quot;isTemporary&quot;:false},{&quot;id&quot;:&quot;d78aa8dc-d70e-373a-a14e-ef6ea596177e&quot;,&quot;itemData&quot;:{&quot;type&quot;:&quot;article-journal&quot;,&quot;id&quot;:&quot;d78aa8dc-d70e-373a-a14e-ef6ea596177e&quot;,&quot;title&quot;:&quot;Ultrasound-guided FNA cytology of groin lymph nodes improves the management of squamous cell carcinoma of the vulva: Results from a comparative cytohistological study&quot;,&quot;author&quot;:[{&quot;family&quot;:&quot;Angelico&quot;,&quot;given&quot;:&quot;Giuseppe&quot;,&quot;parse-names&quot;:false,&quot;dropping-particle&quot;:&quot;&quot;,&quot;non-dropping-particle&quot;:&quot;&quot;},{&quot;family&quot;:&quot;Santoro&quot;,&quot;given&quot;:&quot;Angela&quot;,&quot;parse-names&quot;:false,&quot;dropping-particle&quot;:&quot;&quot;,&quot;non-dropping-particle&quot;:&quot;&quot;},{&quot;family&quot;:&quot;Inzani&quot;,&quot;given&quot;:&quot;Frediano&quot;,&quot;parse-names&quot;:false,&quot;dropping-particle&quot;:&quot;&quot;,&quot;non-dropping-particle&quot;:&quot;&quot;},{&quot;family&quot;:&quot;Spadola&quot;,&quot;given&quot;:&quot;Saveria&quot;,&quot;parse-names&quot;:false,&quot;dropping-particle&quot;:&quot;&quot;,&quot;non-dropping-particle&quot;:&quot;&quot;},{&quot;family&quot;:&quot;Fiorentino&quot;,&quot;given&quot;:&quot;Vincenzo&quot;,&quot;parse-names&quot;:false,&quot;dropping-particle&quot;:&quot;&quot;,&quot;non-dropping-particle&quot;:&quot;&quot;},{&quot;family&quot;:&quot;Cianfrini&quot;,&quot;given&quot;:&quot;Federica&quot;,&quot;parse-names&quot;:false,&quot;dropping-particle&quot;:&quot;&quot;,&quot;non-dropping-particle&quot;:&quot;&quot;},{&quot;family&quot;:&quot;Carbone&quot;,&quot;given&quot;:&quot;Claudia&quot;,&quot;parse-names&quot;:false,&quot;dropping-particle&quot;:&quot;&quot;,&quot;non-dropping-particle&quot;:&quot;&quot;},{&quot;family&quot;:&quot;Garganese&quot;,&quot;given&quot;:&quot;Giorgia&quot;,&quot;parse-names&quot;:false,&quot;dropping-particle&quot;:&quot;&quot;,&quot;non-dropping-particle&quot;:&quot;&quot;},{&quot;family&quot;:&quot;Rossi&quot;,&quot;given&quot;:&quot;Esther D.&quot;,&quot;parse-names&quot;:false,&quot;dropping-particle&quot;:&quot;&quot;,&quot;non-dropping-particle&quot;:&quot;&quot;},{&quot;family&quot;:&quot;Scambia&quot;,&quot;given&quot;:&quot;Giovanni&quot;,&quot;parse-names&quot;:false,&quot;dropping-particle&quot;:&quot;&quot;,&quot;non-dropping-particle&quot;:&quot;&quot;},{&quot;family&quot;:&quot;Zannoni&quot;,&quot;given&quot;:&quot;Gian F.&quot;,&quot;parse-names&quot;:false,&quot;dropping-particle&quot;:&quot;&quot;,&quot;non-dropping-particle&quot;:&quot;&quot;}],&quot;container-title&quot;:&quot;Cancer Cytopathol&quot;,&quot;DOI&quot;:&quot;10.1002/cncy.22154&quot;,&quot;ISSN&quot;:&quot;19346638&quot;,&quot;PMID&quot;:&quot;31174235&quot;,&quot;issued&quot;:{&quot;date-parts&quot;:[[2019]]},&quot;page&quot;:&quot;514-520&quot;,&quot;abstract&quot;:&quot;Background: Lymph node metastases represent the most important negative prognostic predictor in vulvar carcinoma. Therefore, an accurate preoperative assessment of suspicious lymph nodes would be fundamental for a personalized therapy. The aim of this article was to assess the reliability of ultrasound-guided fine-needle aspiration cytology (FNAC) in the preoperative assessment of nodal metastatic disease in 43 patients with vulvar cancer. Methods: In total, 43 FNAC specimens of clinicoradiologically suspicious lymph nodes with corresponding nodal resection specimens were collected from 2016 to 2018 at Catholic University Hospital in Rome. Cytohistologic correlation was performed. Patients were treated with wide local excision of the vulvar mass followed by bilateral inguinofemoral lymphadenectomy and radiotherapy if the tumor involved a lymph node or the vulvar margins. Results: Cytologic examination agreed with histology in 37 of 43 cases (86.04%). The authors observed a positive FNAC result in 14 of 20 histologically confirmed metastatic lymph nodes, 6 false-negative cases, and no false-positive results. The sensitivity and specificity of cytological examination were 76.92% and 100%, respectively. All patients with FNAC-positive results showed metastatic disease in other surgically resected inguinofemoral nodes. Eleven of 29 patients (37.9%) with FNAC-negative results also showed metastatic disease in subsequent lymphadenectomy specimens, but the extent of metastases was always &lt;1 cm (range, 0.1-0.6 cm). Conclusions: FNAC of suspicious lymph nodes represents a useful tool in the management of patients with vulvar cancer. A positive result enables the surgeon to immediately perform a bilateral inguinofemoral lymphadenectomy thus avoiding an unnecessary sentinel lymph node sampling. Finally, FNAC can also predict the presence and extent of metastatic disease in other surgically resected inguinofemoral lymph nodes.&quot;,&quot;issue&quot;:&quot;8&quot;,&quot;volume&quot;:&quot;127&quot;},&quot;isTemporary&quot;:false},{&quot;id&quot;:&quot;4ab02827-0297-3d26-a576-99a14be68f87&quot;,&quot;itemData&quot;:{&quot;type&quot;:&quot;article-journal&quot;,&quot;id&quot;:&quot;4ab02827-0297-3d26-a576-99a14be68f87&quot;,&quot;title&quot;:&quot;Computed tomography, magnetic resonance imaging and FDG positron emission tomography in the management of vulvar malignancies&quot;,&quot;author&quot;:[{&quot;family&quot;:&quot;Lin&quot;,&quot;given&quot;:&quot;Gigin&quot;,&quot;parse-names&quot;:false,&quot;dropping-particle&quot;:&quot;&quot;,&quot;non-dropping-particle&quot;:&quot;&quot;},{&quot;family&quot;:&quot;Chen&quot;,&quot;given&quot;:&quot;Chao Yu&quot;,&quot;parse-names&quot;:false,&quot;dropping-particle&quot;:&quot;&quot;,&quot;non-dropping-particle&quot;:&quot;&quot;},{&quot;family&quot;:&quot;Liu&quot;,&quot;given&quot;:&quot;Feng Yuan&quot;,&quot;parse-names&quot;:false,&quot;dropping-particle&quot;:&quot;&quot;,&quot;non-dropping-particle&quot;:&quot;&quot;},{&quot;family&quot;:&quot;Yang&quot;,&quot;given&quot;:&quot;Lan Yan&quot;,&quot;parse-names&quot;:false,&quot;dropping-particle&quot;:&quot;&quot;,&quot;non-dropping-particle&quot;:&quot;&quot;},{&quot;family&quot;:&quot;Huang&quot;,&quot;given&quot;:&quot;Huei Jean&quot;,&quot;parse-names&quot;:false,&quot;dropping-particle&quot;:&quot;&quot;,&quot;non-dropping-particle&quot;:&quot;&quot;},{&quot;family&quot;:&quot;Huang&quot;,&quot;given&quot;:&quot;Yi Ting&quot;,&quot;parse-names&quot;:false,&quot;dropping-particle&quot;:&quot;&quot;,&quot;non-dropping-particle&quot;:&quot;&quot;},{&quot;family&quot;:&quot;Jung&quot;,&quot;given&quot;:&quot;Shih Ming&quot;,&quot;parse-names&quot;:false,&quot;dropping-particle&quot;:&quot;&quot;,&quot;non-dropping-particle&quot;:&quot;&quot;},{&quot;family&quot;:&quot;Chou&quot;,&quot;given&quot;:&quot;Hung Hsueh&quot;,&quot;parse-names&quot;:false,&quot;dropping-particle&quot;:&quot;&quot;,&quot;non-dropping-particle&quot;:&quot;&quot;},{&quot;family&quot;:&quot;Lai&quot;,&quot;given&quot;:&quot;Chyong Huey&quot;,&quot;parse-names&quot;:false,&quot;dropping-particle&quot;:&quot;&quot;,&quot;non-dropping-particle&quot;:&quot;&quot;},{&quot;family&quot;:&quot;Ng&quot;,&quot;given&quot;:&quot;Koon Kwan&quot;,&quot;parse-names&quot;:false,&quot;dropping-particle&quot;:&quot;&quot;,&quot;non-dropping-particle&quot;:&quot;&quot;}],&quot;container-title&quot;:&quot;Eur Radiol&quot;,&quot;DOI&quot;:&quot;10.1007/s00330-014-3530-1&quot;,&quot;ISSN&quot;:&quot;14321084&quot;,&quot;PMID&quot;:&quot;25477274&quot;,&quot;issued&quot;:{&quot;date-parts&quot;:[[2015]]},&quot;page&quot;:&quot;1267-1278&quot;,&quot;abstract&quot;:&quot;Objectives: To prospectively evaluate the value of CT or MRI (CT/MRI) and PET in the management of vulvar malignancies. Methods: Abdominal and pelvic CT/MRI and whole-body 18 F-FDG (fluorodeoxyglucose) PET or PET/CT (collectively designated PET hereafter) were performed. Lesion status was determined by the pathological findings or clinical follow-up. The diagnostic efficacy was evaluated by receiver operating characteristic (ROC) curve analysis. The clinical impact of PET was determined on a per scan basis. Results: Twenty-three patients were enrolled, and 38 PET examinations were performed. CT/MRI and PET studies were used for primary staging (n = 17), monitoring the response (n = 7) and restaging after recurrence (n = 14). In primary staging, there was no significant difference between CT/MRI and PET in detecting metastatic inguinal lymph nodes (ILN). CT/MRI was significantly more efficacious than PET in detecting pelvic lymph node (PLN) or distant metastasis (p = 0.007 by ROC per patient basis). PET findings resulted in two positive impacts and one negative impact for both primary staging and restaging. Conclusions: False-positive PLN or distant metastasis PET findings are not uncommon, and hence should be interpreted with caution. PET can be supportive when metastatic ILN/PLN or distant metastasis is suspected on CT/MRI. • CT/MRI has value in the management of vulvar malignancies. Key Points: • False-positive metastatic PLN or distant metastasis PET findings are not uncommon. • PET can be supportive when metastasis is suspected by CT/MRI.&quot;,&quot;issue&quot;:&quot;5&quot;,&quot;volume&quot;:&quot;25&quot;},&quot;isTemporary&quot;:false}],&quot;properties&quot;:{&quot;noteIndex&quot;:0},&quot;isEdited&quot;:false,&quot;manualOverride&quot;:{&quot;isManuallyOverriden&quot;:false,&quot;citeprocText&quot;:&quot;[9–12]&quot;,&quot;manualOverrideText&quot;:&quot;&quot;}},{&quot;citationID&quot;:&quot;MENDELEY_CITATION_b1aa61e9-9fae-4758-9f19-e8b6239d23df&quot;,&quot;citationItems&quot;:[{&quot;id&quot;:&quot;b974260b-bed2-3943-801b-5b6adc94b4a1&quot;,&quot;itemData&quot;:{&quot;type&quot;:&quot;book&quot;,&quot;id&quot;:&quot;b974260b-bed2-3943-801b-5b6adc94b4a1&quot;,&quot;title&quot;:&quot;NCCN Clinical Practice Guidelines in Oncology (NCCN guidelines), Vulvar cancer (squamous cell carcinoma): version 1.2020&quot;,&quot;accessed&quot;:{&quot;date-parts&quot;:[[2020,9,21]]},&quot;DOI&quot;:&quot;10.1136/jitc-2019-000147&quot;,&quot;URL&quot;:&quot;https://www.nccn.org/professionals/physician_gls/pdf/vulvar.pdf&quot;,&quot;issued&quot;:{&quot;date-parts&quot;:[[2020]]}},&quot;isTemporary&quot;:false}],&quot;properties&quot;:{&quot;noteIndex&quot;:0},&quot;isEdited&quot;:false,&quot;manualOverride&quot;:{&quot;isManuallyOverriden&quot;:false,&quot;citeprocText&quot;:&quot;[4]&quot;,&quot;manualOverrideText&quot;:&quot;&quot;}},{&quot;citationID&quot;:&quot;MENDELEY_CITATION_09e64bda-abea-42b2-9b58-78dfa0a753c3&quot;,&quot;citationItems&quot;:[{&quot;id&quot;:&quot;4ab02827-0297-3d26-a576-99a14be68f87&quot;,&quot;itemData&quot;:{&quot;type&quot;:&quot;article-journal&quot;,&quot;id&quot;:&quot;4ab02827-0297-3d26-a576-99a14be68f87&quot;,&quot;title&quot;:&quot;Computed tomography, magnetic resonance imaging and FDG positron emission tomography in the management of vulvar malignancies&quot;,&quot;author&quot;:[{&quot;family&quot;:&quot;Lin&quot;,&quot;given&quot;:&quot;Gigin&quot;,&quot;parse-names&quot;:false,&quot;dropping-particle&quot;:&quot;&quot;,&quot;non-dropping-particle&quot;:&quot;&quot;},{&quot;family&quot;:&quot;Chen&quot;,&quot;given&quot;:&quot;Chao Yu&quot;,&quot;parse-names&quot;:false,&quot;dropping-particle&quot;:&quot;&quot;,&quot;non-dropping-particle&quot;:&quot;&quot;},{&quot;family&quot;:&quot;Liu&quot;,&quot;given&quot;:&quot;Feng Yuan&quot;,&quot;parse-names&quot;:false,&quot;dropping-particle&quot;:&quot;&quot;,&quot;non-dropping-particle&quot;:&quot;&quot;},{&quot;family&quot;:&quot;Yang&quot;,&quot;given&quot;:&quot;Lan Yan&quot;,&quot;parse-names&quot;:false,&quot;dropping-particle&quot;:&quot;&quot;,&quot;non-dropping-particle&quot;:&quot;&quot;},{&quot;family&quot;:&quot;Huang&quot;,&quot;given&quot;:&quot;Huei Jean&quot;,&quot;parse-names&quot;:false,&quot;dropping-particle&quot;:&quot;&quot;,&quot;non-dropping-particle&quot;:&quot;&quot;},{&quot;family&quot;:&quot;Huang&quot;,&quot;given&quot;:&quot;Yi Ting&quot;,&quot;parse-names&quot;:false,&quot;dropping-particle&quot;:&quot;&quot;,&quot;non-dropping-particle&quot;:&quot;&quot;},{&quot;family&quot;:&quot;Jung&quot;,&quot;given&quot;:&quot;Shih Ming&quot;,&quot;parse-names&quot;:false,&quot;dropping-particle&quot;:&quot;&quot;,&quot;non-dropping-particle&quot;:&quot;&quot;},{&quot;family&quot;:&quot;Chou&quot;,&quot;given&quot;:&quot;Hung Hsueh&quot;,&quot;parse-names&quot;:false,&quot;dropping-particle&quot;:&quot;&quot;,&quot;non-dropping-particle&quot;:&quot;&quot;},{&quot;family&quot;:&quot;Lai&quot;,&quot;given&quot;:&quot;Chyong Huey&quot;,&quot;parse-names&quot;:false,&quot;dropping-particle&quot;:&quot;&quot;,&quot;non-dropping-particle&quot;:&quot;&quot;},{&quot;family&quot;:&quot;Ng&quot;,&quot;given&quot;:&quot;Koon Kwan&quot;,&quot;parse-names&quot;:false,&quot;dropping-particle&quot;:&quot;&quot;,&quot;non-dropping-particle&quot;:&quot;&quot;}],&quot;container-title&quot;:&quot;Eur Radiol&quot;,&quot;DOI&quot;:&quot;10.1007/s00330-014-3530-1&quot;,&quot;ISSN&quot;:&quot;14321084&quot;,&quot;PMID&quot;:&quot;25477274&quot;,&quot;issued&quot;:{&quot;date-parts&quot;:[[2015]]},&quot;page&quot;:&quot;1267-1278&quot;,&quot;abstract&quot;:&quot;Objectives: To prospectively evaluate the value of CT or MRI (CT/MRI) and PET in the management of vulvar malignancies. Methods: Abdominal and pelvic CT/MRI and whole-body 18 F-FDG (fluorodeoxyglucose) PET or PET/CT (collectively designated PET hereafter) were performed. Lesion status was determined by the pathological findings or clinical follow-up. The diagnostic efficacy was evaluated by receiver operating characteristic (ROC) curve analysis. The clinical impact of PET was determined on a per scan basis. Results: Twenty-three patients were enrolled, and 38 PET examinations were performed. CT/MRI and PET studies were used for primary staging (n = 17), monitoring the response (n = 7) and restaging after recurrence (n = 14). In primary staging, there was no significant difference between CT/MRI and PET in detecting metastatic inguinal lymph nodes (ILN). CT/MRI was significantly more efficacious than PET in detecting pelvic lymph node (PLN) or distant metastasis (p = 0.007 by ROC per patient basis). PET findings resulted in two positive impacts and one negative impact for both primary staging and restaging. Conclusions: False-positive PLN or distant metastasis PET findings are not uncommon, and hence should be interpreted with caution. PET can be supportive when metastatic ILN/PLN or distant metastasis is suspected on CT/MRI. • CT/MRI has value in the management of vulvar malignancies. Key Points: • False-positive metastatic PLN or distant metastasis PET findings are not uncommon. • PET can be supportive when metastasis is suspected by CT/MRI.&quot;,&quot;issue&quot;:&quot;5&quot;,&quot;volume&quot;:&quot;25&quot;},&quot;isTemporary&quot;:false},{&quot;id&quot;:&quot;8478b000-ecb9-3a5e-8138-9c6f73a67960&quot;,&quot;itemData&quot;:{&quot;type&quot;:&quot;article-journal&quot;,&quot;id&quot;:&quot;8478b000-ecb9-3a5e-8138-9c6f73a67960&quot;,&quot;title&quot;:&quot;Prospective evaluation of positron emission tomography for the detection of groin node metastases from vulvar cancer&quot;,&quot;author&quot;:[{&quot;family&quot;:&quot;Cohn&quot;,&quot;given&quot;:&quot;David E.&quot;,&quot;parse-names&quot;:false,&quot;dropping-particle&quot;:&quot;&quot;,&quot;non-dropping-particle&quot;:&quot;&quot;},{&quot;family&quot;:&quot;Dehdashti&quot;,&quot;given&quot;:&quot;Farrokh&quot;,&quot;parse-names&quot;:false,&quot;dropping-particle&quot;:&quot;&quot;,&quot;non-dropping-particle&quot;:&quot;&quot;},{&quot;family&quot;:&quot;Gibb&quot;,&quot;given&quot;:&quot;Randall K.&quot;,&quot;parse-names&quot;:false,&quot;dropping-particle&quot;:&quot;&quot;,&quot;non-dropping-particle&quot;:&quot;&quot;},{&quot;family&quot;:&quot;Mutch&quot;,&quot;given&quot;:&quot;David G.&quot;,&quot;parse-names&quot;:false,&quot;dropping-particle&quot;:&quot;&quot;,&quot;non-dropping-particle&quot;:&quot;&quot;},{&quot;family&quot;:&quot;Rader&quot;,&quot;given&quot;:&quot;Janet S.&quot;,&quot;parse-names&quot;:false,&quot;dropping-particle&quot;:&quot;&quot;,&quot;non-dropping-particle&quot;:&quot;&quot;},{&quot;family&quot;:&quot;Siegel&quot;,&quot;given&quot;:&quot;Barry A.&quot;,&quot;parse-names&quot;:false,&quot;dropping-particle&quot;:&quot;&quot;,&quot;non-dropping-particle&quot;:&quot;&quot;},{&quot;family&quot;:&quot;Herzog&quot;,&quot;given&quot;:&quot;Thomas J.&quot;,&quot;parse-names&quot;:false,&quot;dropping-particle&quot;:&quot;&quot;,&quot;non-dropping-particle&quot;:&quot;&quot;}],&quot;container-title&quot;:&quot;Gynecol Oncol&quot;,&quot;DOI&quot;:&quot;10.1006/gyno.2002.6605&quot;,&quot;ISSN&quot;:&quot;00908258&quot;,&quot;PMID&quot;:&quot;11925141&quot;,&quot;issued&quot;:{&quot;date-parts&quot;:[[2002]]},&quot;page&quot;:&quot;179-184&quot;,&quot;abstract&quot;:&quot;Objective. We set out to determine the ability of positron emission tomography with fluorodeoxyglucose to detect groin lymph node metastases from vulvar cancer. Methods. From January 2000 to August 2001, patients with squamous cell cancer of the vulva undergoing radical excision and lymphadenectomy were offered preoperative positron emission tomography. The imaging and pathologic status of each patient and groin were compared, and the sensitivity, specificity, and predictive value of positron emission tomography in predicting nodal metastasis were determined. Results. Fifteen patients underwent positron emission tomography prior to exploration of 29 groins. Six patients had positive scans, suggesting metastases in 8 groins. Pathologically, 5 patients had metastases in 9 groins, with positron emission tomography demonstrating metastases in 4 of 5 patients and 6 of 9 groins with disease. On a patient-by-patients basis, positron emission tomography had a sensitivity of 80%, specificity of 90%, positive predictive value of 80%, and negative predictive value of 90% in demonstrating metastases. On a groin-by-groin basis, positron emission tomography had a sensitivity of 67%, specificity of 95%, positive predictive value of 86%, and negative predictive value of 86%. Positron emission tomography was more accurate in detecting extranodal metastases than disease confined within the groin nodes (P = 0.048). Conclusions. Positron emission tomography is relatively insensitive in predicting lymph node metastasis, and a negative study is not a reliable surrogate for a pathologically negative groin. However, the high specificity suggests that positron emission tomography is useful in planning radiation therapy and as an adjunct to lymphatic mapping and sentinel lymph node dissection. © 2002 Elsevier Science (USA).&quot;,&quot;issue&quot;:&quot;1&quot;,&quot;volume&quot;:&quot;85&quot;},&quot;isTemporary&quot;:false},{&quot;id&quot;:&quot;0e91defd-9bbd-3502-856e-966b468f6bb9&quot;,&quot;itemData&quot;:{&quot;type&quot;:&quot;article-journal&quot;,&quot;id&quot;:&quot;0e91defd-9bbd-3502-856e-966b468f6bb9&quot;,&quot;title&quot;:&quot;Whole-body [18F]fluoro-2-deoxyglucose positron emission tomography scan as combined PET-CT staging prior to planned radical vulvectomy and inguinofemoral lymphadenectomy for squamous vulvar cancer: a correlation with groin node metastasis&quot;,&quot;author&quot;:[{&quot;family&quot;:&quot;Kamran&quot;,&quot;given&quot;:&quot;M W&quot;,&quot;parse-names&quot;:false,&quot;dropping-particle&quot;:&quot;&quot;,&quot;non-dropping-particle&quot;:&quot;&quot;},{&quot;family&quot;:&quot;O'Toole&quot;,&quot;given&quot;:&quot;F&quot;,&quot;parse-names&quot;:false,&quot;dropping-particle&quot;:&quot;&quot;,&quot;non-dropping-particle&quot;:&quot;&quot;},{&quot;family&quot;:&quot;Meghen&quot;,&quot;given&quot;:&quot;K&quot;,&quot;parse-names&quot;:false,&quot;dropping-particle&quot;:&quot;&quot;,&quot;non-dropping-particle&quot;:&quot;&quot;},{&quot;family&quot;:&quot;Saadeh&quot;,&quot;given&quot;:&quot;F A&quot;,&quot;parse-names&quot;:false,&quot;dropping-particle&quot;:&quot;&quot;,&quot;non-dropping-particle&quot;:&quot;&quot;},{&quot;family&quot;:&quot;Gleeson&quot;,&quot;given&quot;:&quot;N&quot;,&quot;parse-names&quot;:false,&quot;dropping-particle&quot;:&quot;&quot;,&quot;non-dropping-particle&quot;:&quot;&quot;}],&quot;container-title&quot;:&quot;Eur J Gynaecol Oncol&quot;,&quot;PMID&quot;:&quot;24984533&quot;,&quot;issued&quot;:{&quot;date-parts&quot;:[[2014]]},&quot;page&quot;:&quot;230-235&quot;,&quot;abstract&quot;:&quot;Surgery is the mainstay of treatment for vulvar cancer. FIGO staging requires histopathological detail of the primary tumor and inguinofemoral lymph nodes but groin node dissection carries a substantial risk of short and long-term morbidity. The trend in current practice is towards sentinel lymphadenectomy for cancers with a low risk of metastases. Full lymphadenectomy is undertaken if the sentinel lymph node contains metastasis. The predictive value of 18F-FDG-PET in preoperative assessment of the groin in vulvar squamous cancer was assessed in retrospect at a single institution. A period of three years prior to the introduction of sentinel lymph node mapping was chosen in order to have full histopathological assessment of inguinal and femoral lymph nodes available as the gold standard for correlation with positron emission tomography-computerized tomography (PET-CT) to determine the accuracy of the enhanced radiological technique. In patients with histologically proven metastases to groin nodes, comparisons between PET-CT positive (True-positive/TP) and negative (False-negative/FN) groups vis-à-vis histology showed a tendency towards higher FDG avidity in the vulvar lesions, more bilateral nodes, multiple metastases, larger metastases and more extra-capsular extension in the TP group. Calculations per patient for PET-CT yielded a sensitivity of 50% and specificity at 100%. The positive predictive value (PPV) was 100% and the negative predictive value (NPV) was 57.1%. The test accuracy was 70% per patient. The high positive predictive value of PET-CT can be used to advance treatment planning prior to surgical staging of patients identified with Stage III disease. The poor sensitivity makes it unsuitable as a substitute for staging lymphadenectomy.&quot;,&quot;issue&quot;:&quot;3&quot;,&quot;volume&quot;:&quot;35&quot;},&quot;isTemporary&quot;:false},{&quot;id&quot;:&quot;d200cf59-cba9-3d94-b0f3-4a1d44333b28&quot;,&quot;itemData&quot;:{&quot;type&quot;:&quot;article-journal&quot;,&quot;id&quot;:&quot;d200cf59-cba9-3d94-b0f3-4a1d44333b28&quot;,&quot;title&quot;:&quot;F-18 fluoro-d-glucose (FDG)-positron emission tomography (PET)/computed tomography (CT) in planning of surgery and sentinel lymph node screening in vulvar cancers&quot;,&quot;author&quot;:[{&quot;family&quot;:&quot;Dolanbay&quot;,&quot;given&quot;:&quot;Mehmet&quot;,&quot;parse-names&quot;:false,&quot;dropping-particle&quot;:&quot;&quot;,&quot;non-dropping-particle&quot;:&quot;&quot;},{&quot;family&quot;:&quot;Ozcelik&quot;,&quot;given&quot;:&quot;Bulent&quot;,&quot;parse-names&quot;:false,&quot;dropping-particle&quot;:&quot;&quot;,&quot;non-dropping-particle&quot;:&quot;&quot;},{&quot;family&quot;:&quot;Abdulrezzak&quot;,&quot;given&quot;:&quot;Ummuhan&quot;,&quot;parse-names&quot;:false,&quot;dropping-particle&quot;:&quot;&quot;,&quot;non-dropping-particle&quot;:&quot;&quot;},{&quot;family&quot;:&quot;Serin&quot;,&quot;given&quot;:&quot;Ibrahim Serdar&quot;,&quot;parse-names&quot;:false,&quot;dropping-particle&quot;:&quot;&quot;,&quot;non-dropping-particle&quot;:&quot;&quot;},{&quot;family&quot;:&quot;Kutuk&quot;,&quot;given&quot;:&quot;Mehmet Serdar&quot;,&quot;parse-names&quot;:false,&quot;dropping-particle&quot;:&quot;&quot;,&quot;non-dropping-particle&quot;:&quot;&quot;},{&quot;family&quot;:&quot;Uludag&quot;,&quot;given&quot;:&quot;Semih&quot;,&quot;parse-names&quot;:false,&quot;dropping-particle&quot;:&quot;&quot;,&quot;non-dropping-particle&quot;:&quot;&quot;}],&quot;container-title&quot;:&quot;Arch Gynecol Obstet&quot;,&quot;DOI&quot;:&quot;10.1007/s00404-015-3927-3&quot;,&quot;ISSN&quot;:&quot;14320711&quot;,&quot;PMID&quot;:&quot;26498604&quot;,&quot;issued&quot;:{&quot;date-parts&quot;:[[2016]]},&quot;page&quot;:&quot;1319-1324&quot;,&quot;abstract&quot;:&quot;Purpose: To determine the effectiveness of FDG-PET/CT in the assessment of inguinofemoral lymph node (IFLN) in patients with vulvar cancer by comparing FDG-PET/CT results, sentinel lymph node (SLN) screening with gamma probe, and the results of frozen section and definitive pathology in these lymph nodes. Study design: This prospective study included eight patients, who were diagnosed with vulvar cancer at the Gynecology and Obstetrics Department of Erciyes University, Turkey. All patients underwent FDG-PET/CT before surgery. Local excision and IFLN dissection were planned by assessing IFLN involvement with SLN screening with Tc-99m nanocolloid plus frozen section. Intraoperatively, SLN screening was performed by using a gamma probe, and these lymph nodes were excised and then evaluated by frozen section. Regardless of the frozen section results, the IFLNs were totally excised. The FDG-PET/CT scan results, SLN plus frozen section results and definitive pathology results of the inguinal lymph nodes were compared. Results: The mean age was 64.50 ± 13.25 years (min–max 43–79 years). All tumors were squamous cell carcinomas. FDG-PET/CT scan determined vulvar lesions accurately in all patients (8/8; 100 %). When inguinal lymph nodes were assessed by FDG uptake and SUVmax values, lymph nodes were interpreted as reactive in four patients (4/8; 50 %) and metastatic in the others (4/8; 50 %). In all patients frozen section confirmed the FDG-PET–CT results and definitive histopathology results confirmed the frozen section and FDG-PET–CT results (8/8; 100 %). Conclusions: In light of these data, FDG-PET/CT scanning is an effective method for the detection of primary tumor in vulvar cancer. Although it seems to be an effective method for the detection of IFLN metastasis, these findings must be supported by further studies with larger sample size for use in the planning of primary surgery and inguinal lymph node dissection without SLN dissection and frozen section, as a minimal invasive method.&quot;,&quot;issue&quot;:&quot;6&quot;,&quot;volume&quot;:&quot;293&quot;},&quot;isTemporary&quot;:false},{&quot;id&quot;:&quot;e9ab3b97-6138-3525-b28a-a21aac9aca65&quot;,&quot;itemData&quot;:{&quot;type&quot;:&quot;article-journal&quot;,&quot;id&quot;:&quot;e9ab3b97-6138-3525-b28a-a21aac9aca65&quot;,&quot;title&quot;:&quot;The impact of FDG-PET/CT in the management of patients with vulvar and vaginal cancer&quot;,&quot;author&quot;:[{&quot;family&quot;:&quot;Robertson&quot;,&quot;given&quot;:&quot;N. L.&quot;,&quot;parse-names&quot;:false,&quot;dropping-particle&quot;:&quot;&quot;,&quot;non-dropping-particle&quot;:&quot;&quot;},{&quot;family&quot;:&quot;Hricak&quot;,&quot;given&quot;:&quot;H.&quot;,&quot;parse-names&quot;:false,&quot;dropping-particle&quot;:&quot;&quot;,&quot;non-dropping-particle&quot;:&quot;&quot;},{&quot;family&quot;:&quot;Sonoda&quot;,&quot;given&quot;:&quot;Y.&quot;,&quot;parse-names&quot;:false,&quot;dropping-particle&quot;:&quot;&quot;,&quot;non-dropping-particle&quot;:&quot;&quot;},{&quot;family&quot;:&quot;Sosa&quot;,&quot;given&quot;:&quot;R. E.&quot;,&quot;parse-names&quot;:false,&quot;dropping-particle&quot;:&quot;&quot;,&quot;non-dropping-particle&quot;:&quot;&quot;},{&quot;family&quot;:&quot;Benz&quot;,&quot;given&quot;:&quot;M.&quot;,&quot;parse-names&quot;:false,&quot;dropping-particle&quot;:&quot;&quot;,&quot;non-dropping-particle&quot;:&quot;&quot;},{&quot;family&quot;:&quot;Lyons&quot;,&quot;given&quot;:&quot;G.&quot;,&quot;parse-names&quot;:false,&quot;dropping-particle&quot;:&quot;&quot;,&quot;non-dropping-particle&quot;:&quot;&quot;},{&quot;family&quot;:&quot;Abu-Rustum&quot;,&quot;given&quot;:&quot;N. R.&quot;,&quot;parse-names&quot;:false,&quot;dropping-particle&quot;:&quot;&quot;,&quot;non-dropping-particle&quot;:&quot;&quot;},{&quot;family&quot;:&quot;Sala&quot;,&quot;given&quot;:&quot;E.&quot;,&quot;parse-names&quot;:false,&quot;dropping-particle&quot;:&quot;&quot;,&quot;non-dropping-particle&quot;:&quot;&quot;},{&quot;family&quot;:&quot;Vargas&quot;,&quot;given&quot;:&quot;H. A.&quot;,&quot;parse-names&quot;:false,&quot;dropping-particle&quot;:&quot;&quot;,&quot;non-dropping-particle&quot;:&quot;&quot;}],&quot;container-title&quot;:&quot;Gynecol Oncol&quot;,&quot;DOI&quot;:&quot;10.1016/j.ygyno.2016.01.011&quot;,&quot;ISSN&quot;:&quot;10956859&quot;,&quot;PMID&quot;:&quot;26790773&quot;,&quot;issued&quot;:{&quot;date-parts&quot;:[[2016]]},&quot;page&quot;:&quot;420-424&quot;,&quot;abstract&quot;:&quot;Objectives To evaluate the changes in prognostic impression and patient management following PET/CT in patients with vulvar and vaginal carcinoma; and to compare PET/CT findings with those of conventional imaging modalities. Methods We summarized prospectively and retrospectively collected data for 50 consecutive patients from our institution that enrolled in the National Oncologic PET Registry and underwent FDG-PET/CT for a suspected or known primary or recurrent vulvar/vaginal cancer. Results 54/83 (65%) studies included had a diagnosis of vulvar cancer, and the remaining 29/83 (35%), a diagnosis of vaginal cancer. Following FDG-PET/CT, the physician's prognostic impression changed in 51% of cases. A change in patient management, defined as a change to/from a non-interventional strategy (observation or additional imaging), to/from an interventional strategy (biopsy or treatment), was documented in 36% of studies. The electronic records demonstrated that 95% of the management strategies recorded in the physician questionnaires were implemented as planned. MRI and/or CT were performed within one month of the FDG-PET/CT in 20/83 (24%) and 28/83 (34%) cases, respectively. FDG-PET/CT detected nodes suspicious for metastases on 29/83 (35%) studies performed. MRI and CT detected positive nodes on 6 and 11 studies respectively. Distant metastases were identified in 10 cases imaged with FDG-PET and 5 cases that had additional conventional CT imaging. All suspicious lesions seen on CT were positively identified on PET/CT. In 4 cases, an abnormality identified on PET/CT, was not seen on diagnostic CT. Conclusions FDG-PET/CT may play an important role in the management of vulvar and vaginal carcinoma.&quot;,&quot;issue&quot;:&quot;3&quot;,&quot;volume&quot;:&quot;140&quot;},&quot;isTemporary&quot;:false},{&quot;id&quot;:&quot;bd15acea-f107-3f69-ae16-ec11ecc0a657&quot;,&quot;itemData&quot;:{&quot;type&quot;:&quot;article-journal&quot;,&quot;id&quot;:&quot;bd15acea-f107-3f69-ae16-ec11ecc0a657&quot;,&quot;title&quot;:&quot;Groin sentinel node biopsy and 18F-FDG PET/CT-supported preoperative lymph node assessment in cN0 patients with vulvar cancer currently unfit for minimally invasive inguinal surgery: The GroSNaPET study&quot;,&quot;author&quot;:[{&quot;family&quot;:&quot;Garganese&quot;,&quot;given&quot;:&quot;G.&quot;,&quot;parse-names&quot;:false,&quot;dropping-particle&quot;:&quot;&quot;,&quot;non-dropping-particle&quot;:&quot;&quot;},{&quot;family&quot;:&quot;Collarino&quot;,&quot;given&quot;:&quot;A.&quot;,&quot;parse-names&quot;:false,&quot;dropping-particle&quot;:&quot;&quot;,&quot;non-dropping-particle&quot;:&quot;&quot;},{&quot;family&quot;:&quot;Fragomeni&quot;,&quot;given&quot;:&quot;S. M.&quot;,&quot;parse-names&quot;:false,&quot;dropping-particle&quot;:&quot;&quot;,&quot;non-dropping-particle&quot;:&quot;&quot;},{&quot;family&quot;:&quot;Rufini&quot;,&quot;given&quot;:&quot;V.&quot;,&quot;parse-names&quot;:false,&quot;dropping-particle&quot;:&quot;&quot;,&quot;non-dropping-particle&quot;:&quot;&quot;},{&quot;family&quot;:&quot;Perotti&quot;,&quot;given&quot;:&quot;G.&quot;,&quot;parse-names&quot;:false,&quot;dropping-particle&quot;:&quot;&quot;,&quot;non-dropping-particle&quot;:&quot;&quot;},{&quot;family&quot;:&quot;Gentileschi&quot;,&quot;given&quot;:&quot;S.&quot;,&quot;parse-names&quot;:false,&quot;dropping-particle&quot;:&quot;&quot;,&quot;non-dropping-particle&quot;:&quot;&quot;},{&quot;family&quot;:&quot;Evangelista&quot;,&quot;given&quot;:&quot;M. T.&quot;,&quot;parse-names&quot;:false,&quot;dropping-particle&quot;:&quot;&quot;,&quot;non-dropping-particle&quot;:&quot;&quot;},{&quot;family&quot;:&quot;Ieria&quot;,&quot;given&quot;:&quot;F. P.&quot;,&quot;parse-names&quot;:false,&quot;dropping-particle&quot;:&quot;&quot;,&quot;non-dropping-particle&quot;:&quot;&quot;},{&quot;family&quot;:&quot;Zagaria&quot;,&quot;given&quot;:&quot;L.&quot;,&quot;parse-names&quot;:false,&quot;dropping-particle&quot;:&quot;&quot;,&quot;non-dropping-particle&quot;:&quot;&quot;},{&quot;family&quot;:&quot;Bove&quot;,&quot;given&quot;:&quot;S.&quot;,&quot;parse-names&quot;:false,&quot;dropping-particle&quot;:&quot;&quot;,&quot;non-dropping-particle&quot;:&quot;&quot;},{&quot;family&quot;:&quot;Giordano&quot;,&quot;given&quot;:&quot;A.&quot;,&quot;parse-names&quot;:false,&quot;dropping-particle&quot;:&quot;&quot;,&quot;non-dropping-particle&quot;:&quot;&quot;},{&quot;family&quot;:&quot;Scambia&quot;,&quot;given&quot;:&quot;G.&quot;,&quot;parse-names&quot;:false,&quot;dropping-particle&quot;:&quot;&quot;,&quot;non-dropping-particle&quot;:&quot;&quot;}],&quot;container-title&quot;:&quot;Eur J Surg Oncol&quot;,&quot;DOI&quot;:&quot;10.1016/j.ejso.2017.06.018&quot;,&quot;ISSN&quot;:&quot;15322157&quot;,&quot;PMID&quot;:&quot;28751058&quot;,&quot;issued&quot;:{&quot;date-parts&quot;:[[2017]]},&quot;page&quot;:&quot;1776-1783&quot;,&quot;abstract&quot;:&quot;Objective The study aims were: 1) to verify the role of sentinel node biopsy (SNB) in a subset of patients with clinical N0 (cN0) invasive vulvar cancer (VC) who were still candidates for radical inguinal surgery according to the current guidelines; 2) to investigate whether a preoperative 18F-FDG PET/CT (PET/CT) evaluation could improve the selection of node negative patients. Methods From July 2013 to July 2016, all patients with VC admitted to our Division were evaluated by standard imaging and clinical exam. Among the patients assessed as cN0 we enrolled those unsuitable for SNB, due to: T &gt; 4 cm, multifocal tumors, complete tumor diagnostic excision, contralateral nodal involvement and local recurrence. A preoperative PET/CT was performed. For each patient surgery included SNB, performed using a combined technique (radiotracer plus blue dye), followed by standard inguino-femoral lymphadenectomy. The reference standard was histopathology. Results Forty-seven patients entered the study for a total of 73 groins. Histopathology revealed 12 metastatic SNs in 9 groins. No false negative SNs were found (NPV 100%). PET/CT showed a negative predictive value of 93%. Conclusions Our data suggest that SNB is accurate and safe even in cN0 patients currently excluded from this procedure, providing that a careful preoperative selection is performed. PET/CT allows a reliable assessment of LN status and may be an effective support for the selection of patients who are safe candidates for SNB.&quot;,&quot;issue&quot;:&quot;9&quot;,&quot;volume&quot;:&quot;43&quot;},&quot;isTemporary&quot;:false},{&quot;id&quot;:&quot;fcbe0160-5596-3116-841d-0ecedc0fd700&quot;,&quot;itemData&quot;:{&quot;type&quot;:&quot;article-journal&quot;,&quot;id&quot;:&quot;fcbe0160-5596-3116-841d-0ecedc0fd700&quot;,&quot;title&quot;:&quot;18F-FDG PET/CT in preoperative staging of vulvar cancer patients: is it really effective?&quot;,&quot;author&quot;:[{&quot;family&quot;:&quot;Crivellaro&quot;,&quot;given&quot;:&quot;Cinzia&quot;,&quot;parse-names&quot;:false,&quot;dropping-particle&quot;:&quot;&quot;,&quot;non-dropping-particle&quot;:&quot;&quot;},{&quot;family&quot;:&quot;Guglielmo&quot;,&quot;given&quot;:&quot;Priscilla&quot;,&quot;parse-names&quot;:false,&quot;dropping-particle&quot;:&quot;&quot;,&quot;non-dropping-particle&quot;:&quot;&quot;},{&quot;family&quot;:&quot;Ponti&quot;,&quot;given&quot;:&quot;Elena&quot;,&quot;parse-names&quot;:false,&quot;dropping-particle&quot;:&quot;&quot;,&quot;non-dropping-particle&quot;:&quot;de&quot;},{&quot;family&quot;:&quot;Elisei&quot;,&quot;given&quot;:&quot;Federica&quot;,&quot;parse-names&quot;:false,&quot;dropping-particle&quot;:&quot;&quot;,&quot;non-dropping-particle&quot;:&quot;&quot;},{&quot;family&quot;:&quot;Guerra&quot;,&quot;given&quot;:&quot;Luca&quot;,&quot;parse-names&quot;:false,&quot;dropping-particle&quot;:&quot;&quot;,&quot;non-dropping-particle&quot;:&quot;&quot;},{&quot;family&quot;:&quot;Magni&quot;,&quot;given&quot;:&quot;Sonia&quot;,&quot;parse-names&quot;:false,&quot;dropping-particle&quot;:&quot;&quot;,&quot;non-dropping-particle&quot;:&quot;&quot;},{&quot;family&quot;:&quot;Manna&quot;,&quot;given&quot;:&quot;Maria&quot;,&quot;parse-names&quot;:false,&quot;dropping-particle&quot;:&quot;la&quot;,&quot;non-dropping-particle&quot;:&quot;&quot;},{&quot;family&quot;:&quot;Martino&quot;,&quot;given&quot;:&quot;Giampaolo&quot;,&quot;parse-names&quot;:false,&quot;dropping-particle&quot;:&quot;di&quot;,&quot;non-dropping-particle&quot;:&quot;&quot;},{&quot;family&quot;:&quot;Landoni&quot;,&quot;given&quot;:&quot;Claudio&quot;,&quot;parse-names&quot;:false,&quot;dropping-particle&quot;:&quot;&quot;,&quot;non-dropping-particle&quot;:&quot;&quot;},{&quot;family&quot;:&quot;Buda&quot;,&quot;given&quot;:&quot;Alessandro&quot;,&quot;parse-names&quot;:false,&quot;dropping-particle&quot;:&quot;&quot;,&quot;non-dropping-particle&quot;:&quot;&quot;}],&quot;container-title&quot;:&quot;Medicine (Baltimore)&quot;,&quot;DOI&quot;:&quot;10.1097/MD.0000000000007943&quot;,&quot;issued&quot;:{&quot;date-parts&quot;:[[2017]]},&quot;page&quot;:&quot;e7943&quot;,&quot;abstract&quot;:&quot;The aim of this study was to assess the role of 18F-FDG PET/CT in preoperative staging of vulvar cancer patients. 29 pts (69 years, range 51-88) with vulvar cancer (clinical apparent stage I-II), underwent preoperative FDG-PET/CT scan followed by radical vulvectomy and bilateral (or monolateral in case of tumor &gt;2 cm from midline) inguinal lymphadenectomy ± sentinel node biopsy. PET/CT images were analyzed in consensus and correlated to histological findings according to a pt-based and a groin-based analyses. SUV max of the nodal uptake of each inguinal area (if present) was calculated and correlated to histological findings. The presence of distant metastases was also considered and confirmed. PET/CT analysis in consensus resulted negative at the inguinal LN level in 17 pts (10 true negative, 7 false negative) and positive in 12 pts (7 true positive, 5 false positive). Incidence of LN metastases resulted 48%. On pt-based analysis, sensitivity, specificity, accuracy, and negative and positive predictive value of PET/CT in detecting LN metastases were 50%, 67%, 59%, 59%, and 58%, respectively. On a groin-based analysis, considering overall 50 LN-sites, sensitivity, specificity, accuracy, and negative and positive predictive value of PET/CT were 53%, 85%, 73%, 67%, and 76%, respectively. The mean value of SUV max was 6.1 (range 0.7-16.2) for metastatic nodes, whereas 1.6 (range 0.7-5.4) for negative lymph-nodes (P = .007). PET/CT detected pelvic (n = 1) and both pelvic/paraortic (n = 1) nodal metastases. In clinical early stage vulvar cancer FDG PET/CT showed low sensitivity and moderate specificity for N-staging; therefore, it is not an accurate tool for the nodal status assessment. PET/CT may not be cost-effective in detecting the rare event of distant metastases, but further studies are needed. Abbreviations: CT = computed tomography, FDG = fluoro-deoxy-glucose, LN = lymph-node, PET = positron emission tomography, SLN = sentinel lymph-node, SUV = standardized uptake value.&quot;,&quot;volume&quot;:&quot;96&quot;},&quot;isTemporary&quot;:false},{&quot;id&quot;:&quot;410baddd-2fdb-39a1-ba18-ef6048174b6d&quot;,&quot;itemData&quot;:{&quot;type&quot;:&quot;article-journal&quot;,&quot;id&quot;:&quot;410baddd-2fdb-39a1-ba18-ef6048174b6d&quot;,&quot;title&quot;:&quot;Evaluation of dual-timepoint 18F-FDG PET/CT imaging for lymph node staging in vulvar cancer&quot;,&quot;author&quot;:[{&quot;family&quot;:&quot;Collarino&quot;,&quot;given&quot;:&quot;Angela&quot;,&quot;parse-names&quot;:false,&quot;dropping-particle&quot;:&quot;&quot;,&quot;non-dropping-particle&quot;:&quot;&quot;},{&quot;family&quot;:&quot;Garganese&quot;,&quot;given&quot;:&quot;Giorgia&quot;,&quot;parse-names&quot;:false,&quot;dropping-particle&quot;:&quot;&quot;,&quot;non-dropping-particle&quot;:&quot;&quot;},{&quot;family&quot;:&quot;Olmos&quot;,&quot;given&quot;:&quot;Renato A.Valdés&quot;,&quot;parse-names&quot;:false,&quot;dropping-particle&quot;:&quot;&quot;,&quot;non-dropping-particle&quot;:&quot;&quot;},{&quot;family&quot;:&quot;Stefanelli&quot;,&quot;given&quot;:&quot;Antonella&quot;,&quot;parse-names&quot;:false,&quot;dropping-particle&quot;:&quot;&quot;,&quot;non-dropping-particle&quot;:&quot;&quot;},{&quot;family&quot;:&quot;Perotti&quot;,&quot;given&quot;:&quot;Germano&quot;,&quot;parse-names&quot;:false,&quot;dropping-particle&quot;:&quot;&quot;,&quot;non-dropping-particle&quot;:&quot;&quot;},{&quot;family&quot;:&quot;Mirk&quot;,&quot;given&quot;:&quot;Paoletta&quot;,&quot;parse-names&quot;:false,&quot;dropping-particle&quot;:&quot;&quot;,&quot;non-dropping-particle&quot;:&quot;&quot;},{&quot;family&quot;:&quot;Fragomeni&quot;,&quot;given&quot;:&quot;Simona M.&quot;,&quot;parse-names&quot;:false,&quot;dropping-particle&quot;:&quot;&quot;,&quot;non-dropping-particle&quot;:&quot;&quot;},{&quot;family&quot;:&quot;Ieria&quot;,&quot;given&quot;:&quot;Francesco P.&quot;,&quot;parse-names&quot;:false,&quot;dropping-particle&quot;:&quot;&quot;,&quot;non-dropping-particle&quot;:&quot;&quot;},{&quot;family&quot;:&quot;Scambia&quot;,&quot;given&quot;:&quot;Giovanni&quot;,&quot;parse-names&quot;:false,&quot;dropping-particle&quot;:&quot;&quot;,&quot;non-dropping-particle&quot;:&quot;&quot;},{&quot;family&quot;:&quot;Giordano&quot;,&quot;given&quot;:&quot;Alessandro&quot;,&quot;parse-names&quot;:false,&quot;dropping-particle&quot;:&quot;&quot;,&quot;non-dropping-particle&quot;:&quot;&quot;},{&quot;family&quot;:&quot;Rufini&quot;,&quot;given&quot;:&quot;Vittoria&quot;,&quot;parse-names&quot;:false,&quot;dropping-particle&quot;:&quot;&quot;,&quot;non-dropping-particle&quot;:&quot;&quot;}],&quot;container-title&quot;:&quot;J Nucl Med&quot;,&quot;DOI&quot;:&quot;10.2967/jnumed.117.194332&quot;,&quot;ISSN&quot;:&quot;2159662X&quot;,&quot;PMID&quot;:&quot;28546331&quot;,&quot;issued&quot;:{&quot;date-parts&quot;:[[2017]]},&quot;page&quot;:&quot;1913-1918&quot;,&quot;abstract&quot;:&quot;This study aimed to assess the value of dual-timepoint 18F-FDG PET/CT in the prediction of lymph node (LN) status in patients with invasive vulvar cancer (VC) scheduled for inguinofemoral LN dissection. Methods: From April 2013 to July 2015, all consecutive patients with VC scheduled for inguinofemoral LN dissection were prospectively enrolled. All patients underwent a preoperative whole-body 18F-FDG PET/CT scan at 1 h (standard examination) and an additional scan from T11 to the groins at 3 h (delayed examination) after 18F-FDG injection. On both scans, each groin was visually scored 0 or 1 concerning 18F-FDG LN uptake relative to background. Semiquantitative analysis included SUVmax and the corresponding retention index of SUVmax, measured on both scans. The optimal cutoff value of these parameters was defined using a receiveroperating- characteristic analysis. Histopathology was the standard of reference. Results: Thirty-three patients were included, with a total of 57 groins dissected and histologically evaluated. At histopathology, 21 of 57 (37%) groins contained metastatic LNs. Concerning visual score, sensitivity, specificity, negative predictive value, positive predictive value, and accuracy were 95.2%, 75%, 96.4%, 69%, and 82.5% on standard scanning and 95.2%, 77.8%, 96.6%, 71.4%, and 84.2% on delayed scanning, respectively. At receiver-operating-characteristic analysis, sensitivity and specificity were 95.2% and 77.8% on standard and delayed 18F-FDG PET/CT for an SUVmax cutoff of greater than 1.32 and 1.88, respectively, and 95.2% and 80% for a retention index of SUVmax cutoff of greater than 0. Conclusion: Standard 18F-FDG PET/CT is an effective preoperative imaging method for the prediction of LN status in VC, allowing the prediction of pathologically negative groins and thus the selection of patients suitable for minimally invasive surgery. Delayed 18F-FDG PET/CT did not improve the specificity and the positive predictive value in our series. Larger studies are needed for a further validation.&quot;,&quot;issue&quot;:&quot;12&quot;,&quot;volume&quot;:&quot;58&quot;},&quot;isTemporary&quot;:false},{&quot;id&quot;:&quot;19c61e3f-9655-3ecf-8ef3-143831888444&quot;,&quot;itemData&quot;:{&quot;type&quot;:&quot;article-journal&quot;,&quot;id&quot;:&quot;19c61e3f-9655-3ecf-8ef3-143831888444&quot;,&quot;title&quot;:&quot;Positron emission tomography-computed tomography for inguinal nodes in vulvar cancer&quot;,&quot;author&quot;:[{&quot;family&quot;:&quot;Oldan&quot;,&quot;given&quot;:&quot;JorgeDaniel&quot;,&quot;parse-names&quot;:false,&quot;dropping-particle&quot;:&quot;&quot;,&quot;non-dropping-particle&quot;:&quot;&quot;},{&quot;family&quot;:&quot;Sullivan&quot;,&quot;given&quot;:&quot;StephanieA&quot;,&quot;parse-names&quot;:false,&quot;dropping-particle&quot;:&quot;&quot;,&quot;non-dropping-particle&quot;:&quot;&quot;}],&quot;container-title&quot;:&quot;World J Nucl Med&quot;,&quot;DOI&quot;:&quot;10.4103/wjnm.wjnm_32_17&quot;,&quot;ISSN&quot;:&quot;1450-1147&quot;,&quot;issued&quot;:{&quot;date-parts&quot;:[[2018]]},&quot;page&quot;:&quot;139&quot;,&quot;abstract&quot;:&quot;We aimed to determine the sensitivity and specificity of fluorodeoxyglucose (FDG) positron emission tomography-computed tomography (PET-CT) for the spread of disease to inguinal lymph nodes in vulvar cancer. A retrospective review of vulvar cancer patients who underwent both inguinal nodal sampling and dissection as well as FDG PET-CT was performed, with 21 patients meeting criteria. The sensitivity and specificity of the FDG PET-CT imaging was performed using a combination of maximum standardized uptake value (SUVmax), metabolic tumor volume (MTV), and total lesion glycolysis (TLG). Using an SUVmaxcutoff of 4.5 or of two times the average liver uptake, we had a 100% sensitivity and 89% specificity for positive inguinal nodes. MTV and TLG did not add to sensitivity or specificity. We conclude that FDG PET-CT has good sensitivity for inguinal nodal spread in vulvar cancer, and either a quantitative or semiquantitative approach is effective.&quot;,&quot;issue&quot;:&quot;3&quot;,&quot;volume&quot;:&quot;17&quot;},&quot;isTemporary&quot;:false},{&quot;id&quot;:&quot;1424ea5f-b367-393d-a648-27f7ddbe7e3c&quot;,&quot;itemData&quot;:{&quot;type&quot;:&quot;article-journal&quot;,&quot;id&quot;:&quot;1424ea5f-b367-393d-a648-27f7ddbe7e3c&quot;,&quot;title&quot;:&quot;Radiomics in vulvar cancer: First clinical experience using 18 F-FDG PET/CT images&quot;,&quot;author&quot;:[{&quot;family&quot;:&quot;Collarino&quot;,&quot;given&quot;:&quot;Angela&quot;,&quot;parse-names&quot;:false,&quot;dropping-particle&quot;:&quot;&quot;,&quot;non-dropping-particle&quot;:&quot;&quot;},{&quot;family&quot;:&quot;Garganese&quot;,&quot;given&quot;:&quot;Giorgia&quot;,&quot;parse-names&quot;:false,&quot;dropping-particle&quot;:&quot;&quot;,&quot;non-dropping-particle&quot;:&quot;&quot;},{&quot;family&quot;:&quot;Fragomeni&quot;,&quot;given&quot;:&quot;Simona M.&quot;,&quot;parse-names&quot;:false,&quot;dropping-particle&quot;:&quot;&quot;,&quot;non-dropping-particle&quot;:&quot;&quot;},{&quot;family&quot;:&quot;Pereira Arias-Bouda&quot;,&quot;given&quot;:&quot;Lenka M.&quot;,&quot;parse-names&quot;:false,&quot;dropping-particle&quot;:&quot;&quot;,&quot;non-dropping-particle&quot;:&quot;&quot;},{&quot;family&quot;:&quot;Ieria&quot;,&quot;given&quot;:&quot;Francesco P.&quot;,&quot;parse-names&quot;:false,&quot;dropping-particle&quot;:&quot;&quot;,&quot;non-dropping-particle&quot;:&quot;&quot;},{&quot;family&quot;:&quot;Boellaard&quot;,&quot;given&quot;:&quot;Ronald&quot;,&quot;parse-names&quot;:false,&quot;dropping-particle&quot;:&quot;&quot;,&quot;non-dropping-particle&quot;:&quot;&quot;},{&quot;family&quot;:&quot;Rufini&quot;,&quot;given&quot;:&quot;Vittoria&quot;,&quot;parse-names&quot;:false,&quot;dropping-particle&quot;:&quot;&quot;,&quot;non-dropping-particle&quot;:&quot;&quot;},{&quot;family&quot;:&quot;Geus-Oei&quot;,&quot;given&quot;:&quot;Lioe Fee&quot;,&quot;parse-names&quot;:false,&quot;dropping-particle&quot;:&quot;&quot;,&quot;non-dropping-particle&quot;:&quot;de&quot;},{&quot;family&quot;:&quot;Scambia&quot;,&quot;given&quot;:&quot;Giovanni&quot;,&quot;parse-names&quot;:false,&quot;dropping-particle&quot;:&quot;&quot;,&quot;non-dropping-particle&quot;:&quot;&quot;},{&quot;family&quot;:&quot;Valdés Olmos&quot;,&quot;given&quot;:&quot;Renato A.&quot;,&quot;parse-names&quot;:false,&quot;dropping-particle&quot;:&quot;&quot;,&quot;non-dropping-particle&quot;:&quot;&quot;},{&quot;family&quot;:&quot;Giordano&quot;,&quot;given&quot;:&quot;Alessandro&quot;,&quot;parse-names&quot;:false,&quot;dropping-particle&quot;:&quot;&quot;,&quot;non-dropping-particle&quot;:&quot;&quot;},{&quot;family&quot;:&quot;Grootjans&quot;,&quot;given&quot;:&quot;Willem&quot;,&quot;parse-names&quot;:false,&quot;dropping-particle&quot;:&quot;&quot;,&quot;non-dropping-particle&quot;:&quot;&quot;},{&quot;family&quot;:&quot;Velden&quot;,&quot;given&quot;:&quot;Floris H.P.&quot;,&quot;parse-names&quot;:false,&quot;dropping-particle&quot;:&quot;&quot;,&quot;non-dropping-particle&quot;:&quot;van&quot;}],&quot;container-title&quot;:&quot;J Nucl Med&quot;,&quot;DOI&quot;:&quot;10.2967/jnumed.118.215889&quot;,&quot;ISSN&quot;:&quot;2159662X&quot;,&quot;issued&quot;:{&quot;date-parts&quot;:[[2019]]},&quot;page&quot;:&quot;199-206&quot;,&quot;abstract&quot;:&quot;This study investigated whether radiomic features derived from preoperative PET images could predict both tumor biology and prognosis in women with invasive squamous cell carcinoma of the vulva. Methods: Patients were retrospectively included if they had a unifocal primary cancer at least 2.6 cm in diameter, received a preoperative 18 F-FDG PET/CT scan followed by surgery, and had at least 6 mo of follow-up data. 18 F-FDG PET images were analyzed by semiautomatically drawing a volume of interest on the primary tumor in each PET image, followed by extraction of 83 radiomic features. Unique radiomic features were identified by principal-component analysis (PCA), after which they were compared with histopathology using nonpairwise group comparison and linear regression. Univariate and multivariate Cox regression analyses were used to correlate the identified features with progression-free survival (PFS) and overall survival (OS). Survival curves were estimated using the Kaplan–Meier method. Results: Forty women were included. PCA revealed 4 unique radiomic features, which were not associated with histopathologic characteristics such as grade, depth of invasion, lymph-vascular space invasion, and metastatic lymph nodes. No statistically significant correlation was found between the identified features and PFS. However, Moran’s I, a feature that identifies global spatial autocorrelation, correlated with OS (P 5 0.03). Multivariate Cox regression analysis showed that extracapsular invasion of the metastatic lymph nodes and Moran’s I were independent prognostic factors for PFS and OS. Conclusion: Our data show that PCA is usable to identify specific radiomic features. Although the identified features did not correlate strongly with tumor biology, Moran’s I was found to predict patient prognosis. Larger studies are required to establish the clinical relevance of the observed findings.&quot;,&quot;issue&quot;:&quot;2&quot;,&quot;volume&quot;:&quot;60&quot;},&quot;isTemporary&quot;:false}],&quot;properties&quot;:{&quot;noteIndex&quot;:0},&quot;isEdited&quot;:true,&quot;manualOverride&quot;:{&quot;isManuallyOverriden&quot;:false,&quot;citeprocText&quot;:&quot;[12–21]&quot;,&quot;manualOverrideText&quot;:&quot;&quot;}},{&quot;citationID&quot;:&quot;MENDELEY_CITATION_835e554a-86c7-42fd-8f3f-19e05d67e921&quot;,&quot;citationItems&quot;:[{&quot;id&quot;:&quot;bd15acea-f107-3f69-ae16-ec11ecc0a657&quot;,&quot;itemData&quot;:{&quot;type&quot;:&quot;article-journal&quot;,&quot;id&quot;:&quot;bd15acea-f107-3f69-ae16-ec11ecc0a657&quot;,&quot;title&quot;:&quot;Groin sentinel node biopsy and 18F-FDG PET/CT-supported preoperative lymph node assessment in cN0 patients with vulvar cancer currently unfit for minimally invasive inguinal surgery: The GroSNaPET study&quot;,&quot;author&quot;:[{&quot;family&quot;:&quot;Garganese&quot;,&quot;given&quot;:&quot;G.&quot;,&quot;parse-names&quot;:false,&quot;dropping-particle&quot;:&quot;&quot;,&quot;non-dropping-particle&quot;:&quot;&quot;},{&quot;family&quot;:&quot;Collarino&quot;,&quot;given&quot;:&quot;A.&quot;,&quot;parse-names&quot;:false,&quot;dropping-particle&quot;:&quot;&quot;,&quot;non-dropping-particle&quot;:&quot;&quot;},{&quot;family&quot;:&quot;Fragomeni&quot;,&quot;given&quot;:&quot;S. M.&quot;,&quot;parse-names&quot;:false,&quot;dropping-particle&quot;:&quot;&quot;,&quot;non-dropping-particle&quot;:&quot;&quot;},{&quot;family&quot;:&quot;Rufini&quot;,&quot;given&quot;:&quot;V.&quot;,&quot;parse-names&quot;:false,&quot;dropping-particle&quot;:&quot;&quot;,&quot;non-dropping-particle&quot;:&quot;&quot;},{&quot;family&quot;:&quot;Perotti&quot;,&quot;given&quot;:&quot;G.&quot;,&quot;parse-names&quot;:false,&quot;dropping-particle&quot;:&quot;&quot;,&quot;non-dropping-particle&quot;:&quot;&quot;},{&quot;family&quot;:&quot;Gentileschi&quot;,&quot;given&quot;:&quot;S.&quot;,&quot;parse-names&quot;:false,&quot;dropping-particle&quot;:&quot;&quot;,&quot;non-dropping-particle&quot;:&quot;&quot;},{&quot;family&quot;:&quot;Evangelista&quot;,&quot;given&quot;:&quot;M. T.&quot;,&quot;parse-names&quot;:false,&quot;dropping-particle&quot;:&quot;&quot;,&quot;non-dropping-particle&quot;:&quot;&quot;},{&quot;family&quot;:&quot;Ieria&quot;,&quot;given&quot;:&quot;F. P.&quot;,&quot;parse-names&quot;:false,&quot;dropping-particle&quot;:&quot;&quot;,&quot;non-dropping-particle&quot;:&quot;&quot;},{&quot;family&quot;:&quot;Zagaria&quot;,&quot;given&quot;:&quot;L.&quot;,&quot;parse-names&quot;:false,&quot;dropping-particle&quot;:&quot;&quot;,&quot;non-dropping-particle&quot;:&quot;&quot;},{&quot;family&quot;:&quot;Bove&quot;,&quot;given&quot;:&quot;S.&quot;,&quot;parse-names&quot;:false,&quot;dropping-particle&quot;:&quot;&quot;,&quot;non-dropping-particle&quot;:&quot;&quot;},{&quot;family&quot;:&quot;Giordano&quot;,&quot;given&quot;:&quot;A.&quot;,&quot;parse-names&quot;:false,&quot;dropping-particle&quot;:&quot;&quot;,&quot;non-dropping-particle&quot;:&quot;&quot;},{&quot;family&quot;:&quot;Scambia&quot;,&quot;given&quot;:&quot;G.&quot;,&quot;parse-names&quot;:false,&quot;dropping-particle&quot;:&quot;&quot;,&quot;non-dropping-particle&quot;:&quot;&quot;}],&quot;container-title&quot;:&quot;Eur J Surg Oncol&quot;,&quot;DOI&quot;:&quot;10.1016/j.ejso.2017.06.018&quot;,&quot;ISSN&quot;:&quot;15322157&quot;,&quot;PMID&quot;:&quot;28751058&quot;,&quot;issued&quot;:{&quot;date-parts&quot;:[[2017]]},&quot;page&quot;:&quot;1776-1783&quot;,&quot;abstract&quot;:&quot;Objective The study aims were: 1) to verify the role of sentinel node biopsy (SNB) in a subset of patients with clinical N0 (cN0) invasive vulvar cancer (VC) who were still candidates for radical inguinal surgery according to the current guidelines; 2) to investigate whether a preoperative 18F-FDG PET/CT (PET/CT) evaluation could improve the selection of node negative patients. Methods From July 2013 to July 2016, all patients with VC admitted to our Division were evaluated by standard imaging and clinical exam. Among the patients assessed as cN0 we enrolled those unsuitable for SNB, due to: T &gt; 4 cm, multifocal tumors, complete tumor diagnostic excision, contralateral nodal involvement and local recurrence. A preoperative PET/CT was performed. For each patient surgery included SNB, performed using a combined technique (radiotracer plus blue dye), followed by standard inguino-femoral lymphadenectomy. The reference standard was histopathology. Results Forty-seven patients entered the study for a total of 73 groins. Histopathology revealed 12 metastatic SNs in 9 groins. No false negative SNs were found (NPV 100%). PET/CT showed a negative predictive value of 93%. Conclusions Our data suggest that SNB is accurate and safe even in cN0 patients currently excluded from this procedure, providing that a careful preoperative selection is performed. PET/CT allows a reliable assessment of LN status and may be an effective support for the selection of patients who are safe candidates for SNB.&quot;,&quot;issue&quot;:&quot;9&quot;,&quot;volume&quot;:&quot;43&quot;},&quot;isTemporary&quot;:false}],&quot;properties&quot;:{&quot;noteIndex&quot;:0},&quot;isEdited&quot;:false,&quot;manualOverride&quot;:{&quot;isManuallyOverriden&quot;:false,&quot;citeprocText&quot;:&quot;[17]&quot;,&quot;manualOverrideText&quot;:&quot;&quot;}},{&quot;citationID&quot;:&quot;MENDELEY_CITATION_0eb14fd3-7507-4d99-a802-6b2e147af2be&quot;,&quot;citationItems&quot;:[{&quot;id&quot;:&quot;6137c130-80e4-370d-9103-4d35cd189f70&quot;,&quot;itemData&quot;:{&quot;type&quot;:&quot;article-journal&quot;,&quot;id&quot;:&quot;6137c130-80e4-370d-9103-4d35cd189f70&quot;,&quot;title&quot;:&quot;FDG PET/CT: EANM procedure guidelines for tumour imaging: version 2.0&quot;,&quot;author&quot;:[{&quot;family&quot;:&quot;Boellaard&quot;,&quot;given&quot;:&quot;Ronald&quot;,&quot;parse-names&quot;:false,&quot;dropping-particle&quot;:&quot;&quot;,&quot;non-dropping-particle&quot;:&quot;&quot;},{&quot;family&quot;:&quot;Delgado-Bolton&quot;,&quot;given&quot;:&quot;Roberto&quot;,&quot;parse-names&quot;:false,&quot;dropping-particle&quot;:&quot;&quot;,&quot;non-dropping-particle&quot;:&quot;&quot;},{&quot;family&quot;:&quot;Oyen&quot;,&quot;given&quot;:&quot;Wim J.G.&quot;,&quot;parse-names&quot;:false,&quot;dropping-particle&quot;:&quot;&quot;,&quot;non-dropping-particle&quot;:&quot;&quot;},{&quot;family&quot;:&quot;Giammarile&quot;,&quot;given&quot;:&quot;Francesco&quot;,&quot;parse-names&quot;:false,&quot;dropping-particle&quot;:&quot;&quot;,&quot;non-dropping-particle&quot;:&quot;&quot;},{&quot;family&quot;:&quot;Tatsch&quot;,&quot;given&quot;:&quot;Klaus&quot;,&quot;parse-names&quot;:false,&quot;dropping-particle&quot;:&quot;&quot;,&quot;non-dropping-particle&quot;:&quot;&quot;},{&quot;family&quot;:&quot;Eschner&quot;,&quot;given&quot;:&quot;Wolfgang&quot;,&quot;parse-names&quot;:false,&quot;dropping-particle&quot;:&quot;&quot;,&quot;non-dropping-particle&quot;:&quot;&quot;},{&quot;family&quot;:&quot;Verzijlbergen&quot;,&quot;given&quot;:&quot;Fred J.&quot;,&quot;parse-names&quot;:false,&quot;dropping-particle&quot;:&quot;&quot;,&quot;non-dropping-particle&quot;:&quot;&quot;},{&quot;family&quot;:&quot;Barrington&quot;,&quot;given&quot;:&quot;Sally F.&quot;,&quot;parse-names&quot;:false,&quot;dropping-particle&quot;:&quot;&quot;,&quot;non-dropping-particle&quot;:&quot;&quot;},{&quot;family&quot;:&quot;Pike&quot;,&quot;given&quot;:&quot;Lucy C.&quot;,&quot;parse-names&quot;:false,&quot;dropping-particle&quot;:&quot;&quot;,&quot;non-dropping-particle&quot;:&quot;&quot;},{&quot;family&quot;:&quot;Weber&quot;,&quot;given&quot;:&quot;Wolfgang A.&quot;,&quot;parse-names&quot;:false,&quot;dropping-particle&quot;:&quot;&quot;,&quot;non-dropping-particle&quot;:&quot;&quot;},{&quot;family&quot;:&quot;Stroobants&quot;,&quot;given&quot;:&quot;Sigrid&quot;,&quot;parse-names&quot;:false,&quot;dropping-particle&quot;:&quot;&quot;,&quot;non-dropping-particle&quot;:&quot;&quot;},{&quot;family&quot;:&quot;Delbeke&quot;,&quot;given&quot;:&quot;Dominique&quot;,&quot;parse-names&quot;:false,&quot;dropping-particle&quot;:&quot;&quot;,&quot;non-dropping-particle&quot;:&quot;&quot;},{&quot;family&quot;:&quot;Donohoe&quot;,&quot;given&quot;:&quot;Kevin J.&quot;,&quot;parse-names&quot;:false,&quot;dropping-particle&quot;:&quot;&quot;,&quot;non-dropping-particle&quot;:&quot;&quot;},{&quot;family&quot;:&quot;Holbrook&quot;,&quot;given&quot;:&quot;Scott&quot;,&quot;parse-names&quot;:false,&quot;dropping-particle&quot;:&quot;&quot;,&quot;non-dropping-particle&quot;:&quot;&quot;},{&quot;family&quot;:&quot;Graham&quot;,&quot;given&quot;:&quot;Michael M.&quot;,&quot;parse-names&quot;:false,&quot;dropping-particle&quot;:&quot;&quot;,&quot;non-dropping-particle&quot;:&quot;&quot;},{&quot;family&quot;:&quot;Testanera&quot;,&quot;given&quot;:&quot;Giorgio&quot;,&quot;parse-names&quot;:false,&quot;dropping-particle&quot;:&quot;&quot;,&quot;non-dropping-particle&quot;:&quot;&quot;},{&quot;family&quot;:&quot;Hoekstra&quot;,&quot;given&quot;:&quot;Otto S.&quot;,&quot;parse-names&quot;:false,&quot;dropping-particle&quot;:&quot;&quot;,&quot;non-dropping-particle&quot;:&quot;&quot;},{&quot;family&quot;:&quot;Zijlstra&quot;,&quot;given&quot;:&quot;Josee&quot;,&quot;parse-names&quot;:false,&quot;dropping-particle&quot;:&quot;&quot;,&quot;non-dropping-particle&quot;:&quot;&quot;},{&quot;family&quot;:&quot;Visser&quot;,&quot;given&quot;:&quot;Eric&quot;,&quot;parse-names&quot;:false,&quot;dropping-particle&quot;:&quot;&quot;,&quot;non-dropping-particle&quot;:&quot;&quot;},{&quot;family&quot;:&quot;Hoekstra&quot;,&quot;given&quot;:&quot;Corneline J.&quot;,&quot;parse-names&quot;:false,&quot;dropping-particle&quot;:&quot;&quot;,&quot;non-dropping-particle&quot;:&quot;&quot;},{&quot;family&quot;:&quot;Pruim&quot;,&quot;given&quot;:&quot;Jan&quot;,&quot;parse-names&quot;:false,&quot;dropping-particle&quot;:&quot;&quot;,&quot;non-dropping-particle&quot;:&quot;&quot;},{&quot;family&quot;:&quot;Willemsen&quot;,&quot;given&quot;:&quot;Antoon&quot;,&quot;parse-names&quot;:false,&quot;dropping-particle&quot;:&quot;&quot;,&quot;non-dropping-particle&quot;:&quot;&quot;},{&quot;family&quot;:&quot;Arends&quot;,&quot;given&quot;:&quot;Bertjan&quot;,&quot;parse-names&quot;:false,&quot;dropping-particle&quot;:&quot;&quot;,&quot;non-dropping-particle&quot;:&quot;&quot;},{&quot;family&quot;:&quot;Kotzerke&quot;,&quot;given&quot;:&quot;Jörg&quot;,&quot;parse-names&quot;:false,&quot;dropping-particle&quot;:&quot;&quot;,&quot;non-dropping-particle&quot;:&quot;&quot;},{&quot;family&quot;:&quot;Bockisch&quot;,&quot;given&quot;:&quot;Andreas&quot;,&quot;parse-names&quot;:false,&quot;dropping-particle&quot;:&quot;&quot;,&quot;non-dropping-particle&quot;:&quot;&quot;},{&quot;family&quot;:&quot;Beyer&quot;,&quot;given&quot;:&quot;Thomas&quot;,&quot;parse-names&quot;:false,&quot;dropping-particle&quot;:&quot;&quot;,&quot;non-dropping-particle&quot;:&quot;&quot;},{&quot;family&quot;:&quot;Chiti&quot;,&quot;given&quot;:&quot;Arturo&quot;,&quot;parse-names&quot;:false,&quot;dropping-particle&quot;:&quot;&quot;,&quot;non-dropping-particle&quot;:&quot;&quot;},{&quot;family&quot;:&quot;Krause&quot;,&quot;given&quot;:&quot;Bernd J.&quot;,&quot;parse-names&quot;:false,&quot;dropping-particle&quot;:&quot;&quot;,&quot;non-dropping-particle&quot;:&quot;&quot;}],&quot;container-title&quot;:&quot;Eur J Nucl Med Mol Imaging&quot;,&quot;DOI&quot;:&quot;10.1007/s00259-014-2961-x&quot;,&quot;ISSN&quot;:&quot;16197089&quot;,&quot;PMID&quot;:&quot;25452219&quot;,&quot;issued&quot;:{&quot;date-parts&quot;:[[2015]]},&quot;page&quot;:&quot;328-354&quot;,&quot;abstract&quot;:&quot;The purpose of these guidelines is to assist physicians in recommending, performing, interpreting and reporting the results of FDG PET/CT for oncological imaging of adult patients. PET is a quantitative imaging technique and therefore requires a common quality control (QC)/quality assurance (QA) procedure to maintain the accuracy and precision of quantitation. Repeatability and reproducibility are two essential requirements for any quantitative measurement and/or imaging biomarker. Repeatability relates to the uncertainty in obtaining the same result in the same patient when he or she is examined more than once on the same system. However, imaging biomarkers should also have adequate reproducibility, i.e. the ability to yield the same result in the same patient when that patient is examined on different systems and at different imaging sites. Adequate repeatability and reproducibility are essential for the clinical management of patients and the use of FDG PET/CT within multicentre trials. A common standardised imaging procedure will help promote the appropriate use of FDG PET/CT imaging and increase the value of publications and, therefore, their contribution to evidence-based medicine. Moreover, consistency in numerical values between platforms and institutes that acquire the data will potentially enhance the role of semiquantitative and quantitative image interpretation. Precision and accuracy are additionally important as FDG PET/CT is used to evaluate tumour response as well as for diagnosis, prognosis and staging. Therefore both the previous and these new guidelines specifically aim to achieve standardised uptake value harmonisation in multicentre settings.&quot;,&quot;issue&quot;:&quot;2&quot;,&quot;volume&quot;:&quot;42&quot;},&quot;isTemporary&quot;:false}],&quot;properties&quot;:{&quot;noteIndex&quot;:0},&quot;isEdited&quot;:false,&quot;manualOverride&quot;:{&quot;isManuallyOverriden&quot;:false,&quot;citeprocText&quot;:&quot;[22]&quot;,&quot;manualOverrideText&quot;:&quot;&quot;}},{&quot;citationID&quot;:&quot;MENDELEY_CITATION_1e408688-b4e0-43a4-a17d-9b4081a883ab&quot;,&quot;citationItems&quot;:[{&quot;id&quot;:&quot;bd15acea-f107-3f69-ae16-ec11ecc0a657&quot;,&quot;itemData&quot;:{&quot;type&quot;:&quot;article-journal&quot;,&quot;id&quot;:&quot;bd15acea-f107-3f69-ae16-ec11ecc0a657&quot;,&quot;title&quot;:&quot;Groin sentinel node biopsy and 18F-FDG PET/CT-supported preoperative lymph node assessment in cN0 patients with vulvar cancer currently unfit for minimally invasive inguinal surgery: The GroSNaPET study&quot;,&quot;author&quot;:[{&quot;family&quot;:&quot;Garganese&quot;,&quot;given&quot;:&quot;G.&quot;,&quot;parse-names&quot;:false,&quot;dropping-particle&quot;:&quot;&quot;,&quot;non-dropping-particle&quot;:&quot;&quot;},{&quot;family&quot;:&quot;Collarino&quot;,&quot;given&quot;:&quot;A.&quot;,&quot;parse-names&quot;:false,&quot;dropping-particle&quot;:&quot;&quot;,&quot;non-dropping-particle&quot;:&quot;&quot;},{&quot;family&quot;:&quot;Fragomeni&quot;,&quot;given&quot;:&quot;S. M.&quot;,&quot;parse-names&quot;:false,&quot;dropping-particle&quot;:&quot;&quot;,&quot;non-dropping-particle&quot;:&quot;&quot;},{&quot;family&quot;:&quot;Rufini&quot;,&quot;given&quot;:&quot;V.&quot;,&quot;parse-names&quot;:false,&quot;dropping-particle&quot;:&quot;&quot;,&quot;non-dropping-particle&quot;:&quot;&quot;},{&quot;family&quot;:&quot;Perotti&quot;,&quot;given&quot;:&quot;G.&quot;,&quot;parse-names&quot;:false,&quot;dropping-particle&quot;:&quot;&quot;,&quot;non-dropping-particle&quot;:&quot;&quot;},{&quot;family&quot;:&quot;Gentileschi&quot;,&quot;given&quot;:&quot;S.&quot;,&quot;parse-names&quot;:false,&quot;dropping-particle&quot;:&quot;&quot;,&quot;non-dropping-particle&quot;:&quot;&quot;},{&quot;family&quot;:&quot;Evangelista&quot;,&quot;given&quot;:&quot;M. T.&quot;,&quot;parse-names&quot;:false,&quot;dropping-particle&quot;:&quot;&quot;,&quot;non-dropping-particle&quot;:&quot;&quot;},{&quot;family&quot;:&quot;Ieria&quot;,&quot;given&quot;:&quot;F. P.&quot;,&quot;parse-names&quot;:false,&quot;dropping-particle&quot;:&quot;&quot;,&quot;non-dropping-particle&quot;:&quot;&quot;},{&quot;family&quot;:&quot;Zagaria&quot;,&quot;given&quot;:&quot;L.&quot;,&quot;parse-names&quot;:false,&quot;dropping-particle&quot;:&quot;&quot;,&quot;non-dropping-particle&quot;:&quot;&quot;},{&quot;family&quot;:&quot;Bove&quot;,&quot;given&quot;:&quot;S.&quot;,&quot;parse-names&quot;:false,&quot;dropping-particle&quot;:&quot;&quot;,&quot;non-dropping-particle&quot;:&quot;&quot;},{&quot;family&quot;:&quot;Giordano&quot;,&quot;given&quot;:&quot;A.&quot;,&quot;parse-names&quot;:false,&quot;dropping-particle&quot;:&quot;&quot;,&quot;non-dropping-particle&quot;:&quot;&quot;},{&quot;family&quot;:&quot;Scambia&quot;,&quot;given&quot;:&quot;G.&quot;,&quot;parse-names&quot;:false,&quot;dropping-particle&quot;:&quot;&quot;,&quot;non-dropping-particle&quot;:&quot;&quot;}],&quot;container-title&quot;:&quot;Eur J Surg Oncol&quot;,&quot;DOI&quot;:&quot;10.1016/j.ejso.2017.06.018&quot;,&quot;ISSN&quot;:&quot;15322157&quot;,&quot;PMID&quot;:&quot;28751058&quot;,&quot;issued&quot;:{&quot;date-parts&quot;:[[2017]]},&quot;page&quot;:&quot;1776-1783&quot;,&quot;abstract&quot;:&quot;Objective The study aims were: 1) to verify the role of sentinel node biopsy (SNB) in a subset of patients with clinical N0 (cN0) invasive vulvar cancer (VC) who were still candidates for radical inguinal surgery according to the current guidelines; 2) to investigate whether a preoperative 18F-FDG PET/CT (PET/CT) evaluation could improve the selection of node negative patients. Methods From July 2013 to July 2016, all patients with VC admitted to our Division were evaluated by standard imaging and clinical exam. Among the patients assessed as cN0 we enrolled those unsuitable for SNB, due to: T &gt; 4 cm, multifocal tumors, complete tumor diagnostic excision, contralateral nodal involvement and local recurrence. A preoperative PET/CT was performed. For each patient surgery included SNB, performed using a combined technique (radiotracer plus blue dye), followed by standard inguino-femoral lymphadenectomy. The reference standard was histopathology. Results Forty-seven patients entered the study for a total of 73 groins. Histopathology revealed 12 metastatic SNs in 9 groins. No false negative SNs were found (NPV 100%). PET/CT showed a negative predictive value of 93%. Conclusions Our data suggest that SNB is accurate and safe even in cN0 patients currently excluded from this procedure, providing that a careful preoperative selection is performed. PET/CT allows a reliable assessment of LN status and may be an effective support for the selection of patients who are safe candidates for SNB.&quot;,&quot;issue&quot;:&quot;9&quot;,&quot;volume&quot;:&quot;43&quot;},&quot;isTemporary&quot;:false}],&quot;properties&quot;:{&quot;noteIndex&quot;:0},&quot;isEdited&quot;:false,&quot;manualOverride&quot;:{&quot;isManuallyOverriden&quot;:false,&quot;citeprocText&quot;:&quot;[17]&quot;,&quot;manualOverrideText&quot;:&quot;&quot;}},{&quot;citationID&quot;:&quot;MENDELEY_CITATION_35040207-0d78-4f1a-a03a-b671750d5b8e&quot;,&quot;citationItems&quot;:[{&quot;id&quot;:&quot;5a17bbef-ccee-3272-8831-2204a3ba8de4&quot;,&quot;itemData&quot;:{&quot;type&quot;:&quot;article-journal&quot;,&quot;id&quot;:&quot;5a17bbef-ccee-3272-8831-2204a3ba8de4&quot;,&quot;title&quot;:&quot;Harmonizing FDG PET quantification while maintaining optimal lesion detection: prospective multicentre validation in 517 oncology patients&quot;,&quot;author&quot;:[{&quot;family&quot;:&quot;Quak&quot;,&quot;given&quot;:&quot;Elske&quot;,&quot;parse-names&quot;:false,&quot;dropping-particle&quot;:&quot;&quot;,&quot;non-dropping-particle&quot;:&quot;&quot;},{&quot;family&quot;:&quot;Roux&quot;,&quot;given&quot;:&quot;Pierre Yves&quot;,&quot;parse-names&quot;:false,&quot;dropping-particle&quot;:&quot;&quot;,&quot;non-dropping-particle&quot;:&quot;le&quot;},{&quot;family&quot;:&quot;Hofman&quot;,&quot;given&quot;:&quot;Michael S.&quot;,&quot;parse-names&quot;:false,&quot;dropping-particle&quot;:&quot;&quot;,&quot;non-dropping-particle&quot;:&quot;&quot;},{&quot;family&quot;:&quot;Robin&quot;,&quot;given&quot;:&quot;Philippe&quot;,&quot;parse-names&quot;:false,&quot;dropping-particle&quot;:&quot;&quot;,&quot;non-dropping-particle&quot;:&quot;&quot;},{&quot;family&quot;:&quot;Bourhis&quot;,&quot;given&quot;:&quot;David&quot;,&quot;parse-names&quot;:false,&quot;dropping-particle&quot;:&quot;&quot;,&quot;non-dropping-particle&quot;:&quot;&quot;},{&quot;family&quot;:&quot;Callahan&quot;,&quot;given&quot;:&quot;Jason&quot;,&quot;parse-names&quot;:false,&quot;dropping-particle&quot;:&quot;&quot;,&quot;non-dropping-particle&quot;:&quot;&quot;},{&quot;family&quot;:&quot;Binns&quot;,&quot;given&quot;:&quot;David&quot;,&quot;parse-names&quot;:false,&quot;dropping-particle&quot;:&quot;&quot;,&quot;non-dropping-particle&quot;:&quot;&quot;},{&quot;family&quot;:&quot;Desmonts&quot;,&quot;given&quot;:&quot;Cédric&quot;,&quot;parse-names&quot;:false,&quot;dropping-particle&quot;:&quot;&quot;,&quot;non-dropping-particle&quot;:&quot;&quot;},{&quot;family&quot;:&quot;Salaun&quot;,&quot;given&quot;:&quot;Pierre Yves&quot;,&quot;parse-names&quot;:false,&quot;dropping-particle&quot;:&quot;&quot;,&quot;non-dropping-particle&quot;:&quot;&quot;},{&quot;family&quot;:&quot;Hicks&quot;,&quot;given&quot;:&quot;Rodney J.&quot;,&quot;parse-names&quot;:false,&quot;dropping-particle&quot;:&quot;&quot;,&quot;non-dropping-particle&quot;:&quot;&quot;},{&quot;family&quot;:&quot;Aide&quot;,&quot;given&quot;:&quot;Nicolas&quot;,&quot;parse-names&quot;:false,&quot;dropping-particle&quot;:&quot;&quot;,&quot;non-dropping-particle&quot;:&quot;&quot;}],&quot;container-title&quot;:&quot;Eur J Nucl Med Mol Imaging&quot;,&quot;DOI&quot;:&quot;10.1007/s00259-015-3128-0&quot;,&quot;ISSN&quot;:&quot;16197089&quot;,&quot;PMID&quot;:&quot;26219870&quot;,&quot;issued&quot;:{&quot;date-parts&quot;:[[2015]]},&quot;page&quot;:&quot;2072-2082&quot;,&quot;abstract&quot;:&quot;Purpose: Point-spread function (PSF) or PSF + time-of-flight (TOF) reconstruction may improve lesion detection in oncologic PET, but can alter quantitation resulting in variable standardized uptake values (SUVs) between different PET systems. This study aims to validate a proprietary software tool (EQ.PET) to harmonize SUVs across different PET systems independent of the reconstruction algorithm used. Methods: NEMA NU2 phantom data were used to calculate the appropriate filter for each PSF or PSF+TOF reconstruction from three different PET systems, in order to obtain EANM compliant recovery coefficients. PET data from 517 oncology patients were reconstructed with a PSF or PSF+TOF reconstruction for optimal tumour detection and an ordered subset expectation maximization (OSEM3D) reconstruction known to fulfil EANM guidelines. Post-reconstruction, the proprietary filter was applied to the PSF or PSF+TOF data (PSFEQ or PSF+TOFEQ). SUVs for PSF or PSF+TOF and PSFEQ or PSF+TOFEQ were compared to SUVs for the OSEM3D reconstruction. The impact of potential confounders on the EQ.PET methodology including lesion and patient characteristics was studied, as was the adherence to imaging guidelines. Results: For the 1380 tumour lesions studied, Bland-Altman analysis showed a mean ratio between PSF or PSF+TOF and OSEM3D of 1.46 (95 %CI: 0.86–2.06) and 1.23 (95 %CI: 0.95–1.51) for SUVmax and SUVpeak, respectively. Application of the proprietary filter improved these ratios to 1.02 (95 %CI: 0.88–1.16) and 1.04 (95 %CI: 0.92–1.17) for SUVmax and SUVpeak, respectively. The influence of the different confounding factors studied (lesion size, location, radial offset and patient’s BMI) was less than 5 %. Adherence to the European Association of Nuclear Medicine (EANM) guidelines for tumour imaging was good. Conclusion: These data indicate that it is not necessary to sacrifice the superior lesion detection and image quality achieved by newer reconstruction techniques in the quest for harmonizing quantitative comparability between PET systems.&quot;,&quot;issue&quot;:&quot;13&quot;,&quot;volume&quot;:&quot;42&quot;},&quot;isTemporary&quot;:false}],&quot;properties&quot;:{&quot;noteIndex&quot;:0},&quot;isEdited&quot;:false,&quot;manualOverride&quot;:{&quot;isManuallyOverriden&quot;:false,&quot;citeprocText&quot;:&quot;[23]&quot;,&quot;manualOverrideText&quot;:&quot;&quot;}},{&quot;citationID&quot;:&quot;MENDELEY_CITATION_d6d3c87c-15cf-41a4-80b4-4ea53990df68&quot;,&quot;citationItems&quot;:[{&quot;id&quot;:&quot;b974260b-bed2-3943-801b-5b6adc94b4a1&quot;,&quot;itemData&quot;:{&quot;type&quot;:&quot;book&quot;,&quot;id&quot;:&quot;b974260b-bed2-3943-801b-5b6adc94b4a1&quot;,&quot;title&quot;:&quot;NCCN Clinical Practice Guidelines in Oncology (NCCN guidelines), Vulvar cancer (squamous cell carcinoma): version 1.2020&quot;,&quot;accessed&quot;:{&quot;date-parts&quot;:[[2020,9,21]]},&quot;DOI&quot;:&quot;10.1136/jitc-2019-000147&quot;,&quot;URL&quot;:&quot;https://www.nccn.org/professionals/physician_gls/pdf/vulvar.pdf&quot;,&quot;issued&quot;:{&quot;date-parts&quot;:[[2020]]}},&quot;isTemporary&quot;:false},{&quot;id&quot;:&quot;1ea9963c-0ea0-3bd0-9047-c5a9e6c9d136&quot;,&quot;itemData&quot;:{&quot;type&quot;:&quot;article-journal&quot;,&quot;id&quot;:&quot;1ea9963c-0ea0-3bd0-9047-c5a9e6c9d136&quot;,&quot;title&quot;:&quot;European society of gynaecological oncology guidelines for the management of patients with Vulvar cancer&quot;,&quot;author&quot;:[{&quot;family&quot;:&quot;Oonk&quot;,&quot;given&quot;:&quot;Maaike H.M.&quot;,&quot;parse-names&quot;:false,&quot;dropping-particle&quot;:&quot;&quot;,&quot;non-dropping-particle&quot;:&quot;&quot;},{&quot;family&quot;:&quot;Planchamp&quot;,&quot;given&quot;:&quot;François&quot;,&quot;parse-names&quot;:false,&quot;dropping-particle&quot;:&quot;&quot;,&quot;non-dropping-particle&quot;:&quot;&quot;},{&quot;family&quot;:&quot;Baldwin&quot;,&quot;given&quot;:&quot;Peter&quot;,&quot;parse-names&quot;:false,&quot;dropping-particle&quot;:&quot;&quot;,&quot;non-dropping-particle&quot;:&quot;&quot;},{&quot;family&quot;:&quot;Bidzinski&quot;,&quot;given&quot;:&quot;Mariusz&quot;,&quot;parse-names&quot;:false,&quot;dropping-particle&quot;:&quot;&quot;,&quot;non-dropping-particle&quot;:&quot;&quot;},{&quot;family&quot;:&quot;Brännström&quot;,&quot;given&quot;:&quot;Mats&quot;,&quot;parse-names&quot;:false,&quot;dropping-particle&quot;:&quot;&quot;,&quot;non-dropping-particle&quot;:&quot;&quot;},{&quot;family&quot;:&quot;Landoni&quot;,&quot;given&quot;:&quot;Fabio&quot;,&quot;parse-names&quot;:false,&quot;dropping-particle&quot;:&quot;&quot;,&quot;non-dropping-particle&quot;:&quot;&quot;},{&quot;family&quot;:&quot;Mahner&quot;,&quot;given&quot;:&quot;Sven&quot;,&quot;parse-names&quot;:false,&quot;dropping-particle&quot;:&quot;&quot;,&quot;non-dropping-particle&quot;:&quot;&quot;},{&quot;family&quot;:&quot;Mahantshetty&quot;,&quot;given&quot;:&quot;Umesh&quot;,&quot;parse-names&quot;:false,&quot;dropping-particle&quot;:&quot;&quot;,&quot;non-dropping-particle&quot;:&quot;&quot;},{&quot;family&quot;:&quot;Mirza&quot;,&quot;given&quot;:&quot;Mansoor&quot;,&quot;parse-names&quot;:false,&quot;dropping-particle&quot;:&quot;&quot;,&quot;non-dropping-particle&quot;:&quot;&quot;},{&quot;family&quot;:&quot;Petersen&quot;,&quot;given&quot;:&quot;Cordula&quot;,&quot;parse-names&quot;:false,&quot;dropping-particle&quot;:&quot;&quot;,&quot;non-dropping-particle&quot;:&quot;&quot;},{&quot;family&quot;:&quot;Querleu&quot;,&quot;given&quot;:&quot;Denis&quot;,&quot;parse-names&quot;:false,&quot;dropping-particle&quot;:&quot;&quot;,&quot;non-dropping-particle&quot;:&quot;&quot;},{&quot;family&quot;:&quot;Regauer&quot;,&quot;given&quot;:&quot;Sigrid&quot;,&quot;parse-names&quot;:false,&quot;dropping-particle&quot;:&quot;&quot;,&quot;non-dropping-particle&quot;:&quot;&quot;},{&quot;family&quot;:&quot;Rob&quot;,&quot;given&quot;:&quot;Lukas&quot;,&quot;parse-names&quot;:false,&quot;dropping-particle&quot;:&quot;&quot;,&quot;non-dropping-particle&quot;:&quot;&quot;},{&quot;family&quot;:&quot;Rouzier&quot;,&quot;given&quot;:&quot;Roman&quot;,&quot;parse-names&quot;:false,&quot;dropping-particle&quot;:&quot;&quot;,&quot;non-dropping-particle&quot;:&quot;&quot;},{&quot;family&quot;:&quot;Ulrikh&quot;,&quot;given&quot;:&quot;Elena&quot;,&quot;parse-names&quot;:false,&quot;dropping-particle&quot;:&quot;&quot;,&quot;non-dropping-particle&quot;:&quot;&quot;},{&quot;family&quot;:&quot;Velden&quot;,&quot;given&quot;:&quot;Jacobus&quot;,&quot;parse-names&quot;:false,&quot;dropping-particle&quot;:&quot;&quot;,&quot;non-dropping-particle&quot;:&quot;van der&quot;},{&quot;family&quot;:&quot;Vergote&quot;,&quot;given&quot;:&quot;Ignace&quot;,&quot;parse-names&quot;:false,&quot;dropping-particle&quot;:&quot;&quot;,&quot;non-dropping-particle&quot;:&quot;&quot;},{&quot;family&quot;:&quot;Woelber&quot;,&quot;given&quot;:&quot;Linn&quot;,&quot;parse-names&quot;:false,&quot;dropping-particle&quot;:&quot;&quot;,&quot;non-dropping-particle&quot;:&quot;&quot;},{&quot;family&quot;:&quot;Zee&quot;,&quot;given&quot;:&quot;Ate G.J.&quot;,&quot;parse-names&quot;:false,&quot;dropping-particle&quot;:&quot;&quot;,&quot;non-dropping-particle&quot;:&quot;van der&quot;}],&quot;container-title&quot;:&quot;Int J Gynecol Cancer&quot;,&quot;DOI&quot;:&quot;10.1097/IGC.0000000000000975&quot;,&quot;ISSN&quot;:&quot;15251438&quot;,&quot;PMID&quot;:&quot;28441255&quot;,&quot;issued&quot;:{&quot;date-parts&quot;:[[2017]]},&quot;page&quot;:&quot;832-837&quot;,&quot;abstract&quot;:&quot;The aim of this study was to develop clinically relevant and evidence-based guidelines as part of European Society of Gynaecological Oncology's mission to improve the quality of care for women with gynecologic cancers across Europe. Methods: The European Society of Gynaecological Oncology Council nominated an international development group made of practicing clinicians who provide care to patients with vulvar cancer and have demonstrated leadership and interest in the management of patients with vulvar cancer (18 experts across Europe). To ensure that the statements are evidence based, the current literature identified from a systematic search has been reviewed and critically appraised. In the absence of any clear scientific evidence, judgment was based on the professional experience and consensus of the development group (expert agreement). The guidelines are thus based on the best available evidence and expert agreement. Prior to publication, the guidelines were reviewed by 181 international reviewers including patient representatives independent from the development group. Results: The guidelines cover diagnosis and referral, preoperative investigations, surgical management (local treatment, groin treatment including sentinel lymph node procedure, reconstructive surgery), radiation therapy, chemoradiation, systemic treatment, treatment of recurrent disease (vulvar recurrence, groin recurrence, distant metastases), and follow-up.&quot;,&quot;issue&quot;:&quot;4&quot;,&quot;volume&quot;:&quot;27&quot;},&quot;isTemporary&quot;:false}],&quot;properties&quot;:{&quot;noteIndex&quot;:0},&quot;isEdited&quot;:false,&quot;manualOverride&quot;:{&quot;isManuallyOverriden&quot;:false,&quot;citeprocText&quot;:&quot;[4,24]&quot;,&quot;manualOverrideText&quot;:&quot;&quot;}},{&quot;citationID&quot;:&quot;MENDELEY_CITATION_c099d399-758e-4b88-bbbd-2e9e06262e01&quot;,&quot;citationItems&quot;:[{&quot;id&quot;:&quot;0bca8b7d-9bc8-363b-a25f-071cc5d9b8ff&quot;,&quot;itemData&quot;:{&quot;type&quot;:&quot;article&quot;,&quot;id&quot;:&quot;0bca8b7d-9bc8-363b-a25f-071cc5d9b8ff&quot;,&quot;title&quot;:&quot;Sample size estimation in diagnostic test studies of biomedical informatics&quot;,&quot;author&quot;:[{&quot;family&quot;:&quot;Hajian-Tilaki&quot;,&quot;given&quot;:&quot;Karimollah&quot;,&quot;parse-names&quot;:false,&quot;dropping-particle&quot;:&quot;&quot;,&quot;non-dropping-particle&quot;:&quot;&quot;}],&quot;container-title&quot;:&quot;J Biomed Inform&quot;,&quot;DOI&quot;:&quot;10.1016/j.jbi.2014.02.013&quot;,&quot;ISSN&quot;:&quot;15320464&quot;,&quot;PMID&quot;:&quot;24582925&quot;,&quot;issued&quot;:{&quot;date-parts&quot;:[[2014]]},&quot;page&quot;:&quot;193-204&quot;,&quot;abstract&quot;:&quot;Objectives: This review provided a conceptual framework of sample size calculations in the studies of diagnostic test accuracy in various conditions and test outcomes. Methods: The formulae of sample size calculations for estimation of adequate sensitivity/specificity, likelihood ratio and AUC as an overall index of accuracy and also for testing in single modality and comparing two diagnostic tasks have been presented for desired confidence interval. Results: The required sample sizes were calculated and tabulated with different levels of accuracies and marginal errors with 95% confidence level for estimating and for various effect sizes with 80% power for purpose of testing as well. The results show how sample size is varied with accuracy index and effect size of interest. Conclusion: This would help the clinicians when designing diagnostic test studies that an adequate sample size is chosen based on statistical principles in order to guarantee the reliability of study. © 2014 Elsevier Inc.&quot;,&quot;volume&quot;:&quot;48&quot;},&quot;isTemporary&quot;:false}],&quot;properties&quot;:{&quot;noteIndex&quot;:0},&quot;isEdited&quot;:false,&quot;manualOverride&quot;:{&quot;isManuallyOverriden&quot;:false,&quot;citeprocText&quot;:&quot;[25]&quot;,&quot;manualOverrideText&quot;:&quot;&quot;}},{&quot;citationID&quot;:&quot;MENDELEY_CITATION_6311eea8-fa8a-4360-88a5-6787a0697b7e&quot;,&quot;citationItems&quot;:[{&quot;id&quot;:&quot;4ab02827-0297-3d26-a576-99a14be68f87&quot;,&quot;itemData&quot;:{&quot;type&quot;:&quot;article-journal&quot;,&quot;id&quot;:&quot;4ab02827-0297-3d26-a576-99a14be68f87&quot;,&quot;title&quot;:&quot;Computed tomography, magnetic resonance imaging and FDG positron emission tomography in the management of vulvar malignancies&quot;,&quot;author&quot;:[{&quot;family&quot;:&quot;Lin&quot;,&quot;given&quot;:&quot;Gigin&quot;,&quot;parse-names&quot;:false,&quot;dropping-particle&quot;:&quot;&quot;,&quot;non-dropping-particle&quot;:&quot;&quot;},{&quot;family&quot;:&quot;Chen&quot;,&quot;given&quot;:&quot;Chao Yu&quot;,&quot;parse-names&quot;:false,&quot;dropping-particle&quot;:&quot;&quot;,&quot;non-dropping-particle&quot;:&quot;&quot;},{&quot;family&quot;:&quot;Liu&quot;,&quot;given&quot;:&quot;Feng Yuan&quot;,&quot;parse-names&quot;:false,&quot;dropping-particle&quot;:&quot;&quot;,&quot;non-dropping-particle&quot;:&quot;&quot;},{&quot;family&quot;:&quot;Yang&quot;,&quot;given&quot;:&quot;Lan Yan&quot;,&quot;parse-names&quot;:false,&quot;dropping-particle&quot;:&quot;&quot;,&quot;non-dropping-particle&quot;:&quot;&quot;},{&quot;family&quot;:&quot;Huang&quot;,&quot;given&quot;:&quot;Huei Jean&quot;,&quot;parse-names&quot;:false,&quot;dropping-particle&quot;:&quot;&quot;,&quot;non-dropping-particle&quot;:&quot;&quot;},{&quot;family&quot;:&quot;Huang&quot;,&quot;given&quot;:&quot;Yi Ting&quot;,&quot;parse-names&quot;:false,&quot;dropping-particle&quot;:&quot;&quot;,&quot;non-dropping-particle&quot;:&quot;&quot;},{&quot;family&quot;:&quot;Jung&quot;,&quot;given&quot;:&quot;Shih Ming&quot;,&quot;parse-names&quot;:false,&quot;dropping-particle&quot;:&quot;&quot;,&quot;non-dropping-particle&quot;:&quot;&quot;},{&quot;family&quot;:&quot;Chou&quot;,&quot;given&quot;:&quot;Hung Hsueh&quot;,&quot;parse-names&quot;:false,&quot;dropping-particle&quot;:&quot;&quot;,&quot;non-dropping-particle&quot;:&quot;&quot;},{&quot;family&quot;:&quot;Lai&quot;,&quot;given&quot;:&quot;Chyong Huey&quot;,&quot;parse-names&quot;:false,&quot;dropping-particle&quot;:&quot;&quot;,&quot;non-dropping-particle&quot;:&quot;&quot;},{&quot;family&quot;:&quot;Ng&quot;,&quot;given&quot;:&quot;Koon Kwan&quot;,&quot;parse-names&quot;:false,&quot;dropping-particle&quot;:&quot;&quot;,&quot;non-dropping-particle&quot;:&quot;&quot;}],&quot;container-title&quot;:&quot;Eur Radiol&quot;,&quot;DOI&quot;:&quot;10.1007/s00330-014-3530-1&quot;,&quot;ISSN&quot;:&quot;14321084&quot;,&quot;PMID&quot;:&quot;25477274&quot;,&quot;issued&quot;:{&quot;date-parts&quot;:[[2015]]},&quot;page&quot;:&quot;1267-1278&quot;,&quot;abstract&quot;:&quot;Objectives: To prospectively evaluate the value of CT or MRI (CT/MRI) and PET in the management of vulvar malignancies. Methods: Abdominal and pelvic CT/MRI and whole-body 18 F-FDG (fluorodeoxyglucose) PET or PET/CT (collectively designated PET hereafter) were performed. Lesion status was determined by the pathological findings or clinical follow-up. The diagnostic efficacy was evaluated by receiver operating characteristic (ROC) curve analysis. The clinical impact of PET was determined on a per scan basis. Results: Twenty-three patients were enrolled, and 38 PET examinations were performed. CT/MRI and PET studies were used for primary staging (n = 17), monitoring the response (n = 7) and restaging after recurrence (n = 14). In primary staging, there was no significant difference between CT/MRI and PET in detecting metastatic inguinal lymph nodes (ILN). CT/MRI was significantly more efficacious than PET in detecting pelvic lymph node (PLN) or distant metastasis (p = 0.007 by ROC per patient basis). PET findings resulted in two positive impacts and one negative impact for both primary staging and restaging. Conclusions: False-positive PLN or distant metastasis PET findings are not uncommon, and hence should be interpreted with caution. PET can be supportive when metastatic ILN/PLN or distant metastasis is suspected on CT/MRI. • CT/MRI has value in the management of vulvar malignancies. Key Points: • False-positive metastatic PLN or distant metastasis PET findings are not uncommon. • PET can be supportive when metastasis is suspected by CT/MRI.&quot;,&quot;issue&quot;:&quot;5&quot;,&quot;volume&quot;:&quot;25&quot;},&quot;isTemporary&quot;:false},{&quot;id&quot;:&quot;8478b000-ecb9-3a5e-8138-9c6f73a67960&quot;,&quot;itemData&quot;:{&quot;type&quot;:&quot;article-journal&quot;,&quot;id&quot;:&quot;8478b000-ecb9-3a5e-8138-9c6f73a67960&quot;,&quot;title&quot;:&quot;Prospective evaluation of positron emission tomography for the detection of groin node metastases from vulvar cancer&quot;,&quot;author&quot;:[{&quot;family&quot;:&quot;Cohn&quot;,&quot;given&quot;:&quot;David E.&quot;,&quot;parse-names&quot;:false,&quot;dropping-particle&quot;:&quot;&quot;,&quot;non-dropping-particle&quot;:&quot;&quot;},{&quot;family&quot;:&quot;Dehdashti&quot;,&quot;given&quot;:&quot;Farrokh&quot;,&quot;parse-names&quot;:false,&quot;dropping-particle&quot;:&quot;&quot;,&quot;non-dropping-particle&quot;:&quot;&quot;},{&quot;family&quot;:&quot;Gibb&quot;,&quot;given&quot;:&quot;Randall K.&quot;,&quot;parse-names&quot;:false,&quot;dropping-particle&quot;:&quot;&quot;,&quot;non-dropping-particle&quot;:&quot;&quot;},{&quot;family&quot;:&quot;Mutch&quot;,&quot;given&quot;:&quot;David G.&quot;,&quot;parse-names&quot;:false,&quot;dropping-particle&quot;:&quot;&quot;,&quot;non-dropping-particle&quot;:&quot;&quot;},{&quot;family&quot;:&quot;Rader&quot;,&quot;given&quot;:&quot;Janet S.&quot;,&quot;parse-names&quot;:false,&quot;dropping-particle&quot;:&quot;&quot;,&quot;non-dropping-particle&quot;:&quot;&quot;},{&quot;family&quot;:&quot;Siegel&quot;,&quot;given&quot;:&quot;Barry A.&quot;,&quot;parse-names&quot;:false,&quot;dropping-particle&quot;:&quot;&quot;,&quot;non-dropping-particle&quot;:&quot;&quot;},{&quot;family&quot;:&quot;Herzog&quot;,&quot;given&quot;:&quot;Thomas J.&quot;,&quot;parse-names&quot;:false,&quot;dropping-particle&quot;:&quot;&quot;,&quot;non-dropping-particle&quot;:&quot;&quot;}],&quot;container-title&quot;:&quot;Gynecol Oncol&quot;,&quot;DOI&quot;:&quot;10.1006/gyno.2002.6605&quot;,&quot;ISSN&quot;:&quot;00908258&quot;,&quot;PMID&quot;:&quot;11925141&quot;,&quot;issued&quot;:{&quot;date-parts&quot;:[[2002]]},&quot;page&quot;:&quot;179-184&quot;,&quot;abstract&quot;:&quot;Objective. We set out to determine the ability of positron emission tomography with fluorodeoxyglucose to detect groin lymph node metastases from vulvar cancer. Methods. From January 2000 to August 2001, patients with squamous cell cancer of the vulva undergoing radical excision and lymphadenectomy were offered preoperative positron emission tomography. The imaging and pathologic status of each patient and groin were compared, and the sensitivity, specificity, and predictive value of positron emission tomography in predicting nodal metastasis were determined. Results. Fifteen patients underwent positron emission tomography prior to exploration of 29 groins. Six patients had positive scans, suggesting metastases in 8 groins. Pathologically, 5 patients had metastases in 9 groins, with positron emission tomography demonstrating metastases in 4 of 5 patients and 6 of 9 groins with disease. On a patient-by-patients basis, positron emission tomography had a sensitivity of 80%, specificity of 90%, positive predictive value of 80%, and negative predictive value of 90% in demonstrating metastases. On a groin-by-groin basis, positron emission tomography had a sensitivity of 67%, specificity of 95%, positive predictive value of 86%, and negative predictive value of 86%. Positron emission tomography was more accurate in detecting extranodal metastases than disease confined within the groin nodes (P = 0.048). Conclusions. Positron emission tomography is relatively insensitive in predicting lymph node metastasis, and a negative study is not a reliable surrogate for a pathologically negative groin. However, the high specificity suggests that positron emission tomography is useful in planning radiation therapy and as an adjunct to lymphatic mapping and sentinel lymph node dissection. © 2002 Elsevier Science (USA).&quot;,&quot;issue&quot;:&quot;1&quot;,&quot;volume&quot;:&quot;85&quot;},&quot;isTemporary&quot;:false},{&quot;id&quot;:&quot;0e91defd-9bbd-3502-856e-966b468f6bb9&quot;,&quot;itemData&quot;:{&quot;type&quot;:&quot;article-journal&quot;,&quot;id&quot;:&quot;0e91defd-9bbd-3502-856e-966b468f6bb9&quot;,&quot;title&quot;:&quot;Whole-body [18F]fluoro-2-deoxyglucose positron emission tomography scan as combined PET-CT staging prior to planned radical vulvectomy and inguinofemoral lymphadenectomy for squamous vulvar cancer: a correlation with groin node metastasis&quot;,&quot;author&quot;:[{&quot;family&quot;:&quot;Kamran&quot;,&quot;given&quot;:&quot;M W&quot;,&quot;parse-names&quot;:false,&quot;dropping-particle&quot;:&quot;&quot;,&quot;non-dropping-particle&quot;:&quot;&quot;},{&quot;family&quot;:&quot;O'Toole&quot;,&quot;given&quot;:&quot;F&quot;,&quot;parse-names&quot;:false,&quot;dropping-particle&quot;:&quot;&quot;,&quot;non-dropping-particle&quot;:&quot;&quot;},{&quot;family&quot;:&quot;Meghen&quot;,&quot;given&quot;:&quot;K&quot;,&quot;parse-names&quot;:false,&quot;dropping-particle&quot;:&quot;&quot;,&quot;non-dropping-particle&quot;:&quot;&quot;},{&quot;family&quot;:&quot;Saadeh&quot;,&quot;given&quot;:&quot;F A&quot;,&quot;parse-names&quot;:false,&quot;dropping-particle&quot;:&quot;&quot;,&quot;non-dropping-particle&quot;:&quot;&quot;},{&quot;family&quot;:&quot;Gleeson&quot;,&quot;given&quot;:&quot;N&quot;,&quot;parse-names&quot;:false,&quot;dropping-particle&quot;:&quot;&quot;,&quot;non-dropping-particle&quot;:&quot;&quot;}],&quot;container-title&quot;:&quot;Eur J Gynaecol Oncol&quot;,&quot;PMID&quot;:&quot;24984533&quot;,&quot;issued&quot;:{&quot;date-parts&quot;:[[2014]]},&quot;page&quot;:&quot;230-235&quot;,&quot;abstract&quot;:&quot;Surgery is the mainstay of treatment for vulvar cancer. FIGO staging requires histopathological detail of the primary tumor and inguinofemoral lymph nodes but groin node dissection carries a substantial risk of short and long-term morbidity. The trend in current practice is towards sentinel lymphadenectomy for cancers with a low risk of metastases. Full lymphadenectomy is undertaken if the sentinel lymph node contains metastasis. The predictive value of 18F-FDG-PET in preoperative assessment of the groin in vulvar squamous cancer was assessed in retrospect at a single institution. A period of three years prior to the introduction of sentinel lymph node mapping was chosen in order to have full histopathological assessment of inguinal and femoral lymph nodes available as the gold standard for correlation with positron emission tomography-computerized tomography (PET-CT) to determine the accuracy of the enhanced radiological technique. In patients with histologically proven metastases to groin nodes, comparisons between PET-CT positive (True-positive/TP) and negative (False-negative/FN) groups vis-à-vis histology showed a tendency towards higher FDG avidity in the vulvar lesions, more bilateral nodes, multiple metastases, larger metastases and more extra-capsular extension in the TP group. Calculations per patient for PET-CT yielded a sensitivity of 50% and specificity at 100%. The positive predictive value (PPV) was 100% and the negative predictive value (NPV) was 57.1%. The test accuracy was 70% per patient. The high positive predictive value of PET-CT can be used to advance treatment planning prior to surgical staging of patients identified with Stage III disease. The poor sensitivity makes it unsuitable as a substitute for staging lymphadenectomy.&quot;,&quot;issue&quot;:&quot;3&quot;,&quot;volume&quot;:&quot;35&quot;},&quot;isTemporary&quot;:false},{&quot;id&quot;:&quot;d200cf59-cba9-3d94-b0f3-4a1d44333b28&quot;,&quot;itemData&quot;:{&quot;type&quot;:&quot;article-journal&quot;,&quot;id&quot;:&quot;d200cf59-cba9-3d94-b0f3-4a1d44333b28&quot;,&quot;title&quot;:&quot;F-18 fluoro-d-glucose (FDG)-positron emission tomography (PET)/computed tomography (CT) in planning of surgery and sentinel lymph node screening in vulvar cancers&quot;,&quot;author&quot;:[{&quot;family&quot;:&quot;Dolanbay&quot;,&quot;given&quot;:&quot;Mehmet&quot;,&quot;parse-names&quot;:false,&quot;dropping-particle&quot;:&quot;&quot;,&quot;non-dropping-particle&quot;:&quot;&quot;},{&quot;family&quot;:&quot;Ozcelik&quot;,&quot;given&quot;:&quot;Bulent&quot;,&quot;parse-names&quot;:false,&quot;dropping-particle&quot;:&quot;&quot;,&quot;non-dropping-particle&quot;:&quot;&quot;},{&quot;family&quot;:&quot;Abdulrezzak&quot;,&quot;given&quot;:&quot;Ummuhan&quot;,&quot;parse-names&quot;:false,&quot;dropping-particle&quot;:&quot;&quot;,&quot;non-dropping-particle&quot;:&quot;&quot;},{&quot;family&quot;:&quot;Serin&quot;,&quot;given&quot;:&quot;Ibrahim Serdar&quot;,&quot;parse-names&quot;:false,&quot;dropping-particle&quot;:&quot;&quot;,&quot;non-dropping-particle&quot;:&quot;&quot;},{&quot;family&quot;:&quot;Kutuk&quot;,&quot;given&quot;:&quot;Mehmet Serdar&quot;,&quot;parse-names&quot;:false,&quot;dropping-particle&quot;:&quot;&quot;,&quot;non-dropping-particle&quot;:&quot;&quot;},{&quot;family&quot;:&quot;Uludag&quot;,&quot;given&quot;:&quot;Semih&quot;,&quot;parse-names&quot;:false,&quot;dropping-particle&quot;:&quot;&quot;,&quot;non-dropping-particle&quot;:&quot;&quot;}],&quot;container-title&quot;:&quot;Arch Gynecol Obstet&quot;,&quot;DOI&quot;:&quot;10.1007/s00404-015-3927-3&quot;,&quot;ISSN&quot;:&quot;14320711&quot;,&quot;PMID&quot;:&quot;26498604&quot;,&quot;issued&quot;:{&quot;date-parts&quot;:[[2016]]},&quot;page&quot;:&quot;1319-1324&quot;,&quot;abstract&quot;:&quot;Purpose: To determine the effectiveness of FDG-PET/CT in the assessment of inguinofemoral lymph node (IFLN) in patients with vulvar cancer by comparing FDG-PET/CT results, sentinel lymph node (SLN) screening with gamma probe, and the results of frozen section and definitive pathology in these lymph nodes. Study design: This prospective study included eight patients, who were diagnosed with vulvar cancer at the Gynecology and Obstetrics Department of Erciyes University, Turkey. All patients underwent FDG-PET/CT before surgery. Local excision and IFLN dissection were planned by assessing IFLN involvement with SLN screening with Tc-99m nanocolloid plus frozen section. Intraoperatively, SLN screening was performed by using a gamma probe, and these lymph nodes were excised and then evaluated by frozen section. Regardless of the frozen section results, the IFLNs were totally excised. The FDG-PET/CT scan results, SLN plus frozen section results and definitive pathology results of the inguinal lymph nodes were compared. Results: The mean age was 64.50 ± 13.25 years (min–max 43–79 years). All tumors were squamous cell carcinomas. FDG-PET/CT scan determined vulvar lesions accurately in all patients (8/8; 100 %). When inguinal lymph nodes were assessed by FDG uptake and SUVmax values, lymph nodes were interpreted as reactive in four patients (4/8; 50 %) and metastatic in the others (4/8; 50 %). In all patients frozen section confirmed the FDG-PET–CT results and definitive histopathology results confirmed the frozen section and FDG-PET–CT results (8/8; 100 %). Conclusions: In light of these data, FDG-PET/CT scanning is an effective method for the detection of primary tumor in vulvar cancer. Although it seems to be an effective method for the detection of IFLN metastasis, these findings must be supported by further studies with larger sample size for use in the planning of primary surgery and inguinal lymph node dissection without SLN dissection and frozen section, as a minimal invasive method.&quot;,&quot;issue&quot;:&quot;6&quot;,&quot;volume&quot;:&quot;293&quot;},&quot;isTemporary&quot;:false},{&quot;id&quot;:&quot;e9ab3b97-6138-3525-b28a-a21aac9aca65&quot;,&quot;itemData&quot;:{&quot;type&quot;:&quot;article-journal&quot;,&quot;id&quot;:&quot;e9ab3b97-6138-3525-b28a-a21aac9aca65&quot;,&quot;title&quot;:&quot;The impact of FDG-PET/CT in the management of patients with vulvar and vaginal cancer&quot;,&quot;author&quot;:[{&quot;family&quot;:&quot;Robertson&quot;,&quot;given&quot;:&quot;N. L.&quot;,&quot;parse-names&quot;:false,&quot;dropping-particle&quot;:&quot;&quot;,&quot;non-dropping-particle&quot;:&quot;&quot;},{&quot;family&quot;:&quot;Hricak&quot;,&quot;given&quot;:&quot;H.&quot;,&quot;parse-names&quot;:false,&quot;dropping-particle&quot;:&quot;&quot;,&quot;non-dropping-particle&quot;:&quot;&quot;},{&quot;family&quot;:&quot;Sonoda&quot;,&quot;given&quot;:&quot;Y.&quot;,&quot;parse-names&quot;:false,&quot;dropping-particle&quot;:&quot;&quot;,&quot;non-dropping-particle&quot;:&quot;&quot;},{&quot;family&quot;:&quot;Sosa&quot;,&quot;given&quot;:&quot;R. E.&quot;,&quot;parse-names&quot;:false,&quot;dropping-particle&quot;:&quot;&quot;,&quot;non-dropping-particle&quot;:&quot;&quot;},{&quot;family&quot;:&quot;Benz&quot;,&quot;given&quot;:&quot;M.&quot;,&quot;parse-names&quot;:false,&quot;dropping-particle&quot;:&quot;&quot;,&quot;non-dropping-particle&quot;:&quot;&quot;},{&quot;family&quot;:&quot;Lyons&quot;,&quot;given&quot;:&quot;G.&quot;,&quot;parse-names&quot;:false,&quot;dropping-particle&quot;:&quot;&quot;,&quot;non-dropping-particle&quot;:&quot;&quot;},{&quot;family&quot;:&quot;Abu-Rustum&quot;,&quot;given&quot;:&quot;N. R.&quot;,&quot;parse-names&quot;:false,&quot;dropping-particle&quot;:&quot;&quot;,&quot;non-dropping-particle&quot;:&quot;&quot;},{&quot;family&quot;:&quot;Sala&quot;,&quot;given&quot;:&quot;E.&quot;,&quot;parse-names&quot;:false,&quot;dropping-particle&quot;:&quot;&quot;,&quot;non-dropping-particle&quot;:&quot;&quot;},{&quot;family&quot;:&quot;Vargas&quot;,&quot;given&quot;:&quot;H. A.&quot;,&quot;parse-names&quot;:false,&quot;dropping-particle&quot;:&quot;&quot;,&quot;non-dropping-particle&quot;:&quot;&quot;}],&quot;container-title&quot;:&quot;Gynecol Oncol&quot;,&quot;DOI&quot;:&quot;10.1016/j.ygyno.2016.01.011&quot;,&quot;ISSN&quot;:&quot;10956859&quot;,&quot;PMID&quot;:&quot;26790773&quot;,&quot;issued&quot;:{&quot;date-parts&quot;:[[2016]]},&quot;page&quot;:&quot;420-424&quot;,&quot;abstract&quot;:&quot;Objectives To evaluate the changes in prognostic impression and patient management following PET/CT in patients with vulvar and vaginal carcinoma; and to compare PET/CT findings with those of conventional imaging modalities. Methods We summarized prospectively and retrospectively collected data for 50 consecutive patients from our institution that enrolled in the National Oncologic PET Registry and underwent FDG-PET/CT for a suspected or known primary or recurrent vulvar/vaginal cancer. Results 54/83 (65%) studies included had a diagnosis of vulvar cancer, and the remaining 29/83 (35%), a diagnosis of vaginal cancer. Following FDG-PET/CT, the physician's prognostic impression changed in 51% of cases. A change in patient management, defined as a change to/from a non-interventional strategy (observation or additional imaging), to/from an interventional strategy (biopsy or treatment), was documented in 36% of studies. The electronic records demonstrated that 95% of the management strategies recorded in the physician questionnaires were implemented as planned. MRI and/or CT were performed within one month of the FDG-PET/CT in 20/83 (24%) and 28/83 (34%) cases, respectively. FDG-PET/CT detected nodes suspicious for metastases on 29/83 (35%) studies performed. MRI and CT detected positive nodes on 6 and 11 studies respectively. Distant metastases were identified in 10 cases imaged with FDG-PET and 5 cases that had additional conventional CT imaging. All suspicious lesions seen on CT were positively identified on PET/CT. In 4 cases, an abnormality identified on PET/CT, was not seen on diagnostic CT. Conclusions FDG-PET/CT may play an important role in the management of vulvar and vaginal carcinoma.&quot;,&quot;issue&quot;:&quot;3&quot;,&quot;volume&quot;:&quot;140&quot;},&quot;isTemporary&quot;:false},{&quot;id&quot;:&quot;bd15acea-f107-3f69-ae16-ec11ecc0a657&quot;,&quot;itemData&quot;:{&quot;type&quot;:&quot;article-journal&quot;,&quot;id&quot;:&quot;bd15acea-f107-3f69-ae16-ec11ecc0a657&quot;,&quot;title&quot;:&quot;Groin sentinel node biopsy and 18F-FDG PET/CT-supported preoperative lymph node assessment in cN0 patients with vulvar cancer currently unfit for minimally invasive inguinal surgery: The GroSNaPET study&quot;,&quot;author&quot;:[{&quot;family&quot;:&quot;Garganese&quot;,&quot;given&quot;:&quot;G.&quot;,&quot;parse-names&quot;:false,&quot;dropping-particle&quot;:&quot;&quot;,&quot;non-dropping-particle&quot;:&quot;&quot;},{&quot;family&quot;:&quot;Collarino&quot;,&quot;given&quot;:&quot;A.&quot;,&quot;parse-names&quot;:false,&quot;dropping-particle&quot;:&quot;&quot;,&quot;non-dropping-particle&quot;:&quot;&quot;},{&quot;family&quot;:&quot;Fragomeni&quot;,&quot;given&quot;:&quot;S. M.&quot;,&quot;parse-names&quot;:false,&quot;dropping-particle&quot;:&quot;&quot;,&quot;non-dropping-particle&quot;:&quot;&quot;},{&quot;family&quot;:&quot;Rufini&quot;,&quot;given&quot;:&quot;V.&quot;,&quot;parse-names&quot;:false,&quot;dropping-particle&quot;:&quot;&quot;,&quot;non-dropping-particle&quot;:&quot;&quot;},{&quot;family&quot;:&quot;Perotti&quot;,&quot;given&quot;:&quot;G.&quot;,&quot;parse-names&quot;:false,&quot;dropping-particle&quot;:&quot;&quot;,&quot;non-dropping-particle&quot;:&quot;&quot;},{&quot;family&quot;:&quot;Gentileschi&quot;,&quot;given&quot;:&quot;S.&quot;,&quot;parse-names&quot;:false,&quot;dropping-particle&quot;:&quot;&quot;,&quot;non-dropping-particle&quot;:&quot;&quot;},{&quot;family&quot;:&quot;Evangelista&quot;,&quot;given&quot;:&quot;M. T.&quot;,&quot;parse-names&quot;:false,&quot;dropping-particle&quot;:&quot;&quot;,&quot;non-dropping-particle&quot;:&quot;&quot;},{&quot;family&quot;:&quot;Ieria&quot;,&quot;given&quot;:&quot;F. P.&quot;,&quot;parse-names&quot;:false,&quot;dropping-particle&quot;:&quot;&quot;,&quot;non-dropping-particle&quot;:&quot;&quot;},{&quot;family&quot;:&quot;Zagaria&quot;,&quot;given&quot;:&quot;L.&quot;,&quot;parse-names&quot;:false,&quot;dropping-particle&quot;:&quot;&quot;,&quot;non-dropping-particle&quot;:&quot;&quot;},{&quot;family&quot;:&quot;Bove&quot;,&quot;given&quot;:&quot;S.&quot;,&quot;parse-names&quot;:false,&quot;dropping-particle&quot;:&quot;&quot;,&quot;non-dropping-particle&quot;:&quot;&quot;},{&quot;family&quot;:&quot;Giordano&quot;,&quot;given&quot;:&quot;A.&quot;,&quot;parse-names&quot;:false,&quot;dropping-particle&quot;:&quot;&quot;,&quot;non-dropping-particle&quot;:&quot;&quot;},{&quot;family&quot;:&quot;Scambia&quot;,&quot;given&quot;:&quot;G.&quot;,&quot;parse-names&quot;:false,&quot;dropping-particle&quot;:&quot;&quot;,&quot;non-dropping-particle&quot;:&quot;&quot;}],&quot;container-title&quot;:&quot;Eur J Surg Oncol&quot;,&quot;DOI&quot;:&quot;10.1016/j.ejso.2017.06.018&quot;,&quot;ISSN&quot;:&quot;15322157&quot;,&quot;PMID&quot;:&quot;28751058&quot;,&quot;issued&quot;:{&quot;date-parts&quot;:[[2017]]},&quot;page&quot;:&quot;1776-1783&quot;,&quot;abstract&quot;:&quot;Objective The study aims were: 1) to verify the role of sentinel node biopsy (SNB) in a subset of patients with clinical N0 (cN0) invasive vulvar cancer (VC) who were still candidates for radical inguinal surgery according to the current guidelines; 2) to investigate whether a preoperative 18F-FDG PET/CT (PET/CT) evaluation could improve the selection of node negative patients. Methods From July 2013 to July 2016, all patients with VC admitted to our Division were evaluated by standard imaging and clinical exam. Among the patients assessed as cN0 we enrolled those unsuitable for SNB, due to: T &gt; 4 cm, multifocal tumors, complete tumor diagnostic excision, contralateral nodal involvement and local recurrence. A preoperative PET/CT was performed. For each patient surgery included SNB, performed using a combined technique (radiotracer plus blue dye), followed by standard inguino-femoral lymphadenectomy. The reference standard was histopathology. Results Forty-seven patients entered the study for a total of 73 groins. Histopathology revealed 12 metastatic SNs in 9 groins. No false negative SNs were found (NPV 100%). PET/CT showed a negative predictive value of 93%. Conclusions Our data suggest that SNB is accurate and safe even in cN0 patients currently excluded from this procedure, providing that a careful preoperative selection is performed. PET/CT allows a reliable assessment of LN status and may be an effective support for the selection of patients who are safe candidates for SNB.&quot;,&quot;issue&quot;:&quot;9&quot;,&quot;volume&quot;:&quot;43&quot;},&quot;isTemporary&quot;:false},{&quot;id&quot;:&quot;fcbe0160-5596-3116-841d-0ecedc0fd700&quot;,&quot;itemData&quot;:{&quot;type&quot;:&quot;article-journal&quot;,&quot;id&quot;:&quot;fcbe0160-5596-3116-841d-0ecedc0fd700&quot;,&quot;title&quot;:&quot;18F-FDG PET/CT in preoperative staging of vulvar cancer patients: is it really effective?&quot;,&quot;author&quot;:[{&quot;family&quot;:&quot;Crivellaro&quot;,&quot;given&quot;:&quot;Cinzia&quot;,&quot;parse-names&quot;:false,&quot;dropping-particle&quot;:&quot;&quot;,&quot;non-dropping-particle&quot;:&quot;&quot;},{&quot;family&quot;:&quot;Guglielmo&quot;,&quot;given&quot;:&quot;Priscilla&quot;,&quot;parse-names&quot;:false,&quot;dropping-particle&quot;:&quot;&quot;,&quot;non-dropping-particle&quot;:&quot;&quot;},{&quot;family&quot;:&quot;Ponti&quot;,&quot;given&quot;:&quot;Elena&quot;,&quot;parse-names&quot;:false,&quot;dropping-particle&quot;:&quot;&quot;,&quot;non-dropping-particle&quot;:&quot;de&quot;},{&quot;family&quot;:&quot;Elisei&quot;,&quot;given&quot;:&quot;Federica&quot;,&quot;parse-names&quot;:false,&quot;dropping-particle&quot;:&quot;&quot;,&quot;non-dropping-particle&quot;:&quot;&quot;},{&quot;family&quot;:&quot;Guerra&quot;,&quot;given&quot;:&quot;Luca&quot;,&quot;parse-names&quot;:false,&quot;dropping-particle&quot;:&quot;&quot;,&quot;non-dropping-particle&quot;:&quot;&quot;},{&quot;family&quot;:&quot;Magni&quot;,&quot;given&quot;:&quot;Sonia&quot;,&quot;parse-names&quot;:false,&quot;dropping-particle&quot;:&quot;&quot;,&quot;non-dropping-particle&quot;:&quot;&quot;},{&quot;family&quot;:&quot;Manna&quot;,&quot;given&quot;:&quot;Maria&quot;,&quot;parse-names&quot;:false,&quot;dropping-particle&quot;:&quot;la&quot;,&quot;non-dropping-particle&quot;:&quot;&quot;},{&quot;family&quot;:&quot;Martino&quot;,&quot;given&quot;:&quot;Giampaolo&quot;,&quot;parse-names&quot;:false,&quot;dropping-particle&quot;:&quot;di&quot;,&quot;non-dropping-particle&quot;:&quot;&quot;},{&quot;family&quot;:&quot;Landoni&quot;,&quot;given&quot;:&quot;Claudio&quot;,&quot;parse-names&quot;:false,&quot;dropping-particle&quot;:&quot;&quot;,&quot;non-dropping-particle&quot;:&quot;&quot;},{&quot;family&quot;:&quot;Buda&quot;,&quot;given&quot;:&quot;Alessandro&quot;,&quot;parse-names&quot;:false,&quot;dropping-particle&quot;:&quot;&quot;,&quot;non-dropping-particle&quot;:&quot;&quot;}],&quot;container-title&quot;:&quot;Medicine (Baltimore)&quot;,&quot;DOI&quot;:&quot;10.1097/MD.0000000000007943&quot;,&quot;issued&quot;:{&quot;date-parts&quot;:[[2017]]},&quot;page&quot;:&quot;e7943&quot;,&quot;abstract&quot;:&quot;The aim of this study was to assess the role of 18F-FDG PET/CT in preoperative staging of vulvar cancer patients. 29 pts (69 years, range 51-88) with vulvar cancer (clinical apparent stage I-II), underwent preoperative FDG-PET/CT scan followed by radical vulvectomy and bilateral (or monolateral in case of tumor &gt;2 cm from midline) inguinal lymphadenectomy ± sentinel node biopsy. PET/CT images were analyzed in consensus and correlated to histological findings according to a pt-based and a groin-based analyses. SUV max of the nodal uptake of each inguinal area (if present) was calculated and correlated to histological findings. The presence of distant metastases was also considered and confirmed. PET/CT analysis in consensus resulted negative at the inguinal LN level in 17 pts (10 true negative, 7 false negative) and positive in 12 pts (7 true positive, 5 false positive). Incidence of LN metastases resulted 48%. On pt-based analysis, sensitivity, specificity, accuracy, and negative and positive predictive value of PET/CT in detecting LN metastases were 50%, 67%, 59%, 59%, and 58%, respectively. On a groin-based analysis, considering overall 50 LN-sites, sensitivity, specificity, accuracy, and negative and positive predictive value of PET/CT were 53%, 85%, 73%, 67%, and 76%, respectively. The mean value of SUV max was 6.1 (range 0.7-16.2) for metastatic nodes, whereas 1.6 (range 0.7-5.4) for negative lymph-nodes (P = .007). PET/CT detected pelvic (n = 1) and both pelvic/paraortic (n = 1) nodal metastases. In clinical early stage vulvar cancer FDG PET/CT showed low sensitivity and moderate specificity for N-staging; therefore, it is not an accurate tool for the nodal status assessment. PET/CT may not be cost-effective in detecting the rare event of distant metastases, but further studies are needed. Abbreviations: CT = computed tomography, FDG = fluoro-deoxy-glucose, LN = lymph-node, PET = positron emission tomography, SLN = sentinel lymph-node, SUV = standardized uptake value.&quot;,&quot;volume&quot;:&quot;96&quot;},&quot;isTemporary&quot;:false},{&quot;id&quot;:&quot;410baddd-2fdb-39a1-ba18-ef6048174b6d&quot;,&quot;itemData&quot;:{&quot;type&quot;:&quot;article-journal&quot;,&quot;id&quot;:&quot;410baddd-2fdb-39a1-ba18-ef6048174b6d&quot;,&quot;title&quot;:&quot;Evaluation of dual-timepoint 18F-FDG PET/CT imaging for lymph node staging in vulvar cancer&quot;,&quot;author&quot;:[{&quot;family&quot;:&quot;Collarino&quot;,&quot;given&quot;:&quot;Angela&quot;,&quot;parse-names&quot;:false,&quot;dropping-particle&quot;:&quot;&quot;,&quot;non-dropping-particle&quot;:&quot;&quot;},{&quot;family&quot;:&quot;Garganese&quot;,&quot;given&quot;:&quot;Giorgia&quot;,&quot;parse-names&quot;:false,&quot;dropping-particle&quot;:&quot;&quot;,&quot;non-dropping-particle&quot;:&quot;&quot;},{&quot;family&quot;:&quot;Olmos&quot;,&quot;given&quot;:&quot;Renato A.Valdés&quot;,&quot;parse-names&quot;:false,&quot;dropping-particle&quot;:&quot;&quot;,&quot;non-dropping-particle&quot;:&quot;&quot;},{&quot;family&quot;:&quot;Stefanelli&quot;,&quot;given&quot;:&quot;Antonella&quot;,&quot;parse-names&quot;:false,&quot;dropping-particle&quot;:&quot;&quot;,&quot;non-dropping-particle&quot;:&quot;&quot;},{&quot;family&quot;:&quot;Perotti&quot;,&quot;given&quot;:&quot;Germano&quot;,&quot;parse-names&quot;:false,&quot;dropping-particle&quot;:&quot;&quot;,&quot;non-dropping-particle&quot;:&quot;&quot;},{&quot;family&quot;:&quot;Mirk&quot;,&quot;given&quot;:&quot;Paoletta&quot;,&quot;parse-names&quot;:false,&quot;dropping-particle&quot;:&quot;&quot;,&quot;non-dropping-particle&quot;:&quot;&quot;},{&quot;family&quot;:&quot;Fragomeni&quot;,&quot;given&quot;:&quot;Simona M.&quot;,&quot;parse-names&quot;:false,&quot;dropping-particle&quot;:&quot;&quot;,&quot;non-dropping-particle&quot;:&quot;&quot;},{&quot;family&quot;:&quot;Ieria&quot;,&quot;given&quot;:&quot;Francesco P.&quot;,&quot;parse-names&quot;:false,&quot;dropping-particle&quot;:&quot;&quot;,&quot;non-dropping-particle&quot;:&quot;&quot;},{&quot;family&quot;:&quot;Scambia&quot;,&quot;given&quot;:&quot;Giovanni&quot;,&quot;parse-names&quot;:false,&quot;dropping-particle&quot;:&quot;&quot;,&quot;non-dropping-particle&quot;:&quot;&quot;},{&quot;family&quot;:&quot;Giordano&quot;,&quot;given&quot;:&quot;Alessandro&quot;,&quot;parse-names&quot;:false,&quot;dropping-particle&quot;:&quot;&quot;,&quot;non-dropping-particle&quot;:&quot;&quot;},{&quot;family&quot;:&quot;Rufini&quot;,&quot;given&quot;:&quot;Vittoria&quot;,&quot;parse-names&quot;:false,&quot;dropping-particle&quot;:&quot;&quot;,&quot;non-dropping-particle&quot;:&quot;&quot;}],&quot;container-title&quot;:&quot;J Nucl Med&quot;,&quot;DOI&quot;:&quot;10.2967/jnumed.117.194332&quot;,&quot;ISSN&quot;:&quot;2159662X&quot;,&quot;PMID&quot;:&quot;28546331&quot;,&quot;issued&quot;:{&quot;date-parts&quot;:[[2017]]},&quot;page&quot;:&quot;1913-1918&quot;,&quot;abstract&quot;:&quot;This study aimed to assess the value of dual-timepoint 18F-FDG PET/CT in the prediction of lymph node (LN) status in patients with invasive vulvar cancer (VC) scheduled for inguinofemoral LN dissection. Methods: From April 2013 to July 2015, all consecutive patients with VC scheduled for inguinofemoral LN dissection were prospectively enrolled. All patients underwent a preoperative whole-body 18F-FDG PET/CT scan at 1 h (standard examination) and an additional scan from T11 to the groins at 3 h (delayed examination) after 18F-FDG injection. On both scans, each groin was visually scored 0 or 1 concerning 18F-FDG LN uptake relative to background. Semiquantitative analysis included SUVmax and the corresponding retention index of SUVmax, measured on both scans. The optimal cutoff value of these parameters was defined using a receiveroperating- characteristic analysis. Histopathology was the standard of reference. Results: Thirty-three patients were included, with a total of 57 groins dissected and histologically evaluated. At histopathology, 21 of 57 (37%) groins contained metastatic LNs. Concerning visual score, sensitivity, specificity, negative predictive value, positive predictive value, and accuracy were 95.2%, 75%, 96.4%, 69%, and 82.5% on standard scanning and 95.2%, 77.8%, 96.6%, 71.4%, and 84.2% on delayed scanning, respectively. At receiver-operating-characteristic analysis, sensitivity and specificity were 95.2% and 77.8% on standard and delayed 18F-FDG PET/CT for an SUVmax cutoff of greater than 1.32 and 1.88, respectively, and 95.2% and 80% for a retention index of SUVmax cutoff of greater than 0. Conclusion: Standard 18F-FDG PET/CT is an effective preoperative imaging method for the prediction of LN status in VC, allowing the prediction of pathologically negative groins and thus the selection of patients suitable for minimally invasive surgery. Delayed 18F-FDG PET/CT did not improve the specificity and the positive predictive value in our series. Larger studies are needed for a further validation.&quot;,&quot;issue&quot;:&quot;12&quot;,&quot;volume&quot;:&quot;58&quot;},&quot;isTemporary&quot;:false},{&quot;id&quot;:&quot;19c61e3f-9655-3ecf-8ef3-143831888444&quot;,&quot;itemData&quot;:{&quot;type&quot;:&quot;article-journal&quot;,&quot;id&quot;:&quot;19c61e3f-9655-3ecf-8ef3-143831888444&quot;,&quot;title&quot;:&quot;Positron emission tomography-computed tomography for inguinal nodes in vulvar cancer&quot;,&quot;author&quot;:[{&quot;family&quot;:&quot;Oldan&quot;,&quot;given&quot;:&quot;JorgeDaniel&quot;,&quot;parse-names&quot;:false,&quot;dropping-particle&quot;:&quot;&quot;,&quot;non-dropping-particle&quot;:&quot;&quot;},{&quot;family&quot;:&quot;Sullivan&quot;,&quot;given&quot;:&quot;StephanieA&quot;,&quot;parse-names&quot;:false,&quot;dropping-particle&quot;:&quot;&quot;,&quot;non-dropping-particle&quot;:&quot;&quot;}],&quot;container-title&quot;:&quot;World J Nucl Med&quot;,&quot;DOI&quot;:&quot;10.4103/wjnm.wjnm_32_17&quot;,&quot;ISSN&quot;:&quot;1450-1147&quot;,&quot;issued&quot;:{&quot;date-parts&quot;:[[2018]]},&quot;page&quot;:&quot;139&quot;,&quot;abstract&quot;:&quot;We aimed to determine the sensitivity and specificity of fluorodeoxyglucose (FDG) positron emission tomography-computed tomography (PET-CT) for the spread of disease to inguinal lymph nodes in vulvar cancer. A retrospective review of vulvar cancer patients who underwent both inguinal nodal sampling and dissection as well as FDG PET-CT was performed, with 21 patients meeting criteria. The sensitivity and specificity of the FDG PET-CT imaging was performed using a combination of maximum standardized uptake value (SUVmax), metabolic tumor volume (MTV), and total lesion glycolysis (TLG). Using an SUVmaxcutoff of 4.5 or of two times the average liver uptake, we had a 100% sensitivity and 89% specificity for positive inguinal nodes. MTV and TLG did not add to sensitivity or specificity. We conclude that FDG PET-CT has good sensitivity for inguinal nodal spread in vulvar cancer, and either a quantitative or semiquantitative approach is effective.&quot;,&quot;issue&quot;:&quot;3&quot;,&quot;volume&quot;:&quot;17&quot;},&quot;isTemporary&quot;:false}],&quot;properties&quot;:{&quot;noteIndex&quot;:0},&quot;isEdited&quot;:false,&quot;manualOverride&quot;:{&quot;isManuallyOverriden&quot;:false,&quot;citeprocText&quot;:&quot;[12–20]&quot;,&quot;manualOverrideText&quot;:&quot;&quot;}},{&quot;citationID&quot;:&quot;MENDELEY_CITATION_760f161b-0a8f-4f6b-96dc-f1e20ddcc18b&quot;,&quot;citationItems&quot;:[{&quot;id&quot;:&quot;bd15acea-f107-3f69-ae16-ec11ecc0a657&quot;,&quot;itemData&quot;:{&quot;type&quot;:&quot;article-journal&quot;,&quot;id&quot;:&quot;bd15acea-f107-3f69-ae16-ec11ecc0a657&quot;,&quot;title&quot;:&quot;Groin sentinel node biopsy and 18F-FDG PET/CT-supported preoperative lymph node assessment in cN0 patients with vulvar cancer currently unfit for minimally invasive inguinal surgery: The GroSNaPET study&quot;,&quot;author&quot;:[{&quot;family&quot;:&quot;Garganese&quot;,&quot;given&quot;:&quot;G.&quot;,&quot;parse-names&quot;:false,&quot;dropping-particle&quot;:&quot;&quot;,&quot;non-dropping-particle&quot;:&quot;&quot;},{&quot;family&quot;:&quot;Collarino&quot;,&quot;given&quot;:&quot;A.&quot;,&quot;parse-names&quot;:false,&quot;dropping-particle&quot;:&quot;&quot;,&quot;non-dropping-particle&quot;:&quot;&quot;},{&quot;family&quot;:&quot;Fragomeni&quot;,&quot;given&quot;:&quot;S. M.&quot;,&quot;parse-names&quot;:false,&quot;dropping-particle&quot;:&quot;&quot;,&quot;non-dropping-particle&quot;:&quot;&quot;},{&quot;family&quot;:&quot;Rufini&quot;,&quot;given&quot;:&quot;V.&quot;,&quot;parse-names&quot;:false,&quot;dropping-particle&quot;:&quot;&quot;,&quot;non-dropping-particle&quot;:&quot;&quot;},{&quot;family&quot;:&quot;Perotti&quot;,&quot;given&quot;:&quot;G.&quot;,&quot;parse-names&quot;:false,&quot;dropping-particle&quot;:&quot;&quot;,&quot;non-dropping-particle&quot;:&quot;&quot;},{&quot;family&quot;:&quot;Gentileschi&quot;,&quot;given&quot;:&quot;S.&quot;,&quot;parse-names&quot;:false,&quot;dropping-particle&quot;:&quot;&quot;,&quot;non-dropping-particle&quot;:&quot;&quot;},{&quot;family&quot;:&quot;Evangelista&quot;,&quot;given&quot;:&quot;M. T.&quot;,&quot;parse-names&quot;:false,&quot;dropping-particle&quot;:&quot;&quot;,&quot;non-dropping-particle&quot;:&quot;&quot;},{&quot;family&quot;:&quot;Ieria&quot;,&quot;given&quot;:&quot;F. P.&quot;,&quot;parse-names&quot;:false,&quot;dropping-particle&quot;:&quot;&quot;,&quot;non-dropping-particle&quot;:&quot;&quot;},{&quot;family&quot;:&quot;Zagaria&quot;,&quot;given&quot;:&quot;L.&quot;,&quot;parse-names&quot;:false,&quot;dropping-particle&quot;:&quot;&quot;,&quot;non-dropping-particle&quot;:&quot;&quot;},{&quot;family&quot;:&quot;Bove&quot;,&quot;given&quot;:&quot;S.&quot;,&quot;parse-names&quot;:false,&quot;dropping-particle&quot;:&quot;&quot;,&quot;non-dropping-particle&quot;:&quot;&quot;},{&quot;family&quot;:&quot;Giordano&quot;,&quot;given&quot;:&quot;A.&quot;,&quot;parse-names&quot;:false,&quot;dropping-particle&quot;:&quot;&quot;,&quot;non-dropping-particle&quot;:&quot;&quot;},{&quot;family&quot;:&quot;Scambia&quot;,&quot;given&quot;:&quot;G.&quot;,&quot;parse-names&quot;:false,&quot;dropping-particle&quot;:&quot;&quot;,&quot;non-dropping-particle&quot;:&quot;&quot;}],&quot;container-title&quot;:&quot;Eur J Surg Oncol&quot;,&quot;DOI&quot;:&quot;10.1016/j.ejso.2017.06.018&quot;,&quot;ISSN&quot;:&quot;15322157&quot;,&quot;PMID&quot;:&quot;28751058&quot;,&quot;issued&quot;:{&quot;date-parts&quot;:[[2017]]},&quot;page&quot;:&quot;1776-1783&quot;,&quot;abstract&quot;:&quot;Objective The study aims were: 1) to verify the role of sentinel node biopsy (SNB) in a subset of patients with clinical N0 (cN0) invasive vulvar cancer (VC) who were still candidates for radical inguinal surgery according to the current guidelines; 2) to investigate whether a preoperative 18F-FDG PET/CT (PET/CT) evaluation could improve the selection of node negative patients. Methods From July 2013 to July 2016, all patients with VC admitted to our Division were evaluated by standard imaging and clinical exam. Among the patients assessed as cN0 we enrolled those unsuitable for SNB, due to: T &gt; 4 cm, multifocal tumors, complete tumor diagnostic excision, contralateral nodal involvement and local recurrence. A preoperative PET/CT was performed. For each patient surgery included SNB, performed using a combined technique (radiotracer plus blue dye), followed by standard inguino-femoral lymphadenectomy. The reference standard was histopathology. Results Forty-seven patients entered the study for a total of 73 groins. Histopathology revealed 12 metastatic SNs in 9 groins. No false negative SNs were found (NPV 100%). PET/CT showed a negative predictive value of 93%. Conclusions Our data suggest that SNB is accurate and safe even in cN0 patients currently excluded from this procedure, providing that a careful preoperative selection is performed. PET/CT allows a reliable assessment of LN status and may be an effective support for the selection of patients who are safe candidates for SNB.&quot;,&quot;issue&quot;:&quot;9&quot;,&quot;volume&quot;:&quot;43&quot;},&quot;isTemporary&quot;:false}],&quot;properties&quot;:{&quot;noteIndex&quot;:0},&quot;isEdited&quot;:false,&quot;manualOverride&quot;:{&quot;isManuallyOverriden&quot;:false,&quot;citeprocText&quot;:&quot;[17]&quot;,&quot;manualOverrideText&quot;:&quot;&quot;}},{&quot;citationID&quot;:&quot;MENDELEY_CITATION_7eadd633-6d96-4c88-af60-7464aa916cc8&quot;,&quot;citationItems&quot;:[{&quot;id&quot;:&quot;b974260b-bed2-3943-801b-5b6adc94b4a1&quot;,&quot;itemData&quot;:{&quot;type&quot;:&quot;book&quot;,&quot;id&quot;:&quot;b974260b-bed2-3943-801b-5b6adc94b4a1&quot;,&quot;title&quot;:&quot;NCCN Clinical Practice Guidelines in Oncology (NCCN guidelines), Vulvar cancer (squamous cell carcinoma): version 1.2020&quot;,&quot;accessed&quot;:{&quot;date-parts&quot;:[[2020,9,21]]},&quot;DOI&quot;:&quot;10.1136/jitc-2019-000147&quot;,&quot;URL&quot;:&quot;https://www.nccn.org/professionals/physician_gls/pdf/vulvar.pdf&quot;,&quot;issued&quot;:{&quot;date-parts&quot;:[[2020]]}},&quot;isTemporary&quot;:false},{&quot;id&quot;:&quot;e3e49a8b-9d2f-3b65-9c5b-18ffde7e2593&quot;,&quot;itemData&quot;:{&quot;type&quot;:&quot;article&quot;,&quot;id&quot;:&quot;e3e49a8b-9d2f-3b65-9c5b-18ffde7e2593&quot;,&quot;title&quot;:&quot;Lymphoscintigraphy and sentinel lymph node biopsy in vulvar carcinoma: update from a European expert panel&quot;,&quot;author&quot;:[{&quot;family&quot;:&quot;Collarino&quot;,&quot;given&quot;:&quot;Angela&quot;,&quot;parse-names&quot;:false,&quot;dropping-particle&quot;:&quot;&quot;,&quot;non-dropping-particle&quot;:&quot;&quot;},{&quot;family&quot;:&quot;Fuoco&quot;,&quot;given&quot;:&quot;Valentina&quot;,&quot;parse-names&quot;:false,&quot;dropping-particle&quot;:&quot;&quot;,&quot;non-dropping-particle&quot;:&quot;&quot;},{&quot;family&quot;:&quot;Garganese&quot;,&quot;given&quot;:&quot;Giorgia&quot;,&quot;parse-names&quot;:false,&quot;dropping-particle&quot;:&quot;&quot;,&quot;non-dropping-particle&quot;:&quot;&quot;},{&quot;family&quot;:&quot;Pereira Arias-Bouda&quot;,&quot;given&quot;:&quot;Lenka M.&quot;,&quot;parse-names&quot;:false,&quot;dropping-particle&quot;:&quot;&quot;,&quot;non-dropping-particle&quot;:&quot;&quot;},{&quot;family&quot;:&quot;Perotti&quot;,&quot;given&quot;:&quot;Germano&quot;,&quot;parse-names&quot;:false,&quot;dropping-particle&quot;:&quot;&quot;,&quot;non-dropping-particle&quot;:&quot;&quot;},{&quot;family&quot;:&quot;Manca&quot;,&quot;given&quot;:&quot;Gianpiero&quot;,&quot;parse-names&quot;:false,&quot;dropping-particle&quot;:&quot;&quot;,&quot;non-dropping-particle&quot;:&quot;&quot;},{&quot;family&quot;:&quot;Vidal-Sicart&quot;,&quot;given&quot;:&quot;Sergi&quot;,&quot;parse-names&quot;:false,&quot;dropping-particle&quot;:&quot;&quot;,&quot;non-dropping-particle&quot;:&quot;&quot;},{&quot;family&quot;:&quot;Giammarile&quot;,&quot;given&quot;:&quot;Francesco&quot;,&quot;parse-names&quot;:false,&quot;dropping-particle&quot;:&quot;&quot;,&quot;non-dropping-particle&quot;:&quot;&quot;},{&quot;family&quot;:&quot;Geus-Oei&quot;,&quot;given&quot;:&quot;Lioe Fee&quot;,&quot;parse-names&quot;:false,&quot;dropping-particle&quot;:&quot;&quot;,&quot;non-dropping-particle&quot;:&quot;de&quot;},{&quot;family&quot;:&quot;Scambia&quot;,&quot;given&quot;:&quot;Giovanni&quot;,&quot;parse-names&quot;:false,&quot;dropping-particle&quot;:&quot;&quot;,&quot;non-dropping-particle&quot;:&quot;&quot;},{&quot;family&quot;:&quot;Giordano&quot;,&quot;given&quot;:&quot;Alessandro&quot;,&quot;parse-names&quot;:false,&quot;dropping-particle&quot;:&quot;&quot;,&quot;non-dropping-particle&quot;:&quot;&quot;},{&quot;family&quot;:&quot;Valdés-Olmos&quot;,&quot;given&quot;:&quot;Renato A.&quot;,&quot;parse-names&quot;:false,&quot;dropping-particle&quot;:&quot;&quot;,&quot;non-dropping-particle&quot;:&quot;&quot;},{&quot;family&quot;:&quot;Maccauro&quot;,&quot;given&quot;:&quot;Marco&quot;,&quot;parse-names&quot;:false,&quot;dropping-particle&quot;:&quot;&quot;,&quot;non-dropping-particle&quot;:&quot;&quot;}],&quot;container-title&quot;:&quot;Eur J Nucl Med Mol Imaging&quot;,&quot;DOI&quot;:&quot;10.1007/s00259-019-04650-8&quot;,&quot;ISSN&quot;:&quot;16197089&quot;,&quot;PMID&quot;:&quot;31897584&quot;,&quot;issued&quot;:{&quot;date-parts&quot;:[[2020]]},&quot;page&quot;:&quot;1261-1274&quot;,&quot;abstract&quot;:&quot;Purpose: This study aimed to update the clinical practice applications and technical procedures of sentinel lymph node (SLN) biopsy in vulvar cancer from European experts. Methods: A systematic data search using PubMed/MEDLINE database was performed up to May 29, 2019. Only original studies focused on SLN biopsy in vulvar cancer, published in the English language and with a minimum of nine patients were selected. Results: Among 280 citations, 65 studies fulfilled the inclusion criteria. On the basis of the published evidences and consensus of European experts, this study provides an updated overview on clinical applications and technical procedures of SLN biopsy in vulvar cancer. Conclusions: SLN biopsy is nowadays the standard treatment for well-selected women with clinically negative lymph nodes. Negative SLN is associated with a low groin recurrence rate and a good 5-year disease-specific survival rate. SLN biopsy is the most cost-effective approach than lymphadenectomy in early-stage vulvar cancer. However, future trials should focus on the safe extension of the indication of SLN biopsy in vulvar cancer. Although radiotracers and optical agents are widely used in the clinical routine, there is an increasing interest for hybrid tracers like indocyanine-99mTc-nanocolloid. Finally, it is essential to standardise the acquisition protocol including SPECT/CT images, and due to the low incidence of this type of malignancy to centralise this procedure in experienced centres for personalised approach.&quot;,&quot;issue&quot;:&quot;5&quot;,&quot;volume&quot;:&quot;47&quot;},&quot;isTemporary&quot;:false}],&quot;properties&quot;:{&quot;noteIndex&quot;:0},&quot;isEdited&quot;:false,&quot;manualOverride&quot;:{&quot;isManuallyOverriden&quot;:false,&quot;citeprocText&quot;:&quot;[4,26]&quot;,&quot;manualOverrideText&quot;:&quot;&quot;}},{&quot;citationID&quot;:&quot;MENDELEY_CITATION_de71f3f0-2e8d-47a7-b325-6665c382f375&quot;,&quot;citationItems&quot;:[{&quot;id&quot;:&quot;bd15acea-f107-3f69-ae16-ec11ecc0a657&quot;,&quot;itemData&quot;:{&quot;type&quot;:&quot;article-journal&quot;,&quot;id&quot;:&quot;bd15acea-f107-3f69-ae16-ec11ecc0a657&quot;,&quot;title&quot;:&quot;Groin sentinel node biopsy and 18F-FDG PET/CT-supported preoperative lymph node assessment in cN0 patients with vulvar cancer currently unfit for minimally invasive inguinal surgery: The GroSNaPET study&quot;,&quot;author&quot;:[{&quot;family&quot;:&quot;Garganese&quot;,&quot;given&quot;:&quot;G.&quot;,&quot;parse-names&quot;:false,&quot;dropping-particle&quot;:&quot;&quot;,&quot;non-dropping-particle&quot;:&quot;&quot;},{&quot;family&quot;:&quot;Collarino&quot;,&quot;given&quot;:&quot;A.&quot;,&quot;parse-names&quot;:false,&quot;dropping-particle&quot;:&quot;&quot;,&quot;non-dropping-particle&quot;:&quot;&quot;},{&quot;family&quot;:&quot;Fragomeni&quot;,&quot;given&quot;:&quot;S. M.&quot;,&quot;parse-names&quot;:false,&quot;dropping-particle&quot;:&quot;&quot;,&quot;non-dropping-particle&quot;:&quot;&quot;},{&quot;family&quot;:&quot;Rufini&quot;,&quot;given&quot;:&quot;V.&quot;,&quot;parse-names&quot;:false,&quot;dropping-particle&quot;:&quot;&quot;,&quot;non-dropping-particle&quot;:&quot;&quot;},{&quot;family&quot;:&quot;Perotti&quot;,&quot;given&quot;:&quot;G.&quot;,&quot;parse-names&quot;:false,&quot;dropping-particle&quot;:&quot;&quot;,&quot;non-dropping-particle&quot;:&quot;&quot;},{&quot;family&quot;:&quot;Gentileschi&quot;,&quot;given&quot;:&quot;S.&quot;,&quot;parse-names&quot;:false,&quot;dropping-particle&quot;:&quot;&quot;,&quot;non-dropping-particle&quot;:&quot;&quot;},{&quot;family&quot;:&quot;Evangelista&quot;,&quot;given&quot;:&quot;M. T.&quot;,&quot;parse-names&quot;:false,&quot;dropping-particle&quot;:&quot;&quot;,&quot;non-dropping-particle&quot;:&quot;&quot;},{&quot;family&quot;:&quot;Ieria&quot;,&quot;given&quot;:&quot;F. P.&quot;,&quot;parse-names&quot;:false,&quot;dropping-particle&quot;:&quot;&quot;,&quot;non-dropping-particle&quot;:&quot;&quot;},{&quot;family&quot;:&quot;Zagaria&quot;,&quot;given&quot;:&quot;L.&quot;,&quot;parse-names&quot;:false,&quot;dropping-particle&quot;:&quot;&quot;,&quot;non-dropping-particle&quot;:&quot;&quot;},{&quot;family&quot;:&quot;Bove&quot;,&quot;given&quot;:&quot;S.&quot;,&quot;parse-names&quot;:false,&quot;dropping-particle&quot;:&quot;&quot;,&quot;non-dropping-particle&quot;:&quot;&quot;},{&quot;family&quot;:&quot;Giordano&quot;,&quot;given&quot;:&quot;A.&quot;,&quot;parse-names&quot;:false,&quot;dropping-particle&quot;:&quot;&quot;,&quot;non-dropping-particle&quot;:&quot;&quot;},{&quot;family&quot;:&quot;Scambia&quot;,&quot;given&quot;:&quot;G.&quot;,&quot;parse-names&quot;:false,&quot;dropping-particle&quot;:&quot;&quot;,&quot;non-dropping-particle&quot;:&quot;&quot;}],&quot;container-title&quot;:&quot;Eur J Surg Oncol&quot;,&quot;DOI&quot;:&quot;10.1016/j.ejso.2017.06.018&quot;,&quot;ISSN&quot;:&quot;15322157&quot;,&quot;PMID&quot;:&quot;28751058&quot;,&quot;issued&quot;:{&quot;date-parts&quot;:[[2017]]},&quot;page&quot;:&quot;1776-1783&quot;,&quot;abstract&quot;:&quot;Objective The study aims were: 1) to verify the role of sentinel node biopsy (SNB) in a subset of patients with clinical N0 (cN0) invasive vulvar cancer (VC) who were still candidates for radical inguinal surgery according to the current guidelines; 2) to investigate whether a preoperative 18F-FDG PET/CT (PET/CT) evaluation could improve the selection of node negative patients. Methods From July 2013 to July 2016, all patients with VC admitted to our Division were evaluated by standard imaging and clinical exam. Among the patients assessed as cN0 we enrolled those unsuitable for SNB, due to: T &gt; 4 cm, multifocal tumors, complete tumor diagnostic excision, contralateral nodal involvement and local recurrence. A preoperative PET/CT was performed. For each patient surgery included SNB, performed using a combined technique (radiotracer plus blue dye), followed by standard inguino-femoral lymphadenectomy. The reference standard was histopathology. Results Forty-seven patients entered the study for a total of 73 groins. Histopathology revealed 12 metastatic SNs in 9 groins. No false negative SNs were found (NPV 100%). PET/CT showed a negative predictive value of 93%. Conclusions Our data suggest that SNB is accurate and safe even in cN0 patients currently excluded from this procedure, providing that a careful preoperative selection is performed. PET/CT allows a reliable assessment of LN status and may be an effective support for the selection of patients who are safe candidates for SNB.&quot;,&quot;issue&quot;:&quot;9&quot;,&quot;volume&quot;:&quot;43&quot;},&quot;isTemporary&quot;:false}],&quot;properties&quot;:{&quot;noteIndex&quot;:0},&quot;isEdited&quot;:false,&quot;manualOverride&quot;:{&quot;isManuallyOverriden&quot;:false,&quot;citeprocText&quot;:&quot;[17]&quot;,&quot;manualOverrideText&quot;:&quot;&quot;}},{&quot;citationID&quot;:&quot;MENDELEY_CITATION_4f85575c-3f9b-4d32-88f6-badf8e04b7bd&quot;,&quot;citationItems&quot;:[{&quot;id&quot;:&quot;410baddd-2fdb-39a1-ba18-ef6048174b6d&quot;,&quot;itemData&quot;:{&quot;type&quot;:&quot;article-journal&quot;,&quot;id&quot;:&quot;410baddd-2fdb-39a1-ba18-ef6048174b6d&quot;,&quot;title&quot;:&quot;Evaluation of dual-timepoint 18F-FDG PET/CT imaging for lymph node staging in vulvar cancer&quot;,&quot;author&quot;:[{&quot;family&quot;:&quot;Collarino&quot;,&quot;given&quot;:&quot;Angela&quot;,&quot;parse-names&quot;:false,&quot;dropping-particle&quot;:&quot;&quot;,&quot;non-dropping-particle&quot;:&quot;&quot;},{&quot;family&quot;:&quot;Garganese&quot;,&quot;given&quot;:&quot;Giorgia&quot;,&quot;parse-names&quot;:false,&quot;dropping-particle&quot;:&quot;&quot;,&quot;non-dropping-particle&quot;:&quot;&quot;},{&quot;family&quot;:&quot;Olmos&quot;,&quot;given&quot;:&quot;Renato A.Valdés&quot;,&quot;parse-names&quot;:false,&quot;dropping-particle&quot;:&quot;&quot;,&quot;non-dropping-particle&quot;:&quot;&quot;},{&quot;family&quot;:&quot;Stefanelli&quot;,&quot;given&quot;:&quot;Antonella&quot;,&quot;parse-names&quot;:false,&quot;dropping-particle&quot;:&quot;&quot;,&quot;non-dropping-particle&quot;:&quot;&quot;},{&quot;family&quot;:&quot;Perotti&quot;,&quot;given&quot;:&quot;Germano&quot;,&quot;parse-names&quot;:false,&quot;dropping-particle&quot;:&quot;&quot;,&quot;non-dropping-particle&quot;:&quot;&quot;},{&quot;family&quot;:&quot;Mirk&quot;,&quot;given&quot;:&quot;Paoletta&quot;,&quot;parse-names&quot;:false,&quot;dropping-particle&quot;:&quot;&quot;,&quot;non-dropping-particle&quot;:&quot;&quot;},{&quot;family&quot;:&quot;Fragomeni&quot;,&quot;given&quot;:&quot;Simona M.&quot;,&quot;parse-names&quot;:false,&quot;dropping-particle&quot;:&quot;&quot;,&quot;non-dropping-particle&quot;:&quot;&quot;},{&quot;family&quot;:&quot;Ieria&quot;,&quot;given&quot;:&quot;Francesco P.&quot;,&quot;parse-names&quot;:false,&quot;dropping-particle&quot;:&quot;&quot;,&quot;non-dropping-particle&quot;:&quot;&quot;},{&quot;family&quot;:&quot;Scambia&quot;,&quot;given&quot;:&quot;Giovanni&quot;,&quot;parse-names&quot;:false,&quot;dropping-particle&quot;:&quot;&quot;,&quot;non-dropping-particle&quot;:&quot;&quot;},{&quot;family&quot;:&quot;Giordano&quot;,&quot;given&quot;:&quot;Alessandro&quot;,&quot;parse-names&quot;:false,&quot;dropping-particle&quot;:&quot;&quot;,&quot;non-dropping-particle&quot;:&quot;&quot;},{&quot;family&quot;:&quot;Rufini&quot;,&quot;given&quot;:&quot;Vittoria&quot;,&quot;parse-names&quot;:false,&quot;dropping-particle&quot;:&quot;&quot;,&quot;non-dropping-particle&quot;:&quot;&quot;}],&quot;container-title&quot;:&quot;J Nucl Med&quot;,&quot;DOI&quot;:&quot;10.2967/jnumed.117.194332&quot;,&quot;ISSN&quot;:&quot;2159662X&quot;,&quot;PMID&quot;:&quot;28546331&quot;,&quot;issued&quot;:{&quot;date-parts&quot;:[[2017]]},&quot;page&quot;:&quot;1913-1918&quot;,&quot;abstract&quot;:&quot;This study aimed to assess the value of dual-timepoint 18F-FDG PET/CT in the prediction of lymph node (LN) status in patients with invasive vulvar cancer (VC) scheduled for inguinofemoral LN dissection. Methods: From April 2013 to July 2015, all consecutive patients with VC scheduled for inguinofemoral LN dissection were prospectively enrolled. All patients underwent a preoperative whole-body 18F-FDG PET/CT scan at 1 h (standard examination) and an additional scan from T11 to the groins at 3 h (delayed examination) after 18F-FDG injection. On both scans, each groin was visually scored 0 or 1 concerning 18F-FDG LN uptake relative to background. Semiquantitative analysis included SUVmax and the corresponding retention index of SUVmax, measured on both scans. The optimal cutoff value of these parameters was defined using a receiveroperating- characteristic analysis. Histopathology was the standard of reference. Results: Thirty-three patients were included, with a total of 57 groins dissected and histologically evaluated. At histopathology, 21 of 57 (37%) groins contained metastatic LNs. Concerning visual score, sensitivity, specificity, negative predictive value, positive predictive value, and accuracy were 95.2%, 75%, 96.4%, 69%, and 82.5% on standard scanning and 95.2%, 77.8%, 96.6%, 71.4%, and 84.2% on delayed scanning, respectively. At receiver-operating-characteristic analysis, sensitivity and specificity were 95.2% and 77.8% on standard and delayed 18F-FDG PET/CT for an SUVmax cutoff of greater than 1.32 and 1.88, respectively, and 95.2% and 80% for a retention index of SUVmax cutoff of greater than 0. Conclusion: Standard 18F-FDG PET/CT is an effective preoperative imaging method for the prediction of LN status in VC, allowing the prediction of pathologically negative groins and thus the selection of patients suitable for minimally invasive surgery. Delayed 18F-FDG PET/CT did not improve the specificity and the positive predictive value in our series. Larger studies are needed for a further validation.&quot;,&quot;issue&quot;:&quot;12&quot;,&quot;volume&quot;:&quot;58&quot;},&quot;isTemporary&quot;:false}],&quot;properties&quot;:{&quot;noteIndex&quot;:0},&quot;isEdited&quot;:false,&quot;manualOverride&quot;:{&quot;isManuallyOverriden&quot;:false,&quot;citeprocText&quot;:&quot;[19]&quot;,&quot;manualOverrideText&quot;:&quot;&quot;}},{&quot;citationID&quot;:&quot;MENDELEY_CITATION_1a9be38d-ee70-468b-906c-476a0f67d51f&quot;,&quot;citationItems&quot;:[{&quot;id&quot;:&quot;426278af-4a89-3a00-a277-f5ba4b5a90e7&quot;,&quot;itemData&quot;:{&quot;type&quot;:&quot;article-journal&quot;,&quot;id&quot;:&quot;426278af-4a89-3a00-a277-f5ba4b5a90e7&quot;,&quot;title&quot;:&quot;False positive PET-CT scan and clinical examination in a patient with locally advanced vulvar cancer&quot;,&quot;author&quot;:[{&quot;family&quot;:&quot;Perry&quot;,&quot;given&quot;:&quot;La Toya J.&quot;,&quot;parse-names&quot;:false,&quot;dropping-particle&quot;:&quot;&quot;,&quot;non-dropping-particle&quot;:&quot;&quot;},{&quot;family&quot;:&quot;Guralp&quot;,&quot;given&quot;:&quot;Onur&quot;,&quot;parse-names&quot;:false,&quot;dropping-particle&quot;:&quot;&quot;,&quot;non-dropping-particle&quot;:&quot;&quot;},{&quot;family&quot;:&quot;Al-Niaimi&quot;,&quot;given&quot;:&quot;Ahmed&quot;,&quot;parse-names&quot;:false,&quot;dropping-particle&quot;:&quot;&quot;,&quot;non-dropping-particle&quot;:&quot;&quot;},{&quot;family&quot;:&quot;Zucker&quot;,&quot;given&quot;:&quot;Noah A.&quot;,&quot;parse-names&quot;:false,&quot;dropping-particle&quot;:&quot;&quot;,&quot;non-dropping-particle&quot;:&quot;&quot;},{&quot;family&quot;:&quot;Kushner&quot;,&quot;given&quot;:&quot;David M.&quot;,&quot;parse-names&quot;:false,&quot;dropping-particle&quot;:&quot;&quot;,&quot;non-dropping-particle&quot;:&quot;&quot;}],&quot;container-title&quot;:&quot;Gynecol Oncol CaseRep&quot;,&quot;DOI&quot;:&quot;10.1016/j.gynor.2012.12.009&quot;,&quot;ISSN&quot;:&quot;2211338X&quot;,&quot;issued&quot;:{&quot;date-parts&quot;:[[2013]]},&quot;page&quot;:&quot;29-31&quot;,&quot;volume&quot;:&quot;4&quot;},&quot;isTemporary&quot;:false}],&quot;properties&quot;:{&quot;noteIndex&quot;:0},&quot;isEdited&quot;:false,&quot;manualOverride&quot;:{&quot;isManuallyOverriden&quot;:false,&quot;citeprocText&quot;:&quot;[27]&quot;,&quot;manualOverrideText&quot;:&quot;&quot;}},{&quot;citationID&quot;:&quot;MENDELEY_CITATION_7911300b-a30e-45fd-a0d4-90a81eae8e66&quot;,&quot;citationItems&quot;:[{&quot;id&quot;:&quot;4ab02827-0297-3d26-a576-99a14be68f87&quot;,&quot;itemData&quot;:{&quot;type&quot;:&quot;article-journal&quot;,&quot;id&quot;:&quot;4ab02827-0297-3d26-a576-99a14be68f87&quot;,&quot;title&quot;:&quot;Computed tomography, magnetic resonance imaging and FDG positron emission tomography in the management of vulvar malignancies&quot;,&quot;author&quot;:[{&quot;family&quot;:&quot;Lin&quot;,&quot;given&quot;:&quot;Gigin&quot;,&quot;parse-names&quot;:false,&quot;dropping-particle&quot;:&quot;&quot;,&quot;non-dropping-particle&quot;:&quot;&quot;},{&quot;family&quot;:&quot;Chen&quot;,&quot;given&quot;:&quot;Chao Yu&quot;,&quot;parse-names&quot;:false,&quot;dropping-particle&quot;:&quot;&quot;,&quot;non-dropping-particle&quot;:&quot;&quot;},{&quot;family&quot;:&quot;Liu&quot;,&quot;given&quot;:&quot;Feng Yuan&quot;,&quot;parse-names&quot;:false,&quot;dropping-particle&quot;:&quot;&quot;,&quot;non-dropping-particle&quot;:&quot;&quot;},{&quot;family&quot;:&quot;Yang&quot;,&quot;given&quot;:&quot;Lan Yan&quot;,&quot;parse-names&quot;:false,&quot;dropping-particle&quot;:&quot;&quot;,&quot;non-dropping-particle&quot;:&quot;&quot;},{&quot;family&quot;:&quot;Huang&quot;,&quot;given&quot;:&quot;Huei Jean&quot;,&quot;parse-names&quot;:false,&quot;dropping-particle&quot;:&quot;&quot;,&quot;non-dropping-particle&quot;:&quot;&quot;},{&quot;family&quot;:&quot;Huang&quot;,&quot;given&quot;:&quot;Yi Ting&quot;,&quot;parse-names&quot;:false,&quot;dropping-particle&quot;:&quot;&quot;,&quot;non-dropping-particle&quot;:&quot;&quot;},{&quot;family&quot;:&quot;Jung&quot;,&quot;given&quot;:&quot;Shih Ming&quot;,&quot;parse-names&quot;:false,&quot;dropping-particle&quot;:&quot;&quot;,&quot;non-dropping-particle&quot;:&quot;&quot;},{&quot;family&quot;:&quot;Chou&quot;,&quot;given&quot;:&quot;Hung Hsueh&quot;,&quot;parse-names&quot;:false,&quot;dropping-particle&quot;:&quot;&quot;,&quot;non-dropping-particle&quot;:&quot;&quot;},{&quot;family&quot;:&quot;Lai&quot;,&quot;given&quot;:&quot;Chyong Huey&quot;,&quot;parse-names&quot;:false,&quot;dropping-particle&quot;:&quot;&quot;,&quot;non-dropping-particle&quot;:&quot;&quot;},{&quot;family&quot;:&quot;Ng&quot;,&quot;given&quot;:&quot;Koon Kwan&quot;,&quot;parse-names&quot;:false,&quot;dropping-particle&quot;:&quot;&quot;,&quot;non-dropping-particle&quot;:&quot;&quot;}],&quot;container-title&quot;:&quot;Eur Radiol&quot;,&quot;DOI&quot;:&quot;10.1007/s00330-014-3530-1&quot;,&quot;ISSN&quot;:&quot;14321084&quot;,&quot;PMID&quot;:&quot;25477274&quot;,&quot;issued&quot;:{&quot;date-parts&quot;:[[2015]]},&quot;page&quot;:&quot;1267-1278&quot;,&quot;abstract&quot;:&quot;Objectives: To prospectively evaluate the value of CT or MRI (CT/MRI) and PET in the management of vulvar malignancies. Methods: Abdominal and pelvic CT/MRI and whole-body 18 F-FDG (fluorodeoxyglucose) PET or PET/CT (collectively designated PET hereafter) were performed. Lesion status was determined by the pathological findings or clinical follow-up. The diagnostic efficacy was evaluated by receiver operating characteristic (ROC) curve analysis. The clinical impact of PET was determined on a per scan basis. Results: Twenty-three patients were enrolled, and 38 PET examinations were performed. CT/MRI and PET studies were used for primary staging (n = 17), monitoring the response (n = 7) and restaging after recurrence (n = 14). In primary staging, there was no significant difference between CT/MRI and PET in detecting metastatic inguinal lymph nodes (ILN). CT/MRI was significantly more efficacious than PET in detecting pelvic lymph node (PLN) or distant metastasis (p = 0.007 by ROC per patient basis). PET findings resulted in two positive impacts and one negative impact for both primary staging and restaging. Conclusions: False-positive PLN or distant metastasis PET findings are not uncommon, and hence should be interpreted with caution. PET can be supportive when metastatic ILN/PLN or distant metastasis is suspected on CT/MRI. • CT/MRI has value in the management of vulvar malignancies. Key Points: • False-positive metastatic PLN or distant metastasis PET findings are not uncommon. • PET can be supportive when metastasis is suspected by CT/MRI.&quot;,&quot;issue&quot;:&quot;5&quot;,&quot;volume&quot;:&quot;25&quot;},&quot;isTemporary&quot;:false},{&quot;id&quot;:&quot;8478b000-ecb9-3a5e-8138-9c6f73a67960&quot;,&quot;itemData&quot;:{&quot;type&quot;:&quot;article-journal&quot;,&quot;id&quot;:&quot;8478b000-ecb9-3a5e-8138-9c6f73a67960&quot;,&quot;title&quot;:&quot;Prospective evaluation of positron emission tomography for the detection of groin node metastases from vulvar cancer&quot;,&quot;author&quot;:[{&quot;family&quot;:&quot;Cohn&quot;,&quot;given&quot;:&quot;David E.&quot;,&quot;parse-names&quot;:false,&quot;dropping-particle&quot;:&quot;&quot;,&quot;non-dropping-particle&quot;:&quot;&quot;},{&quot;family&quot;:&quot;Dehdashti&quot;,&quot;given&quot;:&quot;Farrokh&quot;,&quot;parse-names&quot;:false,&quot;dropping-particle&quot;:&quot;&quot;,&quot;non-dropping-particle&quot;:&quot;&quot;},{&quot;family&quot;:&quot;Gibb&quot;,&quot;given&quot;:&quot;Randall K.&quot;,&quot;parse-names&quot;:false,&quot;dropping-particle&quot;:&quot;&quot;,&quot;non-dropping-particle&quot;:&quot;&quot;},{&quot;family&quot;:&quot;Mutch&quot;,&quot;given&quot;:&quot;David G.&quot;,&quot;parse-names&quot;:false,&quot;dropping-particle&quot;:&quot;&quot;,&quot;non-dropping-particle&quot;:&quot;&quot;},{&quot;family&quot;:&quot;Rader&quot;,&quot;given&quot;:&quot;Janet S.&quot;,&quot;parse-names&quot;:false,&quot;dropping-particle&quot;:&quot;&quot;,&quot;non-dropping-particle&quot;:&quot;&quot;},{&quot;family&quot;:&quot;Siegel&quot;,&quot;given&quot;:&quot;Barry A.&quot;,&quot;parse-names&quot;:false,&quot;dropping-particle&quot;:&quot;&quot;,&quot;non-dropping-particle&quot;:&quot;&quot;},{&quot;family&quot;:&quot;Herzog&quot;,&quot;given&quot;:&quot;Thomas J.&quot;,&quot;parse-names&quot;:false,&quot;dropping-particle&quot;:&quot;&quot;,&quot;non-dropping-particle&quot;:&quot;&quot;}],&quot;container-title&quot;:&quot;Gynecol Oncol&quot;,&quot;DOI&quot;:&quot;10.1006/gyno.2002.6605&quot;,&quot;ISSN&quot;:&quot;00908258&quot;,&quot;PMID&quot;:&quot;11925141&quot;,&quot;issued&quot;:{&quot;date-parts&quot;:[[2002]]},&quot;page&quot;:&quot;179-184&quot;,&quot;abstract&quot;:&quot;Objective. We set out to determine the ability of positron emission tomography with fluorodeoxyglucose to detect groin lymph node metastases from vulvar cancer. Methods. From January 2000 to August 2001, patients with squamous cell cancer of the vulva undergoing radical excision and lymphadenectomy were offered preoperative positron emission tomography. The imaging and pathologic status of each patient and groin were compared, and the sensitivity, specificity, and predictive value of positron emission tomography in predicting nodal metastasis were determined. Results. Fifteen patients underwent positron emission tomography prior to exploration of 29 groins. Six patients had positive scans, suggesting metastases in 8 groins. Pathologically, 5 patients had metastases in 9 groins, with positron emission tomography demonstrating metastases in 4 of 5 patients and 6 of 9 groins with disease. On a patient-by-patients basis, positron emission tomography had a sensitivity of 80%, specificity of 90%, positive predictive value of 80%, and negative predictive value of 90% in demonstrating metastases. On a groin-by-groin basis, positron emission tomography had a sensitivity of 67%, specificity of 95%, positive predictive value of 86%, and negative predictive value of 86%. Positron emission tomography was more accurate in detecting extranodal metastases than disease confined within the groin nodes (P = 0.048). Conclusions. Positron emission tomography is relatively insensitive in predicting lymph node metastasis, and a negative study is not a reliable surrogate for a pathologically negative groin. However, the high specificity suggests that positron emission tomography is useful in planning radiation therapy and as an adjunct to lymphatic mapping and sentinel lymph node dissection. © 2002 Elsevier Science (USA).&quot;,&quot;issue&quot;:&quot;1&quot;,&quot;volume&quot;:&quot;85&quot;},&quot;isTemporary&quot;:false},{&quot;id&quot;:&quot;0e91defd-9bbd-3502-856e-966b468f6bb9&quot;,&quot;itemData&quot;:{&quot;type&quot;:&quot;article-journal&quot;,&quot;id&quot;:&quot;0e91defd-9bbd-3502-856e-966b468f6bb9&quot;,&quot;title&quot;:&quot;Whole-body [18F]fluoro-2-deoxyglucose positron emission tomography scan as combined PET-CT staging prior to planned radical vulvectomy and inguinofemoral lymphadenectomy for squamous vulvar cancer: a correlation with groin node metastasis&quot;,&quot;author&quot;:[{&quot;family&quot;:&quot;Kamran&quot;,&quot;given&quot;:&quot;M W&quot;,&quot;parse-names&quot;:false,&quot;dropping-particle&quot;:&quot;&quot;,&quot;non-dropping-particle&quot;:&quot;&quot;},{&quot;family&quot;:&quot;O'Toole&quot;,&quot;given&quot;:&quot;F&quot;,&quot;parse-names&quot;:false,&quot;dropping-particle&quot;:&quot;&quot;,&quot;non-dropping-particle&quot;:&quot;&quot;},{&quot;family&quot;:&quot;Meghen&quot;,&quot;given&quot;:&quot;K&quot;,&quot;parse-names&quot;:false,&quot;dropping-particle&quot;:&quot;&quot;,&quot;non-dropping-particle&quot;:&quot;&quot;},{&quot;family&quot;:&quot;Saadeh&quot;,&quot;given&quot;:&quot;F A&quot;,&quot;parse-names&quot;:false,&quot;dropping-particle&quot;:&quot;&quot;,&quot;non-dropping-particle&quot;:&quot;&quot;},{&quot;family&quot;:&quot;Gleeson&quot;,&quot;given&quot;:&quot;N&quot;,&quot;parse-names&quot;:false,&quot;dropping-particle&quot;:&quot;&quot;,&quot;non-dropping-particle&quot;:&quot;&quot;}],&quot;container-title&quot;:&quot;Eur J Gynaecol Oncol&quot;,&quot;PMID&quot;:&quot;24984533&quot;,&quot;issued&quot;:{&quot;date-parts&quot;:[[2014]]},&quot;page&quot;:&quot;230-235&quot;,&quot;abstract&quot;:&quot;Surgery is the mainstay of treatment for vulvar cancer. FIGO staging requires histopathological detail of the primary tumor and inguinofemoral lymph nodes but groin node dissection carries a substantial risk of short and long-term morbidity. The trend in current practice is towards sentinel lymphadenectomy for cancers with a low risk of metastases. Full lymphadenectomy is undertaken if the sentinel lymph node contains metastasis. The predictive value of 18F-FDG-PET in preoperative assessment of the groin in vulvar squamous cancer was assessed in retrospect at a single institution. A period of three years prior to the introduction of sentinel lymph node mapping was chosen in order to have full histopathological assessment of inguinal and femoral lymph nodes available as the gold standard for correlation with positron emission tomography-computerized tomography (PET-CT) to determine the accuracy of the enhanced radiological technique. In patients with histologically proven metastases to groin nodes, comparisons between PET-CT positive (True-positive/TP) and negative (False-negative/FN) groups vis-à-vis histology showed a tendency towards higher FDG avidity in the vulvar lesions, more bilateral nodes, multiple metastases, larger metastases and more extra-capsular extension in the TP group. Calculations per patient for PET-CT yielded a sensitivity of 50% and specificity at 100%. The positive predictive value (PPV) was 100% and the negative predictive value (NPV) was 57.1%. The test accuracy was 70% per patient. The high positive predictive value of PET-CT can be used to advance treatment planning prior to surgical staging of patients identified with Stage III disease. The poor sensitivity makes it unsuitable as a substitute for staging lymphadenectomy.&quot;,&quot;issue&quot;:&quot;3&quot;,&quot;volume&quot;:&quot;35&quot;},&quot;isTemporary&quot;:false},{&quot;id&quot;:&quot;bd15acea-f107-3f69-ae16-ec11ecc0a657&quot;,&quot;itemData&quot;:{&quot;type&quot;:&quot;article-journal&quot;,&quot;id&quot;:&quot;bd15acea-f107-3f69-ae16-ec11ecc0a657&quot;,&quot;title&quot;:&quot;Groin sentinel node biopsy and 18F-FDG PET/CT-supported preoperative lymph node assessment in cN0 patients with vulvar cancer currently unfit for minimally invasive inguinal surgery: The GroSNaPET study&quot;,&quot;author&quot;:[{&quot;family&quot;:&quot;Garganese&quot;,&quot;given&quot;:&quot;G.&quot;,&quot;parse-names&quot;:false,&quot;dropping-particle&quot;:&quot;&quot;,&quot;non-dropping-particle&quot;:&quot;&quot;},{&quot;family&quot;:&quot;Collarino&quot;,&quot;given&quot;:&quot;A.&quot;,&quot;parse-names&quot;:false,&quot;dropping-particle&quot;:&quot;&quot;,&quot;non-dropping-particle&quot;:&quot;&quot;},{&quot;family&quot;:&quot;Fragomeni&quot;,&quot;given&quot;:&quot;S. M.&quot;,&quot;parse-names&quot;:false,&quot;dropping-particle&quot;:&quot;&quot;,&quot;non-dropping-particle&quot;:&quot;&quot;},{&quot;family&quot;:&quot;Rufini&quot;,&quot;given&quot;:&quot;V.&quot;,&quot;parse-names&quot;:false,&quot;dropping-particle&quot;:&quot;&quot;,&quot;non-dropping-particle&quot;:&quot;&quot;},{&quot;family&quot;:&quot;Perotti&quot;,&quot;given&quot;:&quot;G.&quot;,&quot;parse-names&quot;:false,&quot;dropping-particle&quot;:&quot;&quot;,&quot;non-dropping-particle&quot;:&quot;&quot;},{&quot;family&quot;:&quot;Gentileschi&quot;,&quot;given&quot;:&quot;S.&quot;,&quot;parse-names&quot;:false,&quot;dropping-particle&quot;:&quot;&quot;,&quot;non-dropping-particle&quot;:&quot;&quot;},{&quot;family&quot;:&quot;Evangelista&quot;,&quot;given&quot;:&quot;M. T.&quot;,&quot;parse-names&quot;:false,&quot;dropping-particle&quot;:&quot;&quot;,&quot;non-dropping-particle&quot;:&quot;&quot;},{&quot;family&quot;:&quot;Ieria&quot;,&quot;given&quot;:&quot;F. P.&quot;,&quot;parse-names&quot;:false,&quot;dropping-particle&quot;:&quot;&quot;,&quot;non-dropping-particle&quot;:&quot;&quot;},{&quot;family&quot;:&quot;Zagaria&quot;,&quot;given&quot;:&quot;L.&quot;,&quot;parse-names&quot;:false,&quot;dropping-particle&quot;:&quot;&quot;,&quot;non-dropping-particle&quot;:&quot;&quot;},{&quot;family&quot;:&quot;Bove&quot;,&quot;given&quot;:&quot;S.&quot;,&quot;parse-names&quot;:false,&quot;dropping-particle&quot;:&quot;&quot;,&quot;non-dropping-particle&quot;:&quot;&quot;},{&quot;family&quot;:&quot;Giordano&quot;,&quot;given&quot;:&quot;A.&quot;,&quot;parse-names&quot;:false,&quot;dropping-particle&quot;:&quot;&quot;,&quot;non-dropping-particle&quot;:&quot;&quot;},{&quot;family&quot;:&quot;Scambia&quot;,&quot;given&quot;:&quot;G.&quot;,&quot;parse-names&quot;:false,&quot;dropping-particle&quot;:&quot;&quot;,&quot;non-dropping-particle&quot;:&quot;&quot;}],&quot;container-title&quot;:&quot;Eur J Surg Oncol&quot;,&quot;DOI&quot;:&quot;10.1016/j.ejso.2017.06.018&quot;,&quot;ISSN&quot;:&quot;15322157&quot;,&quot;PMID&quot;:&quot;28751058&quot;,&quot;issued&quot;:{&quot;date-parts&quot;:[[2017]]},&quot;page&quot;:&quot;1776-1783&quot;,&quot;abstract&quot;:&quot;Objective The study aims were: 1) to verify the role of sentinel node biopsy (SNB) in a subset of patients with clinical N0 (cN0) invasive vulvar cancer (VC) who were still candidates for radical inguinal surgery according to the current guidelines; 2) to investigate whether a preoperative 18F-FDG PET/CT (PET/CT) evaluation could improve the selection of node negative patients. Methods From July 2013 to July 2016, all patients with VC admitted to our Division were evaluated by standard imaging and clinical exam. Among the patients assessed as cN0 we enrolled those unsuitable for SNB, due to: T &gt; 4 cm, multifocal tumors, complete tumor diagnostic excision, contralateral nodal involvement and local recurrence. A preoperative PET/CT was performed. For each patient surgery included SNB, performed using a combined technique (radiotracer plus blue dye), followed by standard inguino-femoral lymphadenectomy. The reference standard was histopathology. Results Forty-seven patients entered the study for a total of 73 groins. Histopathology revealed 12 metastatic SNs in 9 groins. No false negative SNs were found (NPV 100%). PET/CT showed a negative predictive value of 93%. Conclusions Our data suggest that SNB is accurate and safe even in cN0 patients currently excluded from this procedure, providing that a careful preoperative selection is performed. PET/CT allows a reliable assessment of LN status and may be an effective support for the selection of patients who are safe candidates for SNB.&quot;,&quot;issue&quot;:&quot;9&quot;,&quot;volume&quot;:&quot;43&quot;},&quot;isTemporary&quot;:false}],&quot;properties&quot;:{&quot;noteIndex&quot;:0},&quot;isEdited&quot;:false,&quot;manualOverride&quot;:{&quot;isManuallyOverriden&quot;:false,&quot;citeprocText&quot;:&quot;[12–14,17]&quot;,&quot;manualOverrideText&quot;:&quot;&quot;}},{&quot;citationID&quot;:&quot;MENDELEY_CITATION_7bae5b52-5a54-44bd-9877-ba94952b17ac&quot;,&quot;citationItems&quot;:[{&quot;id&quot;:&quot;d200cf59-cba9-3d94-b0f3-4a1d44333b28&quot;,&quot;itemData&quot;:{&quot;type&quot;:&quot;article-journal&quot;,&quot;id&quot;:&quot;d200cf59-cba9-3d94-b0f3-4a1d44333b28&quot;,&quot;title&quot;:&quot;F-18 fluoro-d-glucose (FDG)-positron emission tomography (PET)/computed tomography (CT) in planning of surgery and sentinel lymph node screening in vulvar cancers&quot;,&quot;author&quot;:[{&quot;family&quot;:&quot;Dolanbay&quot;,&quot;given&quot;:&quot;Mehmet&quot;,&quot;parse-names&quot;:false,&quot;dropping-particle&quot;:&quot;&quot;,&quot;non-dropping-particle&quot;:&quot;&quot;},{&quot;family&quot;:&quot;Ozcelik&quot;,&quot;given&quot;:&quot;Bulent&quot;,&quot;parse-names&quot;:false,&quot;dropping-particle&quot;:&quot;&quot;,&quot;non-dropping-particle&quot;:&quot;&quot;},{&quot;family&quot;:&quot;Abdulrezzak&quot;,&quot;given&quot;:&quot;Ummuhan&quot;,&quot;parse-names&quot;:false,&quot;dropping-particle&quot;:&quot;&quot;,&quot;non-dropping-particle&quot;:&quot;&quot;},{&quot;family&quot;:&quot;Serin&quot;,&quot;given&quot;:&quot;Ibrahim Serdar&quot;,&quot;parse-names&quot;:false,&quot;dropping-particle&quot;:&quot;&quot;,&quot;non-dropping-particle&quot;:&quot;&quot;},{&quot;family&quot;:&quot;Kutuk&quot;,&quot;given&quot;:&quot;Mehmet Serdar&quot;,&quot;parse-names&quot;:false,&quot;dropping-particle&quot;:&quot;&quot;,&quot;non-dropping-particle&quot;:&quot;&quot;},{&quot;family&quot;:&quot;Uludag&quot;,&quot;given&quot;:&quot;Semih&quot;,&quot;parse-names&quot;:false,&quot;dropping-particle&quot;:&quot;&quot;,&quot;non-dropping-particle&quot;:&quot;&quot;}],&quot;container-title&quot;:&quot;Arch Gynecol Obstet&quot;,&quot;DOI&quot;:&quot;10.1007/s00404-015-3927-3&quot;,&quot;ISSN&quot;:&quot;14320711&quot;,&quot;PMID&quot;:&quot;26498604&quot;,&quot;issued&quot;:{&quot;date-parts&quot;:[[2016]]},&quot;page&quot;:&quot;1319-1324&quot;,&quot;abstract&quot;:&quot;Purpose: To determine the effectiveness of FDG-PET/CT in the assessment of inguinofemoral lymph node (IFLN) in patients with vulvar cancer by comparing FDG-PET/CT results, sentinel lymph node (SLN) screening with gamma probe, and the results of frozen section and definitive pathology in these lymph nodes. Study design: This prospective study included eight patients, who were diagnosed with vulvar cancer at the Gynecology and Obstetrics Department of Erciyes University, Turkey. All patients underwent FDG-PET/CT before surgery. Local excision and IFLN dissection were planned by assessing IFLN involvement with SLN screening with Tc-99m nanocolloid plus frozen section. Intraoperatively, SLN screening was performed by using a gamma probe, and these lymph nodes were excised and then evaluated by frozen section. Regardless of the frozen section results, the IFLNs were totally excised. The FDG-PET/CT scan results, SLN plus frozen section results and definitive pathology results of the inguinal lymph nodes were compared. Results: The mean age was 64.50 ± 13.25 years (min–max 43–79 years). All tumors were squamous cell carcinomas. FDG-PET/CT scan determined vulvar lesions accurately in all patients (8/8; 100 %). When inguinal lymph nodes were assessed by FDG uptake and SUVmax values, lymph nodes were interpreted as reactive in four patients (4/8; 50 %) and metastatic in the others (4/8; 50 %). In all patients frozen section confirmed the FDG-PET–CT results and definitive histopathology results confirmed the frozen section and FDG-PET–CT results (8/8; 100 %). Conclusions: In light of these data, FDG-PET/CT scanning is an effective method for the detection of primary tumor in vulvar cancer. Although it seems to be an effective method for the detection of IFLN metastasis, these findings must be supported by further studies with larger sample size for use in the planning of primary surgery and inguinal lymph node dissection without SLN dissection and frozen section, as a minimal invasive method.&quot;,&quot;issue&quot;:&quot;6&quot;,&quot;volume&quot;:&quot;293&quot;},&quot;isTemporary&quot;:false},{&quot;id&quot;:&quot;fcbe0160-5596-3116-841d-0ecedc0fd700&quot;,&quot;itemData&quot;:{&quot;type&quot;:&quot;article-journal&quot;,&quot;id&quot;:&quot;fcbe0160-5596-3116-841d-0ecedc0fd700&quot;,&quot;title&quot;:&quot;18F-FDG PET/CT in preoperative staging of vulvar cancer patients: is it really effective?&quot;,&quot;author&quot;:[{&quot;family&quot;:&quot;Crivellaro&quot;,&quot;given&quot;:&quot;Cinzia&quot;,&quot;parse-names&quot;:false,&quot;dropping-particle&quot;:&quot;&quot;,&quot;non-dropping-particle&quot;:&quot;&quot;},{&quot;family&quot;:&quot;Guglielmo&quot;,&quot;given&quot;:&quot;Priscilla&quot;,&quot;parse-names&quot;:false,&quot;dropping-particle&quot;:&quot;&quot;,&quot;non-dropping-particle&quot;:&quot;&quot;},{&quot;family&quot;:&quot;Ponti&quot;,&quot;given&quot;:&quot;Elena&quot;,&quot;parse-names&quot;:false,&quot;dropping-particle&quot;:&quot;&quot;,&quot;non-dropping-particle&quot;:&quot;de&quot;},{&quot;family&quot;:&quot;Elisei&quot;,&quot;given&quot;:&quot;Federica&quot;,&quot;parse-names&quot;:false,&quot;dropping-particle&quot;:&quot;&quot;,&quot;non-dropping-particle&quot;:&quot;&quot;},{&quot;family&quot;:&quot;Guerra&quot;,&quot;given&quot;:&quot;Luca&quot;,&quot;parse-names&quot;:false,&quot;dropping-particle&quot;:&quot;&quot;,&quot;non-dropping-particle&quot;:&quot;&quot;},{&quot;family&quot;:&quot;Magni&quot;,&quot;given&quot;:&quot;Sonia&quot;,&quot;parse-names&quot;:false,&quot;dropping-particle&quot;:&quot;&quot;,&quot;non-dropping-particle&quot;:&quot;&quot;},{&quot;family&quot;:&quot;Manna&quot;,&quot;given&quot;:&quot;Maria&quot;,&quot;parse-names&quot;:false,&quot;dropping-particle&quot;:&quot;la&quot;,&quot;non-dropping-particle&quot;:&quot;&quot;},{&quot;family&quot;:&quot;Martino&quot;,&quot;given&quot;:&quot;Giampaolo&quot;,&quot;parse-names&quot;:false,&quot;dropping-particle&quot;:&quot;di&quot;,&quot;non-dropping-particle&quot;:&quot;&quot;},{&quot;family&quot;:&quot;Landoni&quot;,&quot;given&quot;:&quot;Claudio&quot;,&quot;parse-names&quot;:false,&quot;dropping-particle&quot;:&quot;&quot;,&quot;non-dropping-particle&quot;:&quot;&quot;},{&quot;family&quot;:&quot;Buda&quot;,&quot;given&quot;:&quot;Alessandro&quot;,&quot;parse-names&quot;:false,&quot;dropping-particle&quot;:&quot;&quot;,&quot;non-dropping-particle&quot;:&quot;&quot;}],&quot;container-title&quot;:&quot;Medicine (Baltimore)&quot;,&quot;DOI&quot;:&quot;10.1097/MD.0000000000007943&quot;,&quot;issued&quot;:{&quot;date-parts&quot;:[[2017]]},&quot;page&quot;:&quot;e7943&quot;,&quot;abstract&quot;:&quot;The aim of this study was to assess the role of 18F-FDG PET/CT in preoperative staging of vulvar cancer patients. 29 pts (69 years, range 51-88) with vulvar cancer (clinical apparent stage I-II), underwent preoperative FDG-PET/CT scan followed by radical vulvectomy and bilateral (or monolateral in case of tumor &gt;2 cm from midline) inguinal lymphadenectomy ± sentinel node biopsy. PET/CT images were analyzed in consensus and correlated to histological findings according to a pt-based and a groin-based analyses. SUV max of the nodal uptake of each inguinal area (if present) was calculated and correlated to histological findings. The presence of distant metastases was also considered and confirmed. PET/CT analysis in consensus resulted negative at the inguinal LN level in 17 pts (10 true negative, 7 false negative) and positive in 12 pts (7 true positive, 5 false positive). Incidence of LN metastases resulted 48%. On pt-based analysis, sensitivity, specificity, accuracy, and negative and positive predictive value of PET/CT in detecting LN metastases were 50%, 67%, 59%, 59%, and 58%, respectively. On a groin-based analysis, considering overall 50 LN-sites, sensitivity, specificity, accuracy, and negative and positive predictive value of PET/CT were 53%, 85%, 73%, 67%, and 76%, respectively. The mean value of SUV max was 6.1 (range 0.7-16.2) for metastatic nodes, whereas 1.6 (range 0.7-5.4) for negative lymph-nodes (P = .007). PET/CT detected pelvic (n = 1) and both pelvic/paraortic (n = 1) nodal metastases. In clinical early stage vulvar cancer FDG PET/CT showed low sensitivity and moderate specificity for N-staging; therefore, it is not an accurate tool for the nodal status assessment. PET/CT may not be cost-effective in detecting the rare event of distant metastases, but further studies are needed. Abbreviations: CT = computed tomography, FDG = fluoro-deoxy-glucose, LN = lymph-node, PET = positron emission tomography, SLN = sentinel lymph-node, SUV = standardized uptake value.&quot;,&quot;volume&quot;:&quot;96&quot;},&quot;isTemporary&quot;:false},{&quot;id&quot;:&quot;410baddd-2fdb-39a1-ba18-ef6048174b6d&quot;,&quot;itemData&quot;:{&quot;type&quot;:&quot;article-journal&quot;,&quot;id&quot;:&quot;410baddd-2fdb-39a1-ba18-ef6048174b6d&quot;,&quot;title&quot;:&quot;Evaluation of dual-timepoint 18F-FDG PET/CT imaging for lymph node staging in vulvar cancer&quot;,&quot;author&quot;:[{&quot;family&quot;:&quot;Collarino&quot;,&quot;given&quot;:&quot;Angela&quot;,&quot;parse-names&quot;:false,&quot;dropping-particle&quot;:&quot;&quot;,&quot;non-dropping-particle&quot;:&quot;&quot;},{&quot;family&quot;:&quot;Garganese&quot;,&quot;given&quot;:&quot;Giorgia&quot;,&quot;parse-names&quot;:false,&quot;dropping-particle&quot;:&quot;&quot;,&quot;non-dropping-particle&quot;:&quot;&quot;},{&quot;family&quot;:&quot;Olmos&quot;,&quot;given&quot;:&quot;Renato A.Valdés&quot;,&quot;parse-names&quot;:false,&quot;dropping-particle&quot;:&quot;&quot;,&quot;non-dropping-particle&quot;:&quot;&quot;},{&quot;family&quot;:&quot;Stefanelli&quot;,&quot;given&quot;:&quot;Antonella&quot;,&quot;parse-names&quot;:false,&quot;dropping-particle&quot;:&quot;&quot;,&quot;non-dropping-particle&quot;:&quot;&quot;},{&quot;family&quot;:&quot;Perotti&quot;,&quot;given&quot;:&quot;Germano&quot;,&quot;parse-names&quot;:false,&quot;dropping-particle&quot;:&quot;&quot;,&quot;non-dropping-particle&quot;:&quot;&quot;},{&quot;family&quot;:&quot;Mirk&quot;,&quot;given&quot;:&quot;Paoletta&quot;,&quot;parse-names&quot;:false,&quot;dropping-particle&quot;:&quot;&quot;,&quot;non-dropping-particle&quot;:&quot;&quot;},{&quot;family&quot;:&quot;Fragomeni&quot;,&quot;given&quot;:&quot;Simona M.&quot;,&quot;parse-names&quot;:false,&quot;dropping-particle&quot;:&quot;&quot;,&quot;non-dropping-particle&quot;:&quot;&quot;},{&quot;family&quot;:&quot;Ieria&quot;,&quot;given&quot;:&quot;Francesco P.&quot;,&quot;parse-names&quot;:false,&quot;dropping-particle&quot;:&quot;&quot;,&quot;non-dropping-particle&quot;:&quot;&quot;},{&quot;family&quot;:&quot;Scambia&quot;,&quot;given&quot;:&quot;Giovanni&quot;,&quot;parse-names&quot;:false,&quot;dropping-particle&quot;:&quot;&quot;,&quot;non-dropping-particle&quot;:&quot;&quot;},{&quot;family&quot;:&quot;Giordano&quot;,&quot;given&quot;:&quot;Alessandro&quot;,&quot;parse-names&quot;:false,&quot;dropping-particle&quot;:&quot;&quot;,&quot;non-dropping-particle&quot;:&quot;&quot;},{&quot;family&quot;:&quot;Rufini&quot;,&quot;given&quot;:&quot;Vittoria&quot;,&quot;parse-names&quot;:false,&quot;dropping-particle&quot;:&quot;&quot;,&quot;non-dropping-particle&quot;:&quot;&quot;}],&quot;container-title&quot;:&quot;J Nucl Med&quot;,&quot;DOI&quot;:&quot;10.2967/jnumed.117.194332&quot;,&quot;ISSN&quot;:&quot;2159662X&quot;,&quot;PMID&quot;:&quot;28546331&quot;,&quot;issued&quot;:{&quot;date-parts&quot;:[[2017]]},&quot;page&quot;:&quot;1913-1918&quot;,&quot;abstract&quot;:&quot;This study aimed to assess the value of dual-timepoint 18F-FDG PET/CT in the prediction of lymph node (LN) status in patients with invasive vulvar cancer (VC) scheduled for inguinofemoral LN dissection. Methods: From April 2013 to July 2015, all consecutive patients with VC scheduled for inguinofemoral LN dissection were prospectively enrolled. All patients underwent a preoperative whole-body 18F-FDG PET/CT scan at 1 h (standard examination) and an additional scan from T11 to the groins at 3 h (delayed examination) after 18F-FDG injection. On both scans, each groin was visually scored 0 or 1 concerning 18F-FDG LN uptake relative to background. Semiquantitative analysis included SUVmax and the corresponding retention index of SUVmax, measured on both scans. The optimal cutoff value of these parameters was defined using a receiveroperating- characteristic analysis. Histopathology was the standard of reference. Results: Thirty-three patients were included, with a total of 57 groins dissected and histologically evaluated. At histopathology, 21 of 57 (37%) groins contained metastatic LNs. Concerning visual score, sensitivity, specificity, negative predictive value, positive predictive value, and accuracy were 95.2%, 75%, 96.4%, 69%, and 82.5% on standard scanning and 95.2%, 77.8%, 96.6%, 71.4%, and 84.2% on delayed scanning, respectively. At receiver-operating-characteristic analysis, sensitivity and specificity were 95.2% and 77.8% on standard and delayed 18F-FDG PET/CT for an SUVmax cutoff of greater than 1.32 and 1.88, respectively, and 95.2% and 80% for a retention index of SUVmax cutoff of greater than 0. Conclusion: Standard 18F-FDG PET/CT is an effective preoperative imaging method for the prediction of LN status in VC, allowing the prediction of pathologically negative groins and thus the selection of patients suitable for minimally invasive surgery. Delayed 18F-FDG PET/CT did not improve the specificity and the positive predictive value in our series. Larger studies are needed for a further validation.&quot;,&quot;issue&quot;:&quot;12&quot;,&quot;volume&quot;:&quot;58&quot;},&quot;isTemporary&quot;:false},{&quot;id&quot;:&quot;19c61e3f-9655-3ecf-8ef3-143831888444&quot;,&quot;itemData&quot;:{&quot;type&quot;:&quot;article-journal&quot;,&quot;id&quot;:&quot;19c61e3f-9655-3ecf-8ef3-143831888444&quot;,&quot;title&quot;:&quot;Positron emission tomography-computed tomography for inguinal nodes in vulvar cancer&quot;,&quot;author&quot;:[{&quot;family&quot;:&quot;Oldan&quot;,&quot;given&quot;:&quot;JorgeDaniel&quot;,&quot;parse-names&quot;:false,&quot;dropping-particle&quot;:&quot;&quot;,&quot;non-dropping-particle&quot;:&quot;&quot;},{&quot;family&quot;:&quot;Sullivan&quot;,&quot;given&quot;:&quot;StephanieA&quot;,&quot;parse-names&quot;:false,&quot;dropping-particle&quot;:&quot;&quot;,&quot;non-dropping-particle&quot;:&quot;&quot;}],&quot;container-title&quot;:&quot;World J Nucl Med&quot;,&quot;DOI&quot;:&quot;10.4103/wjnm.wjnm_32_17&quot;,&quot;ISSN&quot;:&quot;1450-1147&quot;,&quot;issued&quot;:{&quot;date-parts&quot;:[[2018]]},&quot;page&quot;:&quot;139&quot;,&quot;abstract&quot;:&quot;We aimed to determine the sensitivity and specificity of fluorodeoxyglucose (FDG) positron emission tomography-computed tomography (PET-CT) for the spread of disease to inguinal lymph nodes in vulvar cancer. A retrospective review of vulvar cancer patients who underwent both inguinal nodal sampling and dissection as well as FDG PET-CT was performed, with 21 patients meeting criteria. The sensitivity and specificity of the FDG PET-CT imaging was performed using a combination of maximum standardized uptake value (SUVmax), metabolic tumor volume (MTV), and total lesion glycolysis (TLG). Using an SUVmaxcutoff of 4.5 or of two times the average liver uptake, we had a 100% sensitivity and 89% specificity for positive inguinal nodes. MTV and TLG did not add to sensitivity or specificity. We conclude that FDG PET-CT has good sensitivity for inguinal nodal spread in vulvar cancer, and either a quantitative or semiquantitative approach is effective.&quot;,&quot;issue&quot;:&quot;3&quot;,&quot;volume&quot;:&quot;17&quot;},&quot;isTemporary&quot;:false}],&quot;properties&quot;:{&quot;noteIndex&quot;:0},&quot;isEdited&quot;:false,&quot;manualOverride&quot;:{&quot;isManuallyOverriden&quot;:false,&quot;citeprocText&quot;:&quot;[15,18–20]&quot;,&quot;manualOverrideText&quot;:&quot;&quot;}},{&quot;citationID&quot;:&quot;MENDELEY_CITATION_b4d93257-53cc-4454-816f-040a98f819d1&quot;,&quot;citationItems&quot;:[{&quot;id&quot;:&quot;410baddd-2fdb-39a1-ba18-ef6048174b6d&quot;,&quot;itemData&quot;:{&quot;type&quot;:&quot;article-journal&quot;,&quot;id&quot;:&quot;410baddd-2fdb-39a1-ba18-ef6048174b6d&quot;,&quot;title&quot;:&quot;Evaluation of dual-timepoint 18F-FDG PET/CT imaging for lymph node staging in vulvar cancer&quot;,&quot;author&quot;:[{&quot;family&quot;:&quot;Collarino&quot;,&quot;given&quot;:&quot;Angela&quot;,&quot;parse-names&quot;:false,&quot;dropping-particle&quot;:&quot;&quot;,&quot;non-dropping-particle&quot;:&quot;&quot;},{&quot;family&quot;:&quot;Garganese&quot;,&quot;given&quot;:&quot;Giorgia&quot;,&quot;parse-names&quot;:false,&quot;dropping-particle&quot;:&quot;&quot;,&quot;non-dropping-particle&quot;:&quot;&quot;},{&quot;family&quot;:&quot;Olmos&quot;,&quot;given&quot;:&quot;Renato A.Valdés&quot;,&quot;parse-names&quot;:false,&quot;dropping-particle&quot;:&quot;&quot;,&quot;non-dropping-particle&quot;:&quot;&quot;},{&quot;family&quot;:&quot;Stefanelli&quot;,&quot;given&quot;:&quot;Antonella&quot;,&quot;parse-names&quot;:false,&quot;dropping-particle&quot;:&quot;&quot;,&quot;non-dropping-particle&quot;:&quot;&quot;},{&quot;family&quot;:&quot;Perotti&quot;,&quot;given&quot;:&quot;Germano&quot;,&quot;parse-names&quot;:false,&quot;dropping-particle&quot;:&quot;&quot;,&quot;non-dropping-particle&quot;:&quot;&quot;},{&quot;family&quot;:&quot;Mirk&quot;,&quot;given&quot;:&quot;Paoletta&quot;,&quot;parse-names&quot;:false,&quot;dropping-particle&quot;:&quot;&quot;,&quot;non-dropping-particle&quot;:&quot;&quot;},{&quot;family&quot;:&quot;Fragomeni&quot;,&quot;given&quot;:&quot;Simona M.&quot;,&quot;parse-names&quot;:false,&quot;dropping-particle&quot;:&quot;&quot;,&quot;non-dropping-particle&quot;:&quot;&quot;},{&quot;family&quot;:&quot;Ieria&quot;,&quot;given&quot;:&quot;Francesco P.&quot;,&quot;parse-names&quot;:false,&quot;dropping-particle&quot;:&quot;&quot;,&quot;non-dropping-particle&quot;:&quot;&quot;},{&quot;family&quot;:&quot;Scambia&quot;,&quot;given&quot;:&quot;Giovanni&quot;,&quot;parse-names&quot;:false,&quot;dropping-particle&quot;:&quot;&quot;,&quot;non-dropping-particle&quot;:&quot;&quot;},{&quot;family&quot;:&quot;Giordano&quot;,&quot;given&quot;:&quot;Alessandro&quot;,&quot;parse-names&quot;:false,&quot;dropping-particle&quot;:&quot;&quot;,&quot;non-dropping-particle&quot;:&quot;&quot;},{&quot;family&quot;:&quot;Rufini&quot;,&quot;given&quot;:&quot;Vittoria&quot;,&quot;parse-names&quot;:false,&quot;dropping-particle&quot;:&quot;&quot;,&quot;non-dropping-particle&quot;:&quot;&quot;}],&quot;container-title&quot;:&quot;J Nucl Med&quot;,&quot;DOI&quot;:&quot;10.2967/jnumed.117.194332&quot;,&quot;ISSN&quot;:&quot;2159662X&quot;,&quot;PMID&quot;:&quot;28546331&quot;,&quot;issued&quot;:{&quot;date-parts&quot;:[[2017]]},&quot;page&quot;:&quot;1913-1918&quot;,&quot;abstract&quot;:&quot;This study aimed to assess the value of dual-timepoint 18F-FDG PET/CT in the prediction of lymph node (LN) status in patients with invasive vulvar cancer (VC) scheduled for inguinofemoral LN dissection. Methods: From April 2013 to July 2015, all consecutive patients with VC scheduled for inguinofemoral LN dissection were prospectively enrolled. All patients underwent a preoperative whole-body 18F-FDG PET/CT scan at 1 h (standard examination) and an additional scan from T11 to the groins at 3 h (delayed examination) after 18F-FDG injection. On both scans, each groin was visually scored 0 or 1 concerning 18F-FDG LN uptake relative to background. Semiquantitative analysis included SUVmax and the corresponding retention index of SUVmax, measured on both scans. The optimal cutoff value of these parameters was defined using a receiveroperating- characteristic analysis. Histopathology was the standard of reference. Results: Thirty-three patients were included, with a total of 57 groins dissected and histologically evaluated. At histopathology, 21 of 57 (37%) groins contained metastatic LNs. Concerning visual score, sensitivity, specificity, negative predictive value, positive predictive value, and accuracy were 95.2%, 75%, 96.4%, 69%, and 82.5% on standard scanning and 95.2%, 77.8%, 96.6%, 71.4%, and 84.2% on delayed scanning, respectively. At receiver-operating-characteristic analysis, sensitivity and specificity were 95.2% and 77.8% on standard and delayed 18F-FDG PET/CT for an SUVmax cutoff of greater than 1.32 and 1.88, respectively, and 95.2% and 80% for a retention index of SUVmax cutoff of greater than 0. Conclusion: Standard 18F-FDG PET/CT is an effective preoperative imaging method for the prediction of LN status in VC, allowing the prediction of pathologically negative groins and thus the selection of patients suitable for minimally invasive surgery. Delayed 18F-FDG PET/CT did not improve the specificity and the positive predictive value in our series. Larger studies are needed for a further validation.&quot;,&quot;issue&quot;:&quot;12&quot;,&quot;volume&quot;:&quot;58&quot;},&quot;isTemporary&quot;:false}],&quot;properties&quot;:{&quot;noteIndex&quot;:0},&quot;isEdited&quot;:false,&quot;manualOverride&quot;:{&quot;isManuallyOverriden&quot;:false,&quot;citeprocText&quot;:&quot;[19]&quot;,&quot;manualOverrideText&quot;:&quot;&quot;}},{&quot;citationID&quot;:&quot;MENDELEY_CITATION_ca30749a-98fd-4aa4-b9a7-752c152972ab&quot;,&quot;citationItems&quot;:[{&quot;id&quot;:&quot;d58e0536-e340-340e-a4f6-8e102cd21f0b&quot;,&quot;itemData&quot;:{&quot;type&quot;:&quot;article-journal&quot;,&quot;id&quot;:&quot;d58e0536-e340-340e-a4f6-8e102cd21f0b&quot;,&quot;title&quot;:&quot;Radiologic Assessment of Groin Lymph Nodes in Pelvic Malignancies&quot;,&quot;author&quot;:[{&quot;family&quot;:&quot;Rudra&quot;,&quot;given&quot;:&quot;Soumon&quot;,&quot;parse-names&quot;:false,&quot;dropping-particle&quot;:&quot;&quot;,&quot;non-dropping-particle&quot;:&quot;&quot;},{&quot;family&quot;:&quot;Fuser&quot;,&quot;given&quot;:&quot;Dominique&quot;,&quot;parse-names&quot;:false,&quot;dropping-particle&quot;:&quot;&quot;,&quot;non-dropping-particle&quot;:&quot;&quot;},{&quot;family&quot;:&quot;Dewees&quot;,&quot;given&quot;:&quot;Todd A.&quot;,&quot;parse-names&quot;:false,&quot;dropping-particle&quot;:&quot;&quot;,&quot;non-dropping-particle&quot;:&quot;&quot;},{&quot;family&quot;:&quot;Wan&quot;,&quot;given&quot;:&quot;Leping&quot;,&quot;parse-names&quot;:false,&quot;dropping-particle&quot;:&quot;&quot;,&quot;non-dropping-particle&quot;:&quot;&quot;},{&quot;family&quot;:&quot;Gang&quot;,&quot;given&quot;:&quot;Margery&quot;,&quot;parse-names&quot;:false,&quot;dropping-particle&quot;:&quot;&quot;,&quot;non-dropping-particle&quot;:&quot;&quot;},{&quot;family&quot;:&quot;Hui&quot;,&quot;given&quot;:&quot;Caressa Y.&quot;,&quot;parse-names&quot;:false,&quot;dropping-particle&quot;:&quot;&quot;,&quot;non-dropping-particle&quot;:&quot;&quot;},{&quot;family&quot;:&quot;Rao&quot;,&quot;given&quot;:&quot;Yuan J.&quot;,&quot;parse-names&quot;:false,&quot;dropping-particle&quot;:&quot;&quot;,&quot;non-dropping-particle&quot;:&quot;&quot;},{&quot;family&quot;:&quot;Siegel&quot;,&quot;given&quot;:&quot;Barry A.&quot;,&quot;parse-names&quot;:false,&quot;dropping-particle&quot;:&quot;&quot;,&quot;non-dropping-particle&quot;:&quot;&quot;},{&quot;family&quot;:&quot;Dehdashti&quot;,&quot;given&quot;:&quot;Farrokh&quot;,&quot;parse-names&quot;:false,&quot;dropping-particle&quot;:&quot;&quot;,&quot;non-dropping-particle&quot;:&quot;&quot;},{&quot;family&quot;:&quot;Mutch&quot;,&quot;given&quot;:&quot;David G.&quot;,&quot;parse-names&quot;:false,&quot;dropping-particle&quot;:&quot;&quot;,&quot;non-dropping-particle&quot;:&quot;&quot;},{&quot;family&quot;:&quot;Powell&quot;,&quot;given&quot;:&quot;Matthew A.&quot;,&quot;parse-names&quot;:false,&quot;dropping-particle&quot;:&quot;&quot;,&quot;non-dropping-particle&quot;:&quot;&quot;},{&quot;family&quot;:&quot;Schwarz&quot;,&quot;given&quot;:&quot;Julie K.&quot;,&quot;parse-names&quot;:false,&quot;dropping-particle&quot;:&quot;&quot;,&quot;non-dropping-particle&quot;:&quot;&quot;},{&quot;family&quot;:&quot;Grigsby&quot;,&quot;given&quot;:&quot;Perry W.&quot;,&quot;parse-names&quot;:false,&quot;dropping-particle&quot;:&quot;&quot;,&quot;non-dropping-particle&quot;:&quot;&quot;},{&quot;family&quot;:&quot;Chen&quot;,&quot;given&quot;:&quot;Delphine L.&quot;,&quot;parse-names&quot;:false,&quot;dropping-particle&quot;:&quot;&quot;,&quot;non-dropping-particle&quot;:&quot;&quot;},{&quot;family&quot;:&quot;Markovina&quot;,&quot;given&quot;:&quot;Stephanie&quot;,&quot;parse-names&quot;:false,&quot;dropping-particle&quot;:&quot;&quot;,&quot;non-dropping-particle&quot;:&quot;&quot;}],&quot;container-title&quot;:&quot;Int J Gynecol Cancer&quot;,&quot;DOI&quot;:&quot;10.1136/ijgc-2020-001363&quot;,&quot;ISSN&quot;:&quot;15251438&quot;,&quot;PMID&quot;:&quot;32487684&quot;,&quot;issued&quot;:{&quot;date-parts&quot;:[[2020]]},&quot;page&quot;:&quot;947-953&quot;,&quot;abstract&quot;:&quot;Introduction Metastatic involvement of groin nodes can alter radiation therapy planning for pelvic tumors. 18 F-fluorodeoxyglucose (18 F-FDG) positron emission tomography/computed tomography (PET/CT) can identify nodal metastases; however, interpretation of PET/CT-positive nodes can be complicated by non-malignant processes. We evaluated quantitative metrics as methods to identify groin metastases in patients with pelvic tumors by comparison with standard subjective interpretive criteria, with pathology as the reference standard. Methods We retrospectively identified patients with vulvar, vaginal, or anal cancers who underwent 18 F-FDG PET/CT before pathologic evaluation of groin nodes between 2007 and 2017. Because patho-radiologic correlation was not possible for every node, one index node identified on imaging was selected for each groin. For each index node, standardized uptake value measurements, total lesion glycolysis, metabolic tumor volume, CT-based volume, and short and long axes were measured. Multivariate logistic regression was used to identify metrics predictive for pathologically positive groins and generate a probabilistic model. Area under the receiver-operating characteristic curves (AUCs) for the model were compared with clinical interpretation from the diagnostic report via a Wald's χ 2 test. Results Of 55 patients identified for analysis, 75 groins had pathologic evaluation resulting in 75 index groin nodes for analysis with 35 groins pathologically positive for malignancy. Logistic regression identified mean standardized-uptake-value (50% threshold) and short-axis length as the most predictive imaging metrics for metastatic nodal involvement. The probabilistic model performed better at predicting pathologic involvement compared with standard clinical interpretation on analysis (AUC 0.91, 95% CI 0.84 to 0.97 vs 0.80, 95% CI 0.71 to 0.89; p&lt;0.01). Discussion Accuracy of 18 F-FDG PET/CT for detecting groin nodal metastases in patients with pelvic tumors may be improved with the use of quantitative metrics. Improving prediction of nodal metastases can aid with appropriate selection of patients for pathologic node evaluation and guide radiation volumes and doses.&quot;,&quot;issue&quot;:&quot;7&quot;,&quot;volume&quot;:&quot;30&quot;},&quot;isTemporary&quot;:false}],&quot;properties&quot;:{&quot;noteIndex&quot;:0},&quot;isEdited&quot;:false,&quot;manualOverride&quot;:{&quot;isManuallyOverriden&quot;:false,&quot;citeprocText&quot;:&quot;[28]&quot;,&quot;manualOverrideText&quot;:&quot;&quot;}},{&quot;citationID&quot;:&quot;MENDELEY_CITATION_4ae4bb18-f01c-4582-b830-e7dcfa356d2e&quot;,&quot;citationItems&quot;:[{&quot;id&quot;:&quot;c15bf889-3bca-3408-8d66-f610b195b189&quot;,&quot;itemData&quot;:{&quot;type&quot;:&quot;article-journal&quot;,&quot;id&quot;:&quot;c15bf889-3bca-3408-8d66-f610b195b189&quot;,&quot;title&quot;:&quot;Role of locoregional treatment in vulvar cancer with pelvic lymph nodemetastases: Time to reconsider FIGO staging?&quot;,&quot;author&quot;:[{&quot;family&quot;:&quot;Shinde&quot;,&quot;given&quot;:&quot;Ashwin&quot;,&quot;parse-names&quot;:false,&quot;dropping-particle&quot;:&quot;&quot;,&quot;non-dropping-particle&quot;:&quot;&quot;},{&quot;family&quot;:&quot;Li&quot;,&quot;given&quot;:&quot;Richard&quot;,&quot;parse-names&quot;:false,&quot;dropping-particle&quot;:&quot;&quot;,&quot;non-dropping-particle&quot;:&quot;&quot;},{&quot;family&quot;:&quot;Amini&quot;,&quot;given&quot;:&quot;Arya&quot;,&quot;parse-names&quot;:false,&quot;dropping-particle&quot;:&quot;&quot;,&quot;non-dropping-particle&quot;:&quot;&quot;},{&quot;family&quot;:&quot;Chen&quot;,&quot;given&quot;:&quot;Yi Jen&quot;,&quot;parse-names&quot;:false,&quot;dropping-particle&quot;:&quot;&quot;,&quot;non-dropping-particle&quot;:&quot;&quot;},{&quot;family&quot;:&quot;Cristea&quot;,&quot;given&quot;:&quot;Mihaela&quot;,&quot;parse-names&quot;:false,&quot;dropping-particle&quot;:&quot;&quot;,&quot;non-dropping-particle&quot;:&quot;&quot;},{&quot;family&quot;:&quot;Wang&quot;,&quot;given&quot;:&quot;Wenge&quot;,&quot;parse-names&quot;:false,&quot;dropping-particle&quot;:&quot;&quot;,&quot;non-dropping-particle&quot;:&quot;&quot;},{&quot;family&quot;:&quot;Wakabyashi&quot;,&quot;given&quot;:&quot;Mark&quot;,&quot;parse-names&quot;:false,&quot;dropping-particle&quot;:&quot;&quot;,&quot;non-dropping-particle&quot;:&quot;&quot;},{&quot;family&quot;:&quot;Han&quot;,&quot;given&quot;:&quot;Ernest&quot;,&quot;parse-names&quot;:false,&quot;dropping-particle&quot;:&quot;&quot;,&quot;non-dropping-particle&quot;:&quot;&quot;},{&quot;family&quot;:&quot;Yashar&quot;,&quot;given&quot;:&quot;Catheryn&quot;,&quot;parse-names&quot;:false,&quot;dropping-particle&quot;:&quot;&quot;,&quot;non-dropping-particle&quot;:&quot;&quot;},{&quot;family&quot;:&quot;Albuquerque&quot;,&quot;given&quot;:&quot;Kevin&quot;,&quot;parse-names&quot;:false,&quot;dropping-particle&quot;:&quot;&quot;,&quot;non-dropping-particle&quot;:&quot;&quot;},{&quot;family&quot;:&quot;Beriwal&quot;,&quot;given&quot;:&quot;Sushil&quot;,&quot;parse-names&quot;:false,&quot;dropping-particle&quot;:&quot;&quot;,&quot;non-dropping-particle&quot;:&quot;&quot;},{&quot;family&quot;:&quot;Glaser&quot;,&quot;given&quot;:&quot;Scott&quot;,&quot;parse-names&quot;:false,&quot;dropping-particle&quot;:&quot;&quot;,&quot;non-dropping-particle&quot;:&quot;&quot;}],&quot;container-title&quot;:&quot;J Natl Compr Canc Netw&quot;,&quot;DOI&quot;:&quot;10.6004/jnccn.2019.7288&quot;,&quot;ISSN&quot;:&quot;15401413&quot;,&quot;PMID&quot;:&quot;31390593&quot;,&quot;issued&quot;:{&quot;date-parts&quot;:[[2019]]},&quot;page&quot;:&quot;922-930&quot;,&quot;abstract&quot;:&quot;Background: Vulvar cancer with pelvic nodal involvement is considered metastatic (M1) disease per AJCC staging. The role of definitive therapy and its resulting impact on survival have not been defined. Patients and Methods: Patients with pelvic lymph node-positive vulvar cancer diagnosed in 2009 through 2015 were evaluated from the National Cancer Database. Patients with known distant metastatic disease were excluded. Logistic regression was used to evaluate use of surgery and radiation therapy (RT).Overall survival (OS)was evaluated with logrank test and Cox proportional hazards modeling (multivariate analysis [MVA]). A 2-month conditional landmark analysis was performed. Results: A total of 1,304 women met the inclusion criteria. Median follow-up was 38 months for survivors. Chemotherapy, RT, and surgery were used in 54%, 74%, and 62% of patients, respectively. Surgery was associated with prolonged OS (hazard ratio [HR], 0.58; P&lt;.001) but had multiple significant differences in baseline characteristics compared with nonsurgical patients. In patients managed nonsurgically, RT was associated with prolonged OS (HR, 0.66; P=.019) in MVA. In patients undergoing surgery, RT was associated with better OS (3-year OS, 55% vs 48%; P=.033). Factors predicting use of RT were identified. MVA revealed that RT was associated with prolonged OS (HR, 0.75; P=.004). Conclusions: In this cohort of women with vulvar cancer and positive pelvic lymph nodes, use of RT was associated with prolonged survival in those who did not undergo surgery. Surgery followed by adjuvant RT was associated with prolonged survival compared with surgery alone.&quot;,&quot;issue&quot;:&quot;8&quot;,&quot;volume&quot;:&quot;17&quot;},&quot;isTemporary&quot;:false}],&quot;properties&quot;:{&quot;noteIndex&quot;:0},&quot;isEdited&quot;:false,&quot;manualOverride&quot;:{&quot;isManuallyOverriden&quot;:false,&quot;citeprocText&quot;:&quot;[29]&quot;,&quot;manualOverrideText&quot;:&quot;&quot;}}]"/>
    <we:property name="MENDELEY_CITATIONS_STYLE" value="&quot;https://www.zotero.org/styles/european-journal-of-nuclear-medicine-and-molecular-imaging&quot;"/>
    <we:property name="MENDELEY_PROFILE_ID" value="&quot;96c8e1615984425d8250708910e0e46768eaf70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AA177-D25B-4BDE-B25A-1EFD7D1F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790</Words>
  <Characters>4508</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Predictive value of lymphnodal status assessment by combined 18F-FDG PET/CT scanning and sentinel node biopsy in clinically N0 vulvar cancer patients, currently not fit for minimally invasive inguinal surgery</vt:lpstr>
      <vt:lpstr>Predictive value of lymphnodal status assessment by combined 18F-FDG PET/CT scanning and sentinel node biopsy in clinically N0 vulvar cancer patients, currently not fit for minimally invasive inguinal surgery</vt:lpstr>
    </vt:vector>
  </TitlesOfParts>
  <Company>UCSC</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Predictive value of lymphnodal status assessment by combined 18F-FDG PET/CT scanning and sentinel node biopsy in clinically N0 vulvar cancer patients, currently not fit for minimally invasive inguinal surgery</dc:title>
  <dc:creator>simona</dc:creator>
  <cp:lastModifiedBy>Rufini Vittoria</cp:lastModifiedBy>
  <cp:revision>4</cp:revision>
  <cp:lastPrinted>2020-09-23T16:45:00Z</cp:lastPrinted>
  <dcterms:created xsi:type="dcterms:W3CDTF">2020-12-09T12:33:00Z</dcterms:created>
  <dcterms:modified xsi:type="dcterms:W3CDTF">2021-01-05T17:15:00Z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-2052162554</vt:i4>
  </property>
</Properties>
</file>