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FFB1E" w14:textId="4E179F0D" w:rsidR="00BD5441" w:rsidRDefault="00BD5441" w:rsidP="00812703">
      <w:pPr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Supplemental Table 1. Search strategy</w:t>
      </w:r>
      <w:r w:rsidR="00985168">
        <w:rPr>
          <w:rFonts w:ascii="Arial" w:hAnsi="Arial" w:cs="Arial"/>
          <w:b/>
          <w:bCs/>
          <w:lang w:val="en-GB"/>
        </w:rPr>
        <w:t xml:space="preserve"> in </w:t>
      </w:r>
      <w:proofErr w:type="spellStart"/>
      <w:r w:rsidR="00985168">
        <w:rPr>
          <w:rFonts w:ascii="Arial" w:hAnsi="Arial" w:cs="Arial"/>
          <w:b/>
          <w:bCs/>
          <w:lang w:val="en-GB"/>
        </w:rPr>
        <w:t>Pubmed</w:t>
      </w:r>
      <w:proofErr w:type="spellEnd"/>
      <w:r w:rsidR="00985168">
        <w:rPr>
          <w:rFonts w:ascii="Arial" w:hAnsi="Arial" w:cs="Arial"/>
          <w:b/>
          <w:bCs/>
          <w:lang w:val="en-GB"/>
        </w:rPr>
        <w:t xml:space="preserve">/MEDLINE and the Cochrane Library database. </w:t>
      </w:r>
    </w:p>
    <w:p w14:paraId="01EA1C99" w14:textId="7B3DA177" w:rsidR="00BD5441" w:rsidRPr="001F7B2D" w:rsidRDefault="00BD5441" w:rsidP="00812703">
      <w:pPr>
        <w:jc w:val="both"/>
        <w:rPr>
          <w:rFonts w:ascii="Arial" w:hAnsi="Arial" w:cs="Arial"/>
          <w:i/>
          <w:iCs/>
          <w:lang w:val="en-GB"/>
        </w:rPr>
      </w:pPr>
      <w:r w:rsidRPr="00985168">
        <w:rPr>
          <w:rFonts w:ascii="Arial" w:hAnsi="Arial" w:cs="Arial"/>
          <w:i/>
          <w:iCs/>
          <w:lang w:val="en-GB"/>
        </w:rPr>
        <w:t xml:space="preserve">Date of last search: October 21, 2020.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BD5441" w14:paraId="5EC702D2" w14:textId="77777777" w:rsidTr="00BD5441">
        <w:tc>
          <w:tcPr>
            <w:tcW w:w="2518" w:type="dxa"/>
          </w:tcPr>
          <w:p w14:paraId="5603B62B" w14:textId="4BAC630E" w:rsidR="00BD5441" w:rsidRDefault="00BD5441" w:rsidP="00812703">
            <w:pPr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Database</w:t>
            </w:r>
          </w:p>
        </w:tc>
        <w:tc>
          <w:tcPr>
            <w:tcW w:w="6694" w:type="dxa"/>
          </w:tcPr>
          <w:p w14:paraId="67706B08" w14:textId="556E6AFD" w:rsidR="00BD5441" w:rsidRDefault="00BD5441" w:rsidP="00812703">
            <w:pPr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>
              <w:rPr>
                <w:rFonts w:ascii="Arial" w:hAnsi="Arial" w:cs="Arial"/>
                <w:b/>
                <w:bCs/>
                <w:lang w:val="en-GB"/>
              </w:rPr>
              <w:t>Search</w:t>
            </w:r>
          </w:p>
        </w:tc>
      </w:tr>
      <w:tr w:rsidR="00BD5441" w14:paraId="527A8CC8" w14:textId="77777777" w:rsidTr="00BD5441">
        <w:tc>
          <w:tcPr>
            <w:tcW w:w="2518" w:type="dxa"/>
          </w:tcPr>
          <w:p w14:paraId="13C4283B" w14:textId="418B7394" w:rsidR="00BD5441" w:rsidRPr="006610B0" w:rsidRDefault="00BD5441" w:rsidP="00812703">
            <w:pPr>
              <w:jc w:val="both"/>
              <w:rPr>
                <w:rFonts w:ascii="Arial" w:hAnsi="Arial" w:cs="Arial"/>
                <w:b/>
                <w:bCs/>
                <w:lang w:val="en-GB"/>
              </w:rPr>
            </w:pPr>
            <w:proofErr w:type="spellStart"/>
            <w:r w:rsidRPr="006610B0">
              <w:rPr>
                <w:rFonts w:ascii="Arial" w:hAnsi="Arial" w:cs="Arial"/>
                <w:b/>
                <w:bCs/>
                <w:lang w:val="en-GB"/>
              </w:rPr>
              <w:t>Pubmed</w:t>
            </w:r>
            <w:proofErr w:type="spellEnd"/>
            <w:r w:rsidRPr="006610B0">
              <w:rPr>
                <w:rFonts w:ascii="Arial" w:hAnsi="Arial" w:cs="Arial"/>
                <w:b/>
                <w:bCs/>
                <w:lang w:val="en-GB"/>
              </w:rPr>
              <w:t xml:space="preserve"> / MEDLINE</w:t>
            </w:r>
          </w:p>
        </w:tc>
        <w:tc>
          <w:tcPr>
            <w:tcW w:w="6694" w:type="dxa"/>
          </w:tcPr>
          <w:p w14:paraId="61DDF90D" w14:textId="77777777" w:rsidR="00BD5441" w:rsidRPr="00BD5441" w:rsidRDefault="00BD5441" w:rsidP="00BD5441">
            <w:pPr>
              <w:jc w:val="both"/>
              <w:rPr>
                <w:rFonts w:ascii="Arial" w:hAnsi="Arial" w:cs="Arial"/>
                <w:lang w:val="en-GB"/>
              </w:rPr>
            </w:pPr>
            <w:r w:rsidRPr="00BD5441">
              <w:rPr>
                <w:rFonts w:ascii="Arial" w:hAnsi="Arial" w:cs="Arial"/>
                <w:lang w:val="en-GB"/>
              </w:rPr>
              <w:t xml:space="preserve">(large vessel 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vasculit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>* [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tiab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>] or "giant cell arteritis"[mesh] or giant cell arteritis [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tiab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>] or temporal arteritis [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tiab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 xml:space="preserve">] or 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horton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 xml:space="preserve"> [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tiab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>] or "Takayasu Arteritis"[Mesh] or Takayasu [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tiab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>] or "Aortitis"[Mesh] or aortitis [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tiab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 xml:space="preserve">]) </w:t>
            </w:r>
          </w:p>
          <w:p w14:paraId="1BA8593E" w14:textId="77777777" w:rsidR="00BD5441" w:rsidRPr="00BD5441" w:rsidRDefault="00BD5441" w:rsidP="00BD5441">
            <w:pPr>
              <w:jc w:val="both"/>
              <w:rPr>
                <w:rFonts w:ascii="Arial" w:hAnsi="Arial" w:cs="Arial"/>
                <w:lang w:val="en-GB"/>
              </w:rPr>
            </w:pPr>
            <w:r w:rsidRPr="00BD5441">
              <w:rPr>
                <w:rFonts w:ascii="Arial" w:hAnsi="Arial" w:cs="Arial"/>
                <w:lang w:val="en-GB"/>
              </w:rPr>
              <w:t xml:space="preserve">and </w:t>
            </w:r>
          </w:p>
          <w:p w14:paraId="24745A1F" w14:textId="77777777" w:rsidR="00BD5441" w:rsidRPr="00BD5441" w:rsidRDefault="00BD5441" w:rsidP="00BD5441">
            <w:pPr>
              <w:jc w:val="both"/>
              <w:rPr>
                <w:rFonts w:ascii="Arial" w:hAnsi="Arial" w:cs="Arial"/>
                <w:lang w:val="en-GB"/>
              </w:rPr>
            </w:pPr>
            <w:r w:rsidRPr="00BD5441">
              <w:rPr>
                <w:rFonts w:ascii="Arial" w:hAnsi="Arial" w:cs="Arial"/>
                <w:lang w:val="en-GB"/>
              </w:rPr>
              <w:t>("fluorodeoxyglucose f18"[mesh] or fluorodeoxyglucose [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tiab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 xml:space="preserve">] or 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fdg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 xml:space="preserve"> [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tiab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 xml:space="preserve">] or "positron-emission tomography"[mesh] or "positron emission tomography computed tomography"[mesh] or positron emission 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tomograph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>* [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tiab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 xml:space="preserve">] or positron-emission 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tomograph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>* [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tiab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>] or pet [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tiab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>])</w:t>
            </w:r>
          </w:p>
          <w:p w14:paraId="1EB20C63" w14:textId="77777777" w:rsidR="00BD5441" w:rsidRPr="00BD5441" w:rsidRDefault="00BD5441" w:rsidP="00BD5441">
            <w:pPr>
              <w:jc w:val="both"/>
              <w:rPr>
                <w:rFonts w:ascii="Arial" w:hAnsi="Arial" w:cs="Arial"/>
                <w:lang w:val="en-GB"/>
              </w:rPr>
            </w:pPr>
            <w:r w:rsidRPr="00BD5441">
              <w:rPr>
                <w:rFonts w:ascii="Arial" w:hAnsi="Arial" w:cs="Arial"/>
                <w:lang w:val="en-GB"/>
              </w:rPr>
              <w:t xml:space="preserve">and </w:t>
            </w:r>
          </w:p>
          <w:p w14:paraId="2F92037D" w14:textId="77777777" w:rsidR="00BD5441" w:rsidRPr="00BD5441" w:rsidRDefault="00BD5441" w:rsidP="00BD5441">
            <w:pPr>
              <w:jc w:val="both"/>
              <w:rPr>
                <w:rFonts w:ascii="Arial" w:hAnsi="Arial" w:cs="Arial"/>
                <w:lang w:val="en-GB"/>
              </w:rPr>
            </w:pPr>
            <w:r w:rsidRPr="00BD5441">
              <w:rPr>
                <w:rFonts w:ascii="Arial" w:hAnsi="Arial" w:cs="Arial"/>
                <w:lang w:val="en-GB"/>
              </w:rPr>
              <w:t>(active* [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tiab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>] OR monitor* [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tiab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>] OR follow-up [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tiab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 xml:space="preserve">] or 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followup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 xml:space="preserve"> [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tiab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 xml:space="preserve">] or 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therap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>* [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tiab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>] or treatment [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tiab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>] or response [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tiab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 xml:space="preserve">] or 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relaps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>* [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tiab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>] or refract* [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tiab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>] or surveillance [</w:t>
            </w:r>
            <w:proofErr w:type="spellStart"/>
            <w:r w:rsidRPr="00BD5441">
              <w:rPr>
                <w:rFonts w:ascii="Arial" w:hAnsi="Arial" w:cs="Arial"/>
                <w:lang w:val="en-GB"/>
              </w:rPr>
              <w:t>tiab</w:t>
            </w:r>
            <w:proofErr w:type="spellEnd"/>
            <w:r w:rsidRPr="00BD5441">
              <w:rPr>
                <w:rFonts w:ascii="Arial" w:hAnsi="Arial" w:cs="Arial"/>
                <w:lang w:val="en-GB"/>
              </w:rPr>
              <w:t>])</w:t>
            </w:r>
          </w:p>
          <w:p w14:paraId="0F9C9DDE" w14:textId="77777777" w:rsidR="00BD5441" w:rsidRPr="00BD5441" w:rsidRDefault="00BD5441" w:rsidP="00BD5441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7480F29" w14:textId="0660FDC2" w:rsidR="00BD5441" w:rsidRDefault="00BD5441" w:rsidP="00BD5441">
            <w:pPr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BD5441">
              <w:rPr>
                <w:rFonts w:ascii="Arial" w:hAnsi="Arial" w:cs="Arial"/>
                <w:lang w:val="en-GB"/>
              </w:rPr>
              <w:t>LIMITS: English Language</w:t>
            </w:r>
          </w:p>
        </w:tc>
      </w:tr>
      <w:tr w:rsidR="00BD5441" w:rsidRPr="00EE77BC" w14:paraId="4FFD6D78" w14:textId="77777777" w:rsidTr="00BD5441">
        <w:tc>
          <w:tcPr>
            <w:tcW w:w="2518" w:type="dxa"/>
          </w:tcPr>
          <w:p w14:paraId="4277BC48" w14:textId="7128FF6B" w:rsidR="00BD5441" w:rsidRPr="006610B0" w:rsidRDefault="00BD5441" w:rsidP="00812703">
            <w:pPr>
              <w:jc w:val="both"/>
              <w:rPr>
                <w:rFonts w:ascii="Arial" w:hAnsi="Arial" w:cs="Arial"/>
                <w:b/>
                <w:bCs/>
                <w:lang w:val="en-GB"/>
              </w:rPr>
            </w:pPr>
            <w:r w:rsidRPr="006610B0">
              <w:rPr>
                <w:rFonts w:ascii="Arial" w:hAnsi="Arial" w:cs="Arial"/>
                <w:b/>
                <w:bCs/>
                <w:lang w:val="en-GB"/>
              </w:rPr>
              <w:t>Cochrane Library</w:t>
            </w:r>
          </w:p>
        </w:tc>
        <w:tc>
          <w:tcPr>
            <w:tcW w:w="6694" w:type="dxa"/>
          </w:tcPr>
          <w:p w14:paraId="450F1D30" w14:textId="13B67E98" w:rsidR="008950C4" w:rsidRDefault="008950C4" w:rsidP="00812703">
            <w:pPr>
              <w:jc w:val="both"/>
              <w:rPr>
                <w:rFonts w:ascii="Arial" w:hAnsi="Arial" w:cs="Arial"/>
                <w:lang w:val="en-GB"/>
              </w:rPr>
            </w:pPr>
            <w:r w:rsidRPr="008950C4">
              <w:rPr>
                <w:rFonts w:ascii="Arial" w:hAnsi="Arial" w:cs="Arial"/>
                <w:lang w:val="en-GB"/>
              </w:rPr>
              <w:t>"large vessel vasculitis" OR "giant cell arteritis" OR "temporal arteritis" OR "</w:t>
            </w:r>
            <w:proofErr w:type="spellStart"/>
            <w:r w:rsidRPr="008950C4">
              <w:rPr>
                <w:rFonts w:ascii="Arial" w:hAnsi="Arial" w:cs="Arial"/>
                <w:lang w:val="en-GB"/>
              </w:rPr>
              <w:t>horton</w:t>
            </w:r>
            <w:proofErr w:type="spellEnd"/>
            <w:r w:rsidRPr="008950C4">
              <w:rPr>
                <w:rFonts w:ascii="Arial" w:hAnsi="Arial" w:cs="Arial"/>
                <w:lang w:val="en-GB"/>
              </w:rPr>
              <w:t xml:space="preserve">" OR "Takayasu arteritis" OR "aortitis" in Title Abstract Keyword </w:t>
            </w:r>
          </w:p>
          <w:p w14:paraId="5B234F9B" w14:textId="77777777" w:rsidR="008950C4" w:rsidRDefault="008950C4" w:rsidP="00812703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EB5A00F" w14:textId="74B1C499" w:rsidR="008950C4" w:rsidRDefault="008950C4" w:rsidP="00812703">
            <w:pPr>
              <w:jc w:val="both"/>
              <w:rPr>
                <w:rFonts w:ascii="Arial" w:hAnsi="Arial" w:cs="Arial"/>
                <w:lang w:val="en-GB"/>
              </w:rPr>
            </w:pPr>
            <w:r w:rsidRPr="008950C4">
              <w:rPr>
                <w:rFonts w:ascii="Arial" w:hAnsi="Arial" w:cs="Arial"/>
                <w:lang w:val="en-GB"/>
              </w:rPr>
              <w:t xml:space="preserve">AND </w:t>
            </w:r>
          </w:p>
          <w:p w14:paraId="62D012DF" w14:textId="77777777" w:rsidR="008950C4" w:rsidRDefault="008950C4" w:rsidP="00812703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000B5F1F" w14:textId="6FDF9074" w:rsidR="006610B0" w:rsidRDefault="008950C4" w:rsidP="00812703">
            <w:pPr>
              <w:jc w:val="both"/>
              <w:rPr>
                <w:rFonts w:ascii="Arial" w:hAnsi="Arial" w:cs="Arial"/>
                <w:lang w:val="en-GB"/>
              </w:rPr>
            </w:pPr>
            <w:r w:rsidRPr="008950C4">
              <w:rPr>
                <w:rFonts w:ascii="Arial" w:hAnsi="Arial" w:cs="Arial"/>
                <w:lang w:val="en-GB"/>
              </w:rPr>
              <w:t>"fluorodeoxyglucose" OR "</w:t>
            </w:r>
            <w:proofErr w:type="spellStart"/>
            <w:r w:rsidRPr="008950C4">
              <w:rPr>
                <w:rFonts w:ascii="Arial" w:hAnsi="Arial" w:cs="Arial"/>
                <w:lang w:val="en-GB"/>
              </w:rPr>
              <w:t>fdg</w:t>
            </w:r>
            <w:proofErr w:type="spellEnd"/>
            <w:r w:rsidRPr="008950C4">
              <w:rPr>
                <w:rFonts w:ascii="Arial" w:hAnsi="Arial" w:cs="Arial"/>
                <w:lang w:val="en-GB"/>
              </w:rPr>
              <w:t>" OR "positron-emission tomography" OR "positron emission tomography" OR "positron emission tomography computed tomography" OR "pet" in Title Abstract Keyword</w:t>
            </w:r>
          </w:p>
          <w:p w14:paraId="067EF804" w14:textId="59507E55" w:rsidR="008950C4" w:rsidRPr="006610B0" w:rsidRDefault="008950C4" w:rsidP="00812703">
            <w:pPr>
              <w:jc w:val="both"/>
              <w:rPr>
                <w:rFonts w:ascii="Arial" w:hAnsi="Arial" w:cs="Arial"/>
                <w:i/>
                <w:iCs/>
                <w:lang w:val="en-GB"/>
              </w:rPr>
            </w:pPr>
          </w:p>
        </w:tc>
      </w:tr>
    </w:tbl>
    <w:p w14:paraId="5B2DBBCF" w14:textId="77777777" w:rsidR="00812703" w:rsidRDefault="00812703" w:rsidP="00310DDC">
      <w:pPr>
        <w:rPr>
          <w:rFonts w:ascii="Arial" w:hAnsi="Arial" w:cs="Arial"/>
          <w:b/>
          <w:bCs/>
          <w:lang w:val="en-GB"/>
        </w:rPr>
      </w:pPr>
    </w:p>
    <w:p w14:paraId="5C5FA3AF" w14:textId="77777777" w:rsidR="00812703" w:rsidRDefault="00812703" w:rsidP="00310DDC">
      <w:pPr>
        <w:rPr>
          <w:rFonts w:ascii="Arial" w:hAnsi="Arial" w:cs="Arial"/>
          <w:b/>
          <w:bCs/>
          <w:lang w:val="en-GB"/>
        </w:rPr>
      </w:pPr>
    </w:p>
    <w:p w14:paraId="432D471D" w14:textId="77777777" w:rsidR="002763F5" w:rsidRDefault="002763F5" w:rsidP="00310DDC">
      <w:pPr>
        <w:rPr>
          <w:rFonts w:ascii="Arial" w:hAnsi="Arial" w:cs="Arial"/>
          <w:b/>
          <w:bCs/>
          <w:lang w:val="en-GB"/>
        </w:rPr>
      </w:pPr>
    </w:p>
    <w:p w14:paraId="23BB122B" w14:textId="77777777" w:rsidR="00801130" w:rsidRDefault="00801130" w:rsidP="00310DDC">
      <w:pPr>
        <w:rPr>
          <w:rFonts w:ascii="Arial" w:hAnsi="Arial" w:cs="Arial"/>
          <w:b/>
          <w:bCs/>
          <w:lang w:val="en-GB"/>
        </w:rPr>
      </w:pPr>
    </w:p>
    <w:p w14:paraId="63C1C051" w14:textId="77777777" w:rsidR="00801130" w:rsidRDefault="00801130" w:rsidP="00310DDC">
      <w:pPr>
        <w:rPr>
          <w:rFonts w:ascii="Arial" w:hAnsi="Arial" w:cs="Arial"/>
          <w:b/>
          <w:bCs/>
          <w:lang w:val="en-GB"/>
        </w:rPr>
      </w:pPr>
    </w:p>
    <w:p w14:paraId="49C906A5" w14:textId="77777777" w:rsidR="00801130" w:rsidRDefault="00801130" w:rsidP="00310DDC">
      <w:pPr>
        <w:rPr>
          <w:rFonts w:ascii="Arial" w:hAnsi="Arial" w:cs="Arial"/>
          <w:b/>
          <w:bCs/>
          <w:lang w:val="en-GB"/>
        </w:rPr>
      </w:pPr>
    </w:p>
    <w:p w14:paraId="60AA0783" w14:textId="77777777" w:rsidR="00801130" w:rsidRDefault="00801130" w:rsidP="00310DDC">
      <w:pPr>
        <w:rPr>
          <w:rFonts w:ascii="Arial" w:hAnsi="Arial" w:cs="Arial"/>
          <w:b/>
          <w:bCs/>
          <w:lang w:val="en-GB"/>
        </w:rPr>
      </w:pPr>
    </w:p>
    <w:p w14:paraId="71125662" w14:textId="77777777" w:rsidR="00801130" w:rsidRDefault="00801130" w:rsidP="00310DDC">
      <w:pPr>
        <w:rPr>
          <w:rFonts w:ascii="Arial" w:hAnsi="Arial" w:cs="Arial"/>
          <w:b/>
          <w:bCs/>
          <w:lang w:val="en-GB"/>
        </w:rPr>
      </w:pPr>
    </w:p>
    <w:p w14:paraId="0B6845F7" w14:textId="77777777" w:rsidR="00801130" w:rsidRDefault="00801130" w:rsidP="00310DDC">
      <w:pPr>
        <w:rPr>
          <w:rFonts w:ascii="Arial" w:hAnsi="Arial" w:cs="Arial"/>
          <w:b/>
          <w:bCs/>
          <w:lang w:val="en-GB"/>
        </w:rPr>
      </w:pPr>
    </w:p>
    <w:p w14:paraId="490C0031" w14:textId="77777777" w:rsidR="00801130" w:rsidRDefault="00801130" w:rsidP="00310DDC">
      <w:pPr>
        <w:rPr>
          <w:rFonts w:ascii="Arial" w:hAnsi="Arial" w:cs="Arial"/>
          <w:b/>
          <w:bCs/>
          <w:lang w:val="en-GB"/>
        </w:rPr>
      </w:pPr>
    </w:p>
    <w:p w14:paraId="27978D77" w14:textId="77777777" w:rsidR="00801130" w:rsidRDefault="00801130" w:rsidP="00310DDC">
      <w:pPr>
        <w:rPr>
          <w:rFonts w:ascii="Arial" w:hAnsi="Arial" w:cs="Arial"/>
          <w:b/>
          <w:bCs/>
          <w:lang w:val="en-GB"/>
        </w:rPr>
      </w:pPr>
    </w:p>
    <w:p w14:paraId="2F5CCB2D" w14:textId="77777777" w:rsidR="00801130" w:rsidRDefault="00801130" w:rsidP="00310DDC">
      <w:pPr>
        <w:rPr>
          <w:rFonts w:ascii="Arial" w:hAnsi="Arial" w:cs="Arial"/>
          <w:b/>
          <w:bCs/>
          <w:lang w:val="en-GB"/>
        </w:rPr>
      </w:pPr>
    </w:p>
    <w:p w14:paraId="01401552" w14:textId="77777777" w:rsidR="00801130" w:rsidRDefault="00801130" w:rsidP="00310DDC">
      <w:pPr>
        <w:rPr>
          <w:rFonts w:ascii="Arial" w:hAnsi="Arial" w:cs="Arial"/>
          <w:b/>
          <w:bCs/>
          <w:lang w:val="en-GB"/>
        </w:rPr>
      </w:pPr>
    </w:p>
    <w:p w14:paraId="59A3FBF4" w14:textId="77777777" w:rsidR="00801130" w:rsidRDefault="00801130" w:rsidP="00310DDC">
      <w:pPr>
        <w:rPr>
          <w:rFonts w:ascii="Arial" w:hAnsi="Arial" w:cs="Arial"/>
          <w:b/>
          <w:bCs/>
          <w:lang w:val="en-GB"/>
        </w:rPr>
        <w:sectPr w:rsidR="00801130" w:rsidSect="00F81825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14:paraId="13773B3D" w14:textId="27330012" w:rsidR="00801130" w:rsidRPr="00801130" w:rsidRDefault="00801130" w:rsidP="00801130">
      <w:pPr>
        <w:spacing w:after="0" w:line="240" w:lineRule="auto"/>
        <w:jc w:val="both"/>
        <w:rPr>
          <w:rFonts w:ascii="Arial" w:hAnsi="Arial" w:cs="Arial"/>
          <w:sz w:val="20"/>
          <w:lang w:val="en-GB"/>
        </w:rPr>
      </w:pPr>
      <w:r>
        <w:rPr>
          <w:rFonts w:ascii="Arial" w:hAnsi="Arial" w:cs="Arial"/>
          <w:b/>
          <w:bCs/>
          <w:sz w:val="20"/>
          <w:lang w:val="en-GB"/>
        </w:rPr>
        <w:lastRenderedPageBreak/>
        <w:t>Supplemental Table</w:t>
      </w:r>
      <w:r w:rsidRPr="00801130">
        <w:rPr>
          <w:rFonts w:ascii="Arial" w:hAnsi="Arial" w:cs="Arial"/>
          <w:b/>
          <w:bCs/>
          <w:sz w:val="20"/>
          <w:lang w:val="en-GB"/>
        </w:rPr>
        <w:t xml:space="preserve"> </w:t>
      </w:r>
      <w:r>
        <w:rPr>
          <w:rFonts w:ascii="Arial" w:hAnsi="Arial" w:cs="Arial"/>
          <w:b/>
          <w:bCs/>
          <w:sz w:val="20"/>
          <w:lang w:val="en-GB"/>
        </w:rPr>
        <w:t>2</w:t>
      </w:r>
      <w:r w:rsidRPr="00801130">
        <w:rPr>
          <w:rFonts w:ascii="Arial" w:hAnsi="Arial" w:cs="Arial"/>
          <w:b/>
          <w:bCs/>
          <w:sz w:val="20"/>
          <w:lang w:val="en-GB"/>
        </w:rPr>
        <w:t xml:space="preserve">. Main findings in longitudinal studies on [18F]FDG-PET/CT for monitoring of treatment response. </w:t>
      </w:r>
      <w:r w:rsidRPr="00801130">
        <w:rPr>
          <w:rFonts w:ascii="Arial" w:hAnsi="Arial" w:cs="Arial"/>
          <w:sz w:val="20"/>
          <w:lang w:val="en-GB"/>
        </w:rPr>
        <w:t xml:space="preserve">Glucocorticoid treatment was used orally unless stated otherwise. </w:t>
      </w:r>
      <w:r w:rsidRPr="00801130">
        <w:rPr>
          <w:rFonts w:ascii="Arial" w:hAnsi="Arial" w:cs="Arial"/>
          <w:sz w:val="20"/>
          <w:szCs w:val="20"/>
          <w:lang w:val="en-GB"/>
        </w:rPr>
        <w:t>AZA = azathioprine. BVAS = Birmingham Vasculitis Activity Score. CYC = cyclophosphamide</w:t>
      </w:r>
      <w:r w:rsidRPr="00801130">
        <w:rPr>
          <w:rFonts w:ascii="Arial" w:hAnsi="Arial" w:cs="Arial"/>
          <w:sz w:val="20"/>
          <w:lang w:val="en-GB"/>
        </w:rPr>
        <w:t xml:space="preserve">. DMARD = disease-modifying antirheumatic drug. </w:t>
      </w:r>
      <w:r w:rsidRPr="00801130">
        <w:rPr>
          <w:rFonts w:ascii="Arial" w:hAnsi="Arial" w:cs="Arial"/>
          <w:sz w:val="20"/>
          <w:szCs w:val="20"/>
          <w:lang w:val="en-GB"/>
        </w:rPr>
        <w:t xml:space="preserve">GC = glucocorticoid. </w:t>
      </w:r>
      <w:r w:rsidRPr="00801130">
        <w:rPr>
          <w:rFonts w:ascii="Arial" w:hAnsi="Arial" w:cs="Arial"/>
          <w:sz w:val="20"/>
          <w:lang w:val="en-GB"/>
        </w:rPr>
        <w:t xml:space="preserve">GCA = giant cell arteritis. </w:t>
      </w:r>
      <w:r w:rsidRPr="00801130">
        <w:rPr>
          <w:rFonts w:ascii="Arial" w:hAnsi="Arial" w:cs="Arial"/>
          <w:sz w:val="20"/>
          <w:szCs w:val="20"/>
          <w:lang w:val="en-GB"/>
        </w:rPr>
        <w:t>IFX = infliximab. IQR = interquartile range. IV = intravenous. MMF = mycophenolate (mofetil). MTX =methotrexate.</w:t>
      </w:r>
      <w:r w:rsidRPr="00801130">
        <w:rPr>
          <w:rFonts w:ascii="Arial" w:hAnsi="Arial" w:cs="Arial"/>
          <w:sz w:val="20"/>
          <w:lang w:val="en-GB"/>
        </w:rPr>
        <w:t xml:space="preserve"> n = number of patients (unless stated otherwise). </w:t>
      </w:r>
      <w:r w:rsidRPr="00801130">
        <w:rPr>
          <w:rFonts w:ascii="Arial" w:hAnsi="Arial" w:cs="Arial"/>
          <w:sz w:val="20"/>
          <w:szCs w:val="20"/>
          <w:lang w:val="en-GB"/>
        </w:rPr>
        <w:t>NIH = National Institute of Health</w:t>
      </w:r>
      <w:r w:rsidRPr="00801130">
        <w:rPr>
          <w:rFonts w:ascii="Arial" w:hAnsi="Arial" w:cs="Arial"/>
          <w:sz w:val="20"/>
          <w:lang w:val="en-GB"/>
        </w:rPr>
        <w:t xml:space="preserve">. SD = standard deviation. TAK = Takayasu arteritis. TBR = target to background ratio. </w:t>
      </w:r>
      <w:r w:rsidRPr="00801130">
        <w:rPr>
          <w:rFonts w:ascii="Arial" w:hAnsi="Arial" w:cs="Arial"/>
          <w:sz w:val="20"/>
          <w:szCs w:val="20"/>
          <w:lang w:val="en-GB"/>
        </w:rPr>
        <w:t>TCZ = tocilizumab.</w:t>
      </w:r>
    </w:p>
    <w:p w14:paraId="6028547F" w14:textId="77777777" w:rsidR="00801130" w:rsidRPr="00801130" w:rsidRDefault="00801130" w:rsidP="00801130">
      <w:pPr>
        <w:spacing w:after="0" w:line="240" w:lineRule="auto"/>
        <w:jc w:val="both"/>
        <w:rPr>
          <w:rFonts w:ascii="Arial" w:hAnsi="Arial" w:cs="Arial"/>
          <w:sz w:val="18"/>
          <w:szCs w:val="20"/>
          <w:lang w:val="en-GB"/>
        </w:rPr>
      </w:pPr>
    </w:p>
    <w:tbl>
      <w:tblPr>
        <w:tblStyle w:val="Tabelraster"/>
        <w:tblW w:w="146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135"/>
        <w:gridCol w:w="1446"/>
        <w:gridCol w:w="963"/>
        <w:gridCol w:w="1843"/>
        <w:gridCol w:w="2410"/>
        <w:gridCol w:w="6804"/>
      </w:tblGrid>
      <w:tr w:rsidR="00801130" w:rsidRPr="00EE77BC" w14:paraId="49C5C989" w14:textId="77777777" w:rsidTr="006A5BFB">
        <w:trPr>
          <w:trHeight w:val="2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3E74F7" w14:textId="77777777" w:rsidR="00801130" w:rsidRPr="006A5BFB" w:rsidRDefault="00801130" w:rsidP="00801130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GB" w:eastAsia="nl-NL"/>
              </w:rPr>
              <w:t>Study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DFA1" w14:textId="77777777" w:rsidR="00801130" w:rsidRPr="006A5BFB" w:rsidRDefault="00801130" w:rsidP="00801130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GB" w:eastAsia="nl-NL"/>
              </w:rPr>
              <w:t>No. of patients and disease stage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4EA4B" w14:textId="77777777" w:rsidR="00801130" w:rsidRPr="006A5BFB" w:rsidRDefault="00801130" w:rsidP="00801130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GB" w:eastAsia="nl-NL"/>
              </w:rPr>
              <w:t>Disease duration since diagnosis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320A" w14:textId="77777777" w:rsidR="00801130" w:rsidRPr="006A5BFB" w:rsidRDefault="00801130" w:rsidP="00801130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GB" w:eastAsia="nl-NL"/>
              </w:rPr>
              <w:t>Assessment of disease activity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679A" w14:textId="77777777" w:rsidR="00801130" w:rsidRPr="006A5BFB" w:rsidRDefault="00801130" w:rsidP="00801130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GB" w:eastAsia="nl-NL"/>
              </w:rPr>
              <w:t xml:space="preserve">Treatment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D43ABD" w14:textId="77777777" w:rsidR="00801130" w:rsidRPr="006A5BFB" w:rsidRDefault="00801130" w:rsidP="00801130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GB" w:eastAsia="nl-NL"/>
              </w:rPr>
              <w:t xml:space="preserve">FDG uptake at baseline and repeat scan during therapy </w:t>
            </w:r>
          </w:p>
          <w:p w14:paraId="55DE3C8D" w14:textId="77777777" w:rsidR="00801130" w:rsidRPr="006A5BFB" w:rsidRDefault="00801130" w:rsidP="00801130">
            <w:pPr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b/>
                <w:bCs/>
                <w:sz w:val="15"/>
                <w:szCs w:val="15"/>
                <w:lang w:val="en-GB" w:eastAsia="nl-NL"/>
              </w:rPr>
              <w:t xml:space="preserve"> </w:t>
            </w:r>
          </w:p>
        </w:tc>
      </w:tr>
      <w:tr w:rsidR="00801130" w:rsidRPr="00EE77BC" w14:paraId="2B87BAD6" w14:textId="77777777" w:rsidTr="006A5BFB">
        <w:trPr>
          <w:trHeight w:val="2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D15E37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eastAsia="nl-NL"/>
              </w:rPr>
            </w:pP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eastAsia="nl-NL"/>
              </w:rPr>
              <w:t>Banerjee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eastAsia="nl-NL"/>
              </w:rPr>
              <w:t xml:space="preserve"> et al. 2020 </w:t>
            </w:r>
            <w:r w:rsidRPr="006A5BFB">
              <w:rPr>
                <w:rFonts w:ascii="Arial" w:hAnsi="Arial" w:cs="Arial"/>
                <w:sz w:val="15"/>
                <w:szCs w:val="15"/>
                <w:vertAlign w:val="superscript"/>
              </w:rPr>
              <w:t>a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4ED4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TOTAL (n=52)</w:t>
            </w:r>
          </w:p>
          <w:p w14:paraId="0994F59C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GCA (n=31)</w:t>
            </w:r>
          </w:p>
          <w:p w14:paraId="329F05F0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TAK (n=21)</w:t>
            </w:r>
          </w:p>
          <w:p w14:paraId="19B39EBB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1ADD3DE8" w14:textId="77777777" w:rsidR="00801130" w:rsidRP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Remission</w:t>
            </w:r>
          </w:p>
          <w:p w14:paraId="349CBC2F" w14:textId="77777777" w:rsidR="00801130" w:rsidRP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Relapse</w:t>
            </w:r>
          </w:p>
          <w:p w14:paraId="7BEC14D0" w14:textId="77777777" w:rsidR="00801130" w:rsidRP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 xml:space="preserve">Possibly newly-diagnosed </w:t>
            </w:r>
          </w:p>
          <w:p w14:paraId="2AE7632E" w14:textId="77777777" w:rsidR="00801130" w:rsidRP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Possibly refractory</w:t>
            </w:r>
          </w:p>
          <w:p w14:paraId="09D499AE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6401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Median 1.4 years (IQR 0.6-2.7) for GCA</w:t>
            </w:r>
          </w:p>
          <w:p w14:paraId="0EC15242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297D63ED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Median 4.8 years (IQR 1.4-14.9) for TAK </w:t>
            </w:r>
          </w:p>
          <w:p w14:paraId="4A6F4C8B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85B58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Physician global assessment on scale of 0 (remission) to 10 (very active diseases)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198F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Longitudinal scans following increase of treatment (n=36 scans)</w:t>
            </w:r>
          </w:p>
          <w:p w14:paraId="15224D95" w14:textId="77777777" w:rsidR="00801130" w:rsidRPr="006A5BFB" w:rsidRDefault="00801130" w:rsidP="00801130">
            <w:pPr>
              <w:numPr>
                <w:ilvl w:val="0"/>
                <w:numId w:val="14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Increase of GC and other immunosuppressive treatment (n=14 scans)</w:t>
            </w:r>
          </w:p>
          <w:p w14:paraId="6006FD4E" w14:textId="77777777" w:rsidR="00801130" w:rsidRPr="006A5BFB" w:rsidRDefault="00801130" w:rsidP="00801130">
            <w:pPr>
              <w:numPr>
                <w:ilvl w:val="0"/>
                <w:numId w:val="14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Increase of GC treatment only (n=4 scans)</w:t>
            </w:r>
          </w:p>
          <w:p w14:paraId="073091AD" w14:textId="77777777" w:rsidR="00801130" w:rsidRPr="006A5BFB" w:rsidRDefault="00801130" w:rsidP="00801130">
            <w:pPr>
              <w:numPr>
                <w:ilvl w:val="0"/>
                <w:numId w:val="14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Increase of non-GC immunosuppressive treatment only (n=18 scans)</w:t>
            </w:r>
          </w:p>
          <w:p w14:paraId="6D514262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616C8DB4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Treatment change: change in prednisone dose by ≥ 5 mg; or either an addition or 50% dose change of a immunosuppressive treatment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852602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Serial scans with ~6m interval following increase of treatment (n=36 scans)</w:t>
            </w:r>
          </w:p>
          <w:p w14:paraId="3B0FD89E" w14:textId="77777777" w:rsidR="00801130" w:rsidRPr="006A5BFB" w:rsidRDefault="00801130" w:rsidP="00801130">
            <w:pPr>
              <w:numPr>
                <w:ilvl w:val="0"/>
                <w:numId w:val="16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Baseline scan: PETVAS, median 23.5 (range not provided); number of scans consistent with vasculitis (global assessment), 30/36 scans;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clinically active disease during 25/36 scans</w:t>
            </w:r>
          </w:p>
          <w:p w14:paraId="69F60095" w14:textId="77777777" w:rsidR="00801130" w:rsidRPr="006A5BFB" w:rsidRDefault="00801130" w:rsidP="00801130">
            <w:pPr>
              <w:numPr>
                <w:ilvl w:val="0"/>
                <w:numId w:val="16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Repeat scan: PETVAS, median 18.0 (range not provided); number of scans consistent with vasculitis (global assessment), 24/36 scans;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clinically active disease during 14/36 scans</w:t>
            </w:r>
          </w:p>
          <w:p w14:paraId="1D815682" w14:textId="77777777" w:rsidR="00801130" w:rsidRPr="006A5BFB" w:rsidRDefault="00801130" w:rsidP="00801130">
            <w:pPr>
              <w:ind w:left="360"/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05E06ECE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Serial scans with ~6m interval following unchanged treatment (n=30 scans)</w:t>
            </w:r>
          </w:p>
          <w:p w14:paraId="0E078372" w14:textId="77777777" w:rsidR="00801130" w:rsidRPr="006A5BFB" w:rsidRDefault="00801130" w:rsidP="00801130">
            <w:pPr>
              <w:numPr>
                <w:ilvl w:val="0"/>
                <w:numId w:val="7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Baseline scan: PETVAS median 21.0 (range not provided);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 disease activity during scan unclear (median physician global assessment 0, range not provided)</w:t>
            </w:r>
          </w:p>
          <w:p w14:paraId="514A5F24" w14:textId="77777777" w:rsidR="00801130" w:rsidRPr="006A5BFB" w:rsidRDefault="00801130" w:rsidP="00801130">
            <w:pPr>
              <w:numPr>
                <w:ilvl w:val="0"/>
                <w:numId w:val="7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Repeat scan: PETVAS, median 21.0 (range not provided);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 disease activity during scan unclear (median physician global assessment 0, range not provided)</w:t>
            </w:r>
          </w:p>
          <w:p w14:paraId="2D30C0CB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426107FC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Serial scans with ~6m interval following decrease of treatment (n=21 scans)</w:t>
            </w:r>
          </w:p>
          <w:p w14:paraId="76D8EA25" w14:textId="2EFB1458" w:rsidR="00801130" w:rsidRPr="006A5BFB" w:rsidRDefault="00801130" w:rsidP="006A5BFB">
            <w:pPr>
              <w:numPr>
                <w:ilvl w:val="0"/>
                <w:numId w:val="7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Baseline scan: PETVAS median 16.0 (range not provided);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 disease activity during scan unclear (median physician global assessment 0, range not provided)</w:t>
            </w:r>
          </w:p>
          <w:p w14:paraId="7A9B8E04" w14:textId="77777777" w:rsidR="00801130" w:rsidRPr="006A5BFB" w:rsidRDefault="00801130" w:rsidP="00801130">
            <w:pPr>
              <w:numPr>
                <w:ilvl w:val="0"/>
                <w:numId w:val="7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Repeat scan: PETVAS, median 20.0 (range not provided);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 disease activity during scan unclear (median physician global assessment 0, range not provided)</w:t>
            </w:r>
          </w:p>
          <w:p w14:paraId="3CA423F8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0004A5F5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Serial scans with ~6m interval following start of TCZ (n=17 GCA patients)</w:t>
            </w:r>
          </w:p>
          <w:p w14:paraId="4D5F58B5" w14:textId="77777777" w:rsidR="00801130" w:rsidRPr="006A5BFB" w:rsidRDefault="00801130" w:rsidP="00801130">
            <w:pPr>
              <w:numPr>
                <w:ilvl w:val="0"/>
                <w:numId w:val="7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Baseline scan: PETVAS median 25.0 (range not provided); scans consistent with vasculitis (global assessment), 17/17 patients;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clinically active disease during scan in at least 10/17 patients</w:t>
            </w:r>
          </w:p>
          <w:p w14:paraId="5DDAF424" w14:textId="77777777" w:rsidR="00801130" w:rsidRPr="006A5BFB" w:rsidRDefault="00801130" w:rsidP="00801130">
            <w:pPr>
              <w:numPr>
                <w:ilvl w:val="0"/>
                <w:numId w:val="7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Repeat scan: PETVAS median 21.5 (range not provided); scans consistent with vasculitis (global assessment), 14/17 patients;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clinically active disease during scan in 3/17 patients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</w:t>
            </w:r>
          </w:p>
          <w:p w14:paraId="33D4EF5B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0AEF4D94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Serial scans with ~6m interval following start of IFX (n=7 TAK patients)</w:t>
            </w:r>
          </w:p>
          <w:p w14:paraId="197FE03D" w14:textId="77777777" w:rsidR="00801130" w:rsidRPr="006A5BFB" w:rsidRDefault="00801130" w:rsidP="00801130">
            <w:pPr>
              <w:numPr>
                <w:ilvl w:val="0"/>
                <w:numId w:val="7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Baseline scan: PETVAS, median 21.0; scans consistent with vasculitis (global assessment), 7/7 patients;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clinically active disease in 7/7 patients</w:t>
            </w:r>
          </w:p>
          <w:p w14:paraId="091FFF09" w14:textId="140160CE" w:rsidR="00801130" w:rsidRPr="006A5BFB" w:rsidRDefault="00801130" w:rsidP="00801130">
            <w:pPr>
              <w:numPr>
                <w:ilvl w:val="0"/>
                <w:numId w:val="7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Repeat scan: PETVAS, median 16.0; scans consistent with vasculitis (global assessment), 5/7 patients;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clinically active disease in 5/7 patients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</w:t>
            </w:r>
          </w:p>
        </w:tc>
      </w:tr>
      <w:tr w:rsidR="00801130" w:rsidRPr="00EE77BC" w14:paraId="3D061396" w14:textId="77777777" w:rsidTr="006A5BFB">
        <w:trPr>
          <w:trHeight w:val="2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1770EC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Bruls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et al. 2016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3C4A8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TOTAL (n=12)</w:t>
            </w:r>
          </w:p>
          <w:p w14:paraId="67AC4057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GCA (n=4)</w:t>
            </w:r>
          </w:p>
          <w:p w14:paraId="562D253E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TAK (n=2)</w:t>
            </w:r>
          </w:p>
          <w:p w14:paraId="760C6C9F" w14:textId="55B008B2" w:rsidR="006A5BFB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Idiopathic aortitis (n=6)</w:t>
            </w:r>
          </w:p>
          <w:p w14:paraId="26DD81B2" w14:textId="77777777" w:rsidR="00801130" w:rsidRP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 xml:space="preserve">Newly-diagnosed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4DA0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FC34D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Unclear (‘clinical improvement’)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42217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Corticosteroids, azathioprine or methotrexate; aortic surgery §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0C79E9" w14:textId="77777777" w:rsidR="00801130" w:rsidRP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Baseline scan during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 xml:space="preserve">clinically active disease in all patients 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(n=12)</w:t>
            </w:r>
          </w:p>
          <w:p w14:paraId="1FADCA45" w14:textId="77777777" w:rsidR="00801130" w:rsidRPr="006A5BFB" w:rsidRDefault="00801130" w:rsidP="00801130">
            <w:pPr>
              <w:numPr>
                <w:ilvl w:val="0"/>
                <w:numId w:val="9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Positive FDG uptake (i.e. ‘any increased focal uptake compared with background’ according to visual analysis) in at least one region of the aorta in all patients</w:t>
            </w:r>
          </w:p>
          <w:p w14:paraId="69357EBF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444C62BE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Repeat scan following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 improvement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with immunosuppressive treatment and/or aortic surgery (n=12)</w:t>
            </w:r>
          </w:p>
          <w:p w14:paraId="4AFDA15B" w14:textId="77777777" w:rsidR="00801130" w:rsidRDefault="00801130" w:rsidP="00801130">
            <w:pPr>
              <w:numPr>
                <w:ilvl w:val="0"/>
                <w:numId w:val="9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Positive FDG uptake in at least one region of the aorta in none of the patients</w:t>
            </w:r>
          </w:p>
          <w:p w14:paraId="207092AA" w14:textId="77777777" w:rsidR="006A5BFB" w:rsidRDefault="006A5BFB" w:rsidP="006A5BFB">
            <w:pPr>
              <w:ind w:left="360"/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4174E871" w14:textId="7F23EE0E" w:rsidR="006A5BFB" w:rsidRPr="006A5BFB" w:rsidRDefault="006A5BFB" w:rsidP="006A5BFB">
            <w:pPr>
              <w:ind w:left="360"/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</w:tc>
      </w:tr>
      <w:tr w:rsidR="00801130" w:rsidRPr="00EE77BC" w14:paraId="5FECAC04" w14:textId="77777777" w:rsidTr="006A5BFB">
        <w:trPr>
          <w:trHeight w:val="2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2A47D9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lastRenderedPageBreak/>
              <w:t xml:space="preserve">Castellani et al. 2016 </w:t>
            </w:r>
            <w:r w:rsidRPr="006A5BFB">
              <w:rPr>
                <w:rFonts w:ascii="Arial" w:hAnsi="Arial" w:cs="Arial"/>
                <w:sz w:val="15"/>
                <w:szCs w:val="15"/>
                <w:vertAlign w:val="superscript"/>
                <w:lang w:val="en-GB"/>
              </w:rPr>
              <w:t>b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07F4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TOTAL (n=12)</w:t>
            </w:r>
          </w:p>
          <w:p w14:paraId="5724F75A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GCA (n=9) </w:t>
            </w:r>
          </w:p>
          <w:p w14:paraId="40321E1F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TAK (n=3) </w:t>
            </w:r>
          </w:p>
          <w:p w14:paraId="5DBA70B7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5482F412" w14:textId="77777777" w:rsidR="00801130" w:rsidRP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 xml:space="preserve">Newly-diagnosed </w:t>
            </w:r>
          </w:p>
          <w:p w14:paraId="3EDA3D57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1489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NA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B51E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Assessment of clinical course (clinical and laboratory data, response to GC treatment); no standardized criteria.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2893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GC treatment or immunosuppressants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3E5FBB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Baseline scan during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 xml:space="preserve">clinically active disease in all patients 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(n=12 scans)</w:t>
            </w:r>
          </w:p>
          <w:p w14:paraId="38EB319F" w14:textId="77777777" w:rsidR="00801130" w:rsidRPr="006A5BFB" w:rsidRDefault="00801130" w:rsidP="00801130">
            <w:pPr>
              <w:numPr>
                <w:ilvl w:val="0"/>
                <w:numId w:val="5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FDG uptake in supra-aortic branches, median grade 3 (range 0-3) †; in thoracic aorta, median grade 2 (range 0-3), in abdominal aorta, median grade 2.5 (range 0-3); in iliofemoral arteries, median grade 1 (range 0-3); total visual score of 11 regions in aortic tree, median 26 (range 0-33)</w:t>
            </w:r>
          </w:p>
          <w:p w14:paraId="31DB6C71" w14:textId="77777777" w:rsidR="00801130" w:rsidRPr="006A5BFB" w:rsidRDefault="00801130" w:rsidP="00801130">
            <w:pPr>
              <w:numPr>
                <w:ilvl w:val="0"/>
                <w:numId w:val="5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SUVmean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artery/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SUVmean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liver) in supra-aortic branches, mean 0.78 (SD 0.16); in thoracic aorta, mean 0.96 (SD 0.14); in abdominal aorta, mean 1.09 (SD 0.21); in iliofemoral arteries, mean 0.70 (SD 0.17); in entire aortic tree, mean 0.84 (SD 0.14)</w:t>
            </w:r>
          </w:p>
          <w:p w14:paraId="49DBF00F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15955475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Repeat scan during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relapsing or refractory disease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(n=9 scans) </w:t>
            </w:r>
          </w:p>
          <w:p w14:paraId="1CD5BA4A" w14:textId="77777777" w:rsidR="00801130" w:rsidRPr="006A5BFB" w:rsidRDefault="00801130" w:rsidP="00801130">
            <w:pPr>
              <w:numPr>
                <w:ilvl w:val="0"/>
                <w:numId w:val="5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FDG uptake in supra-aortic branches, median grade 1 (range 0-3); in thoracic aorta, median grade 2 (range 1-3); in abdominal aorta, median grade 2 (range 1-3), in iliofemoral arteries, median grade 1 (range 0-2); total visual score of 11 regions in aortic tree, median 17 (range 4-30)</w:t>
            </w:r>
          </w:p>
          <w:p w14:paraId="4E585BAF" w14:textId="77777777" w:rsidR="00801130" w:rsidRPr="006A5BFB" w:rsidRDefault="00801130" w:rsidP="00801130">
            <w:pPr>
              <w:numPr>
                <w:ilvl w:val="0"/>
                <w:numId w:val="5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SUVmean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artery/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SUVmean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liver) in supra-aortic branches, mean 0.76 (SD 0.14); in thoracic aorta, mean 0.93 (SD 0.12); in abdominal aorta, mean 0.98 (SD 0.15); in iliofemoral arteries, mean 0.66 (SD 0.09); in entire aortic tree, mean 0.82 (SD 0.10) </w:t>
            </w:r>
          </w:p>
          <w:p w14:paraId="2EC22842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698F4417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Repeat scan during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complete remission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(n=20 scans) </w:t>
            </w:r>
          </w:p>
          <w:p w14:paraId="38341793" w14:textId="77777777" w:rsidR="00801130" w:rsidRPr="006A5BFB" w:rsidRDefault="00801130" w:rsidP="00801130">
            <w:pPr>
              <w:numPr>
                <w:ilvl w:val="0"/>
                <w:numId w:val="5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FDG uptake in supra-aortic branches, median grade 0 (range 0-2); in thoracic aorta, median grade 1 (range 0-2); in abdominal aorta, median grade 0.5 (range 0-3); in iliofemoral arteries, median grade 0 (range 0-1); total visual score of 11 regions in aortic tree, median 6.5 (range 0-21)</w:t>
            </w:r>
          </w:p>
          <w:p w14:paraId="4179277D" w14:textId="07ECFDA8" w:rsidR="006A5BFB" w:rsidRPr="006A5BFB" w:rsidRDefault="00801130" w:rsidP="006A5BFB">
            <w:pPr>
              <w:numPr>
                <w:ilvl w:val="0"/>
                <w:numId w:val="5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SUVmean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artery/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SUVmean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liver) in supra-aortic branches, mean 0.63 (SD 0.10); in thoracic aorta, mean 0.79 (SD 0.11); in abdominal aorta, mean 0.82 (SD 0.19); in iliofemoral arteries, mean 0.54 (SD 0.09); in entire aortic tree, mean 0.67 (SD 0.09) </w:t>
            </w:r>
          </w:p>
        </w:tc>
      </w:tr>
      <w:tr w:rsidR="00801130" w:rsidRPr="00EE77BC" w14:paraId="0202300B" w14:textId="77777777" w:rsidTr="006A5BFB">
        <w:trPr>
          <w:trHeight w:val="2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900BD8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de 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Boysson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et al. 2017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310A5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GCA (n=25)</w:t>
            </w:r>
          </w:p>
          <w:p w14:paraId="2642661B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5C53DD51" w14:textId="77777777" w:rsidR="00801130" w:rsidRP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 xml:space="preserve">Newly-diagnosed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E5F85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324CA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Controlled disease = absence of symptoms and inflammatory markers after 3 months of GC treatment</w:t>
            </w:r>
          </w:p>
          <w:p w14:paraId="7D27516A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686B4F69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Relapse = </w:t>
            </w:r>
          </w:p>
          <w:p w14:paraId="77D24B61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re-occurrence of symptoms or re-increase of inflammatory markers without any other cause than GCA requiring increase of GC treatment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2B914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GC treatment </w:t>
            </w:r>
          </w:p>
          <w:p w14:paraId="52A32362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Baseline (n=25), GC median dose 55 mg (IQR 40-70) </w:t>
            </w:r>
          </w:p>
          <w:p w14:paraId="57914EC0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Second scan (n=25), GC median dose 10 mg (IQR 5-13); 22/25 patients on GC treatment</w:t>
            </w:r>
          </w:p>
          <w:p w14:paraId="7C870805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Third scan (n=7), median dose unclear </w:t>
            </w:r>
          </w:p>
          <w:p w14:paraId="634B93B6" w14:textId="77777777" w:rsidR="00801130" w:rsidRPr="006A5BFB" w:rsidRDefault="00801130" w:rsidP="00801130">
            <w:pPr>
              <w:ind w:left="360"/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56E9C89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Baseline scan during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clinically active disease in all patients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(n=25)</w:t>
            </w:r>
          </w:p>
          <w:p w14:paraId="5F78116E" w14:textId="77777777" w:rsidR="00801130" w:rsidRPr="006A5BFB" w:rsidRDefault="00801130" w:rsidP="00801130">
            <w:pPr>
              <w:numPr>
                <w:ilvl w:val="0"/>
                <w:numId w:val="1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Vascular FDG uptake grade 3 † in all patients </w:t>
            </w:r>
          </w:p>
          <w:p w14:paraId="1C4184C0" w14:textId="77777777" w:rsidR="00801130" w:rsidRPr="006A5BFB" w:rsidRDefault="00801130" w:rsidP="00801130">
            <w:pPr>
              <w:numPr>
                <w:ilvl w:val="0"/>
                <w:numId w:val="10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Number of arterial regions with vascular FDG uptake grade 3, median 4 (IQR 2-5) </w:t>
            </w:r>
          </w:p>
          <w:p w14:paraId="188E80C9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2DEF59FD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Second scan during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controlled disease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at median 11 months (IQR 9-15) after baseline (n=25)</w:t>
            </w:r>
          </w:p>
          <w:p w14:paraId="525C16E0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No arterial regions with vascular FDG uptake grade 3 in 4/25 patients </w:t>
            </w:r>
          </w:p>
          <w:p w14:paraId="31E672A8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Less arterial regions with FDG uptake grade 3 in 8/25 patients</w:t>
            </w:r>
          </w:p>
          <w:p w14:paraId="70C9645B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Unchanged number of arterial regions with FDG uptake in 10/25 patients</w:t>
            </w:r>
          </w:p>
          <w:p w14:paraId="791BE247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More arterial regions with FDG uptake grade 3 in 3/25 patients </w:t>
            </w:r>
          </w:p>
          <w:p w14:paraId="3DC4BB4C" w14:textId="29CBCCE1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Number of arterial regions with vascular FDG uptake grade 3, median 2 (IQR 1-4) </w:t>
            </w:r>
          </w:p>
          <w:p w14:paraId="0A7FAC15" w14:textId="77777777" w:rsidR="006A5BFB" w:rsidRPr="006A5BFB" w:rsidRDefault="006A5BFB" w:rsidP="006A5BFB">
            <w:pPr>
              <w:ind w:left="360"/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3F52360A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Third scan during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controlled disease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at median 15 months (IQR 10-24) after baseline (n=7)</w:t>
            </w:r>
          </w:p>
          <w:p w14:paraId="4FEFF8E5" w14:textId="77777777" w:rsidR="00801130" w:rsidRPr="006A5BFB" w:rsidRDefault="00801130" w:rsidP="00801130">
            <w:pPr>
              <w:numPr>
                <w:ilvl w:val="0"/>
                <w:numId w:val="12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Negative third scan after negative second scan (n=1) </w:t>
            </w:r>
          </w:p>
          <w:p w14:paraId="442C4C2C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Negative third scan after unchanged second scan (n=1)</w:t>
            </w:r>
          </w:p>
          <w:p w14:paraId="72730BCC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Less arterial regions with FDG uptake grade 3 after prior decrease on second scan (n=1) </w:t>
            </w:r>
          </w:p>
          <w:p w14:paraId="42988CD1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Less arterial regions with FDG uptake grade 3 after initially unchanged second scan (n=1) </w:t>
            </w:r>
          </w:p>
          <w:p w14:paraId="715F0391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Less arterial regions with FDG uptake grade 3 after initial increase of arterial regions with vascular FDG uptake grade 3 on second scan (n=1) </w:t>
            </w:r>
          </w:p>
          <w:p w14:paraId="3CBBCE8A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Unchanged number of arterial regions with FDG uptake grade 3 after unchanged second scan (n=2) </w:t>
            </w:r>
          </w:p>
          <w:p w14:paraId="24954D0F" w14:textId="77777777" w:rsidR="006A5BFB" w:rsidRDefault="006A5BFB" w:rsidP="006A5BFB">
            <w:pPr>
              <w:ind w:left="360"/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0E65EBB8" w14:textId="77777777" w:rsidR="006A5BFB" w:rsidRDefault="006A5BFB" w:rsidP="006A5BFB">
            <w:pPr>
              <w:ind w:left="360"/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5754ED6C" w14:textId="77777777" w:rsidR="006A5BFB" w:rsidRDefault="006A5BFB" w:rsidP="006A5BFB">
            <w:pPr>
              <w:ind w:left="360"/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6518C31E" w14:textId="7710B74D" w:rsidR="006A5BFB" w:rsidRPr="006A5BFB" w:rsidRDefault="006A5BFB" w:rsidP="006A5BFB">
            <w:pPr>
              <w:ind w:left="360"/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</w:tc>
      </w:tr>
      <w:tr w:rsidR="00801130" w:rsidRPr="00EE77BC" w14:paraId="3596D78E" w14:textId="77777777" w:rsidTr="006A5BFB">
        <w:trPr>
          <w:trHeight w:val="2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8F9B6D1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lastRenderedPageBreak/>
              <w:t>Henes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et al. 2011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738D6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TOTAL (n=10)</w:t>
            </w:r>
          </w:p>
          <w:p w14:paraId="577C2A1B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GCA (n=6)</w:t>
            </w:r>
          </w:p>
          <w:p w14:paraId="516828C5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TAK (n=4)</w:t>
            </w:r>
          </w:p>
          <w:p w14:paraId="23F0FB0A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6EDB7091" w14:textId="77777777" w:rsidR="00801130" w:rsidRP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Refractory</w:t>
            </w:r>
          </w:p>
          <w:p w14:paraId="737A64E2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Organ-threatening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D15D5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Median 7 months (range 0-36)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B5D3B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BVAS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45389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Induction therapy by CYC IV pulses (n=10) with 1 patient eventually switching to oral cyclophosphamide, in combination with glucocorticoids:</w:t>
            </w:r>
          </w:p>
          <w:p w14:paraId="6C3583F6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1000 mg IV pulses followed by 1 mg/kg (n=2)</w:t>
            </w:r>
          </w:p>
          <w:p w14:paraId="5C14625C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1 mg/kg (n=5)</w:t>
            </w:r>
          </w:p>
          <w:p w14:paraId="150E5624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&lt; 10 mg (n=2)</w:t>
            </w:r>
          </w:p>
          <w:p w14:paraId="620B5A13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688B712D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Maintenance therapy by: AZA (n=7), MTX (n=2) , MMF (n=1)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81C93A" w14:textId="77777777" w:rsidR="00801130" w:rsidRP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Baseline scan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 xml:space="preserve">with BVAS 5-13 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(n=10)</w:t>
            </w:r>
          </w:p>
          <w:p w14:paraId="361195E8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At least one arterial region with vascular FDG uptake grade ≥2 † in all patients </w:t>
            </w:r>
          </w:p>
          <w:p w14:paraId="5BB0A4F8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Number of arterial regions with vascular FDG uptake grade ≥2, median 4 (range 1-7) </w:t>
            </w:r>
          </w:p>
          <w:p w14:paraId="22B5A712" w14:textId="77777777" w:rsidR="00801130" w:rsidRPr="006A5BFB" w:rsidRDefault="00801130" w:rsidP="00801130">
            <w:pPr>
              <w:ind w:left="360"/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2DD72360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Repeat scan following completion of cyclophosphamide induction at 5-10 months after baseline (n=10)</w:t>
            </w:r>
          </w:p>
          <w:p w14:paraId="3174D871" w14:textId="77777777" w:rsidR="00801130" w:rsidRPr="006A5BFB" w:rsidRDefault="00801130" w:rsidP="00801130">
            <w:pPr>
              <w:numPr>
                <w:ilvl w:val="0"/>
                <w:numId w:val="17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No arterial region with vascular FDG uptake grade ≥2 in 5 out of 8 patients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in remission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(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with BVAS 0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); decrease of vascular FDG uptake in some regions, but similar uptake in other regions in the other 3 patients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in remission</w:t>
            </w:r>
          </w:p>
          <w:p w14:paraId="6AA0343A" w14:textId="77777777" w:rsidR="00801130" w:rsidRPr="006A5BFB" w:rsidRDefault="00801130" w:rsidP="00801130">
            <w:pPr>
              <w:numPr>
                <w:ilvl w:val="0"/>
                <w:numId w:val="17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Decrease of vascular FDG uptake in some regions, but similar uptake in other regions in 2 patients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with active disease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(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with BVAS 3 and 5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)</w:t>
            </w:r>
          </w:p>
          <w:p w14:paraId="1F00725C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6F2FEC5D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Repeat scan following additional maintenance therapy at 12-30 months after baseline in patients with positive scan after induction therapy (n=4; the fifth patients lost to follow-up):</w:t>
            </w:r>
          </w:p>
          <w:p w14:paraId="1C8BADCA" w14:textId="243FFE33" w:rsidR="006A5BFB" w:rsidRPr="006A5BFB" w:rsidRDefault="00801130" w:rsidP="006A5BFB">
            <w:pPr>
              <w:numPr>
                <w:ilvl w:val="0"/>
                <w:numId w:val="18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No arterial region with vascular FDG uptake grade ≥2 in all 4 patients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in remission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(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with BVAS 0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)</w:t>
            </w:r>
          </w:p>
        </w:tc>
      </w:tr>
      <w:tr w:rsidR="00801130" w:rsidRPr="00EE77BC" w14:paraId="4FE77E69" w14:textId="77777777" w:rsidTr="006A5BFB">
        <w:trPr>
          <w:trHeight w:val="2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D82CC3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Lee et al. 2012 </w:t>
            </w:r>
            <w:r w:rsidRPr="006A5BFB">
              <w:rPr>
                <w:rFonts w:ascii="Arial" w:hAnsi="Arial" w:cs="Arial"/>
                <w:sz w:val="15"/>
                <w:szCs w:val="15"/>
                <w:vertAlign w:val="superscript"/>
                <w:lang w:val="en-GB"/>
              </w:rPr>
              <w:t>b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2E4C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TAK (n=13)</w:t>
            </w:r>
          </w:p>
          <w:p w14:paraId="790F0461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5027F739" w14:textId="77777777" w:rsidR="00801130" w:rsidRP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Disease stage unclear (Clinically active (n=9) or inactive with vascular FDG uptake grade ≥ 1 † (n=4))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41475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Median 11 months (range 1-348) §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1A2AC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NIH criteria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75FA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Prednisolone (20-30 mg) only (n=2) or prednisolone (20-60 mg) in combination with methotrexate (n=11) </w:t>
            </w:r>
          </w:p>
          <w:p w14:paraId="006CDB54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6B26E162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4DA14B76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FD8D199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Clinically active disease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at baseline becoming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 xml:space="preserve">clinically inactive 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during follow-up (n=8):</w:t>
            </w:r>
          </w:p>
          <w:p w14:paraId="7BEDAB5A" w14:textId="77777777" w:rsidR="00801130" w:rsidRPr="006A5BFB" w:rsidRDefault="00801130" w:rsidP="00801130">
            <w:pPr>
              <w:numPr>
                <w:ilvl w:val="0"/>
                <w:numId w:val="2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Baseline scan: number of arteries with vascular FDG uptake grade ≥ 2 †, median 8.5 (range 1-11); 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artery/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liver), median 1.24 (range 0.96-2.36)</w:t>
            </w:r>
          </w:p>
          <w:p w14:paraId="67D3948D" w14:textId="77777777" w:rsidR="00801130" w:rsidRPr="006A5BFB" w:rsidRDefault="00801130" w:rsidP="00801130">
            <w:pPr>
              <w:numPr>
                <w:ilvl w:val="0"/>
                <w:numId w:val="2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Repeat scan at median 3.5 (range 1-8) months after baseline: number of arteries with vascular FDG uptake grade ≥ 2, median 2.5 (range 0-6); 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artery/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liver), median 0.76 (range 0.60-1.00) </w:t>
            </w:r>
          </w:p>
          <w:p w14:paraId="3AF6E4FA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2CBB190C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Clinically active disease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at baseline remaining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clinically active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during follow-up(n=1):</w:t>
            </w:r>
          </w:p>
          <w:p w14:paraId="20BCAD1D" w14:textId="77777777" w:rsidR="00801130" w:rsidRPr="006A5BFB" w:rsidRDefault="00801130" w:rsidP="00801130">
            <w:pPr>
              <w:numPr>
                <w:ilvl w:val="0"/>
                <w:numId w:val="3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Baseline scan: number of arteries with vascular FDG uptake grade ≥ 2, 5; 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artery/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liver), 0.90 </w:t>
            </w:r>
          </w:p>
          <w:p w14:paraId="0149FD84" w14:textId="77777777" w:rsidR="00801130" w:rsidRPr="006A5BFB" w:rsidRDefault="00801130" w:rsidP="00801130">
            <w:pPr>
              <w:numPr>
                <w:ilvl w:val="0"/>
                <w:numId w:val="3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Repeat scan at 10 months after baseline: number of arteries with vascular FDG uptake grade ≥ 2, 3; 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artery/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liver), 0.98</w:t>
            </w:r>
          </w:p>
          <w:p w14:paraId="0E8F6B7A" w14:textId="77777777" w:rsidR="00801130" w:rsidRPr="006A5BFB" w:rsidRDefault="00801130" w:rsidP="00801130">
            <w:pPr>
              <w:ind w:left="360"/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2F1AD57B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Clinically inactive disease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remaining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clinically inactive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(n=3):</w:t>
            </w:r>
          </w:p>
          <w:p w14:paraId="337C8A77" w14:textId="77777777" w:rsidR="00801130" w:rsidRPr="006A5BFB" w:rsidRDefault="00801130" w:rsidP="00801130">
            <w:pPr>
              <w:numPr>
                <w:ilvl w:val="0"/>
                <w:numId w:val="4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Baseline scan: number of arteries with vascular FDG uptake grade ≥ 2, median 0 (range 0-1); 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artery/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liver), median 0.82 (range 0.73-0.83) </w:t>
            </w:r>
          </w:p>
          <w:p w14:paraId="4BD8D0F5" w14:textId="77777777" w:rsidR="00801130" w:rsidRPr="006A5BFB" w:rsidRDefault="00801130" w:rsidP="00801130">
            <w:pPr>
              <w:numPr>
                <w:ilvl w:val="0"/>
                <w:numId w:val="4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Repeat scan at 3-6 months after baseline: number of arteries with vascular FDG uptake grade ≥ 2, 0 (range 0-1); 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artery/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liver), median 0.65 (range 0.63-0.75) </w:t>
            </w:r>
          </w:p>
          <w:p w14:paraId="57D52167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266F5F36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Clinically inactive disease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becoming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clinically active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(n=1)</w:t>
            </w:r>
          </w:p>
          <w:p w14:paraId="19A45896" w14:textId="77777777" w:rsidR="00801130" w:rsidRPr="006A5BFB" w:rsidRDefault="00801130" w:rsidP="00801130">
            <w:pPr>
              <w:numPr>
                <w:ilvl w:val="0"/>
                <w:numId w:val="3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Baseline scan: number of arteries with vascular FDG uptake grade ≥ 2, 4; 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artery/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liver), 0.71 </w:t>
            </w:r>
          </w:p>
          <w:p w14:paraId="50E72E49" w14:textId="77777777" w:rsidR="00801130" w:rsidRPr="006A5BFB" w:rsidRDefault="00801130" w:rsidP="00801130">
            <w:pPr>
              <w:numPr>
                <w:ilvl w:val="0"/>
                <w:numId w:val="3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Repeat scan at 10 months after baseline: number of arteries with vascular FDG uptake grade ≥ 2, 4; 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artery/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liver), 1.12</w:t>
            </w:r>
          </w:p>
        </w:tc>
      </w:tr>
      <w:tr w:rsidR="00801130" w:rsidRPr="00EE77BC" w14:paraId="494FB924" w14:textId="77777777" w:rsidTr="006A5BFB">
        <w:trPr>
          <w:trHeight w:val="2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E95E74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eastAsia="nl-NL"/>
              </w:rPr>
            </w:pP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eastAsia="nl-NL"/>
              </w:rPr>
              <w:t>Martínez-Rodríguez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eastAsia="nl-NL"/>
              </w:rPr>
              <w:t xml:space="preserve"> et al. 2018 </w:t>
            </w:r>
            <w:proofErr w:type="spellStart"/>
            <w:r w:rsidRPr="006A5BFB">
              <w:rPr>
                <w:rFonts w:ascii="Arial" w:hAnsi="Arial" w:cs="Arial"/>
                <w:sz w:val="15"/>
                <w:szCs w:val="15"/>
                <w:vertAlign w:val="superscript"/>
              </w:rPr>
              <w:t>b,c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7FF3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TOTAL (n=37)</w:t>
            </w:r>
          </w:p>
          <w:p w14:paraId="080E7834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Aortic involvement with idiopathic LVV (n=12), GCA (n=21) or other autoimmune disease (n=4)</w:t>
            </w:r>
          </w:p>
          <w:p w14:paraId="2E261E16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075CF881" w14:textId="77777777" w:rsidR="00801130" w:rsidRP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Newly-diagnosed</w:t>
            </w:r>
          </w:p>
          <w:p w14:paraId="6766539C" w14:textId="77777777" w:rsid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Refractory</w:t>
            </w:r>
          </w:p>
          <w:p w14:paraId="29936053" w14:textId="1E060123" w:rsidR="00801130" w:rsidRP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 xml:space="preserve">Relapse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30A73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23 patients on long-term treatment at baseline; mean 3.6 years (SD 3.0)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49D64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Clinical improvement = improvement of symptoms related to underlying disease as determined by treating physician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E756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Treatment increased/initiated after baseline scan (n=33)</w:t>
            </w:r>
          </w:p>
          <w:p w14:paraId="54459832" w14:textId="77777777" w:rsidR="00801130" w:rsidRPr="006A5BFB" w:rsidRDefault="00801130" w:rsidP="00801130">
            <w:pPr>
              <w:numPr>
                <w:ilvl w:val="0"/>
                <w:numId w:val="8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Glucocorticoids (n=27)</w:t>
            </w:r>
          </w:p>
          <w:p w14:paraId="0CEC9AB9" w14:textId="77777777" w:rsidR="00801130" w:rsidRPr="006A5BFB" w:rsidRDefault="00801130" w:rsidP="00801130">
            <w:pPr>
              <w:numPr>
                <w:ilvl w:val="0"/>
                <w:numId w:val="8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Methotrexate (n=19)</w:t>
            </w:r>
          </w:p>
          <w:p w14:paraId="6BF8558A" w14:textId="77777777" w:rsidR="00801130" w:rsidRPr="006A5BFB" w:rsidRDefault="00801130" w:rsidP="00801130">
            <w:pPr>
              <w:numPr>
                <w:ilvl w:val="0"/>
                <w:numId w:val="8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Tocilizumab (n=5)</w:t>
            </w:r>
          </w:p>
          <w:p w14:paraId="30F68106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7BC0A09D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No treatment increased/initiated after baseline scan (n=4)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DE9448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Baseline scan during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clinically active disease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and second scan following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 improvement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(n=21)</w:t>
            </w:r>
          </w:p>
          <w:p w14:paraId="20EB61B4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aorta/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blood pool), mean 1.8 (SD 0.6) at baseline</w:t>
            </w:r>
          </w:p>
          <w:p w14:paraId="010FFE2D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aorta/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blood pool), mean 1.5 (SD 0.3) at second scan</w:t>
            </w:r>
          </w:p>
          <w:p w14:paraId="5D96B846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7A282A8C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Baseline scan during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clinically active disease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and second scan following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no clinical improvement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(n=16)</w:t>
            </w:r>
          </w:p>
          <w:p w14:paraId="71F52F59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aorta/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blood pool), mean 1.6 (SD 0.3) at baseline</w:t>
            </w:r>
          </w:p>
          <w:p w14:paraId="66265826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aorta/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blood pool), mean 1.5 (SD 0.3) at second scan</w:t>
            </w:r>
          </w:p>
          <w:p w14:paraId="68109C85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30690E20" w14:textId="4607B06F" w:rsidR="006A5BFB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Repeat scans were performed at mean 7.5 months (SD 2.9; range 3-12) after baseline (n=37) </w:t>
            </w:r>
          </w:p>
        </w:tc>
      </w:tr>
      <w:tr w:rsidR="00801130" w:rsidRPr="00EE77BC" w14:paraId="5DF75F63" w14:textId="77777777" w:rsidTr="006A5BFB">
        <w:trPr>
          <w:trHeight w:val="2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7E79EA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lastRenderedPageBreak/>
              <w:t xml:space="preserve">Nielsen et al. 2018 </w:t>
            </w:r>
            <w:r w:rsidRPr="006A5BFB">
              <w:rPr>
                <w:rFonts w:ascii="Arial" w:hAnsi="Arial" w:cs="Arial"/>
                <w:sz w:val="15"/>
                <w:szCs w:val="15"/>
                <w:vertAlign w:val="superscript"/>
                <w:lang w:val="en-GB"/>
              </w:rPr>
              <w:t>c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C5B3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GCA (n=24)</w:t>
            </w:r>
          </w:p>
          <w:p w14:paraId="400826A4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13BF276A" w14:textId="77777777" w:rsidR="00801130" w:rsidRP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Newly-diagnosed</w:t>
            </w:r>
          </w:p>
          <w:p w14:paraId="2757CC13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CC213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E568E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Patients’ global assessment of disease activity (0-10 points) and CRP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B3E9B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Prednisolone 60 mg for 3 days (n=10) or 10 days (n=14) after baseline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1DA2EB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Baseline scan during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clinically active disease in all patients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(n=24);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patient’s global assessment, median 8 (IQR 5-10)</w:t>
            </w:r>
          </w:p>
          <w:p w14:paraId="2BFFC659" w14:textId="77777777" w:rsidR="00801130" w:rsidRPr="006A5BFB" w:rsidRDefault="00801130" w:rsidP="00801130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Vascular FDG uptake grade 3 (i.e. more than liver) in 24/24 patients</w:t>
            </w:r>
          </w:p>
          <w:p w14:paraId="0E6907EC" w14:textId="77777777" w:rsidR="00801130" w:rsidRPr="006A5BFB" w:rsidRDefault="00801130" w:rsidP="00801130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Number of arterial segments with grade 3 uptake, either median 4 (IQR 2-5) or 5 (IQR 4-5) in those with second scan at 3 days or 10 days after baseline, respectively </w:t>
            </w:r>
          </w:p>
          <w:p w14:paraId="6E619610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30C6DFE5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Repeat scan at 3 days after baseline (n=10)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with CRP decreased compared to baseline</w:t>
            </w:r>
          </w:p>
          <w:p w14:paraId="5888263D" w14:textId="77777777" w:rsidR="00801130" w:rsidRPr="006A5BFB" w:rsidRDefault="00801130" w:rsidP="00801130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Vascular FDG uptake grade 3 in 10/10 patients</w:t>
            </w:r>
          </w:p>
          <w:p w14:paraId="7A2FC806" w14:textId="77777777" w:rsidR="00801130" w:rsidRPr="006A5BFB" w:rsidRDefault="00801130" w:rsidP="00801130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Number of arterial segments with grade 3 uptake, median 3 (interquartile range 1-4) </w:t>
            </w:r>
          </w:p>
          <w:p w14:paraId="16199487" w14:textId="77777777" w:rsidR="00801130" w:rsidRPr="006A5BFB" w:rsidRDefault="00801130" w:rsidP="00801130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Decrease of 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artery/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SUVmean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venous) by 10-15% from baseline in most arterial segments</w:t>
            </w:r>
          </w:p>
          <w:p w14:paraId="6E63CCBE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05B27CBA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Repeat scan at 10 days after baseline (n=14);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with CRP decreased compared to baseline; patient’s global assessment, median 3.5 (IQR 3-5).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</w:t>
            </w:r>
          </w:p>
          <w:p w14:paraId="2B67AE09" w14:textId="77777777" w:rsidR="00801130" w:rsidRPr="006A5BFB" w:rsidRDefault="00801130" w:rsidP="00801130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Vascular FDG uptake grade 3 in 5/14 patients</w:t>
            </w:r>
          </w:p>
          <w:p w14:paraId="438C472B" w14:textId="77777777" w:rsidR="00801130" w:rsidRPr="006A5BFB" w:rsidRDefault="00801130" w:rsidP="00801130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Median number of arterial segments with grade 3 uptake 0 (interquartile range 0-2</w:t>
            </w:r>
          </w:p>
          <w:p w14:paraId="7793036D" w14:textId="77777777" w:rsidR="00801130" w:rsidRPr="006A5BFB" w:rsidRDefault="00801130" w:rsidP="00801130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Decrease of 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artery/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SUVmean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venous) by 30-40% from baseline in most arterial segments</w:t>
            </w:r>
          </w:p>
        </w:tc>
      </w:tr>
      <w:tr w:rsidR="00801130" w:rsidRPr="00801130" w14:paraId="532685AF" w14:textId="77777777" w:rsidTr="006A5BFB">
        <w:trPr>
          <w:trHeight w:val="2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133D4A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Park et al. 2018 </w:t>
            </w:r>
            <w:proofErr w:type="spellStart"/>
            <w:r w:rsidRPr="006A5BFB">
              <w:rPr>
                <w:rFonts w:ascii="Arial" w:hAnsi="Arial" w:cs="Arial"/>
                <w:sz w:val="15"/>
                <w:szCs w:val="15"/>
                <w:vertAlign w:val="superscript"/>
                <w:lang w:val="en-GB"/>
              </w:rPr>
              <w:t>a,b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34867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TAK (n=11)</w:t>
            </w:r>
          </w:p>
          <w:p w14:paraId="739D6F75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79C9C5C0" w14:textId="77777777" w:rsidR="00801130" w:rsidRP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Newly-diagnosed</w:t>
            </w:r>
          </w:p>
          <w:p w14:paraId="4CB44678" w14:textId="77777777" w:rsidR="00801130" w:rsidRP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 xml:space="preserve">Relapse 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3CD7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Mean 4.4 years (SD 5.2)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D661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Complete remission = resolution of symptoms, normalization of ESR/CRP, decrease of 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on [18F]FDG-PET/CT</w:t>
            </w:r>
          </w:p>
          <w:p w14:paraId="6D6F0BA5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581EB2EC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Partial remission = two of three remission criteria fulfilled</w:t>
            </w:r>
          </w:p>
          <w:p w14:paraId="2CC2FCD9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4F6AE700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Therapy failure = less than two remission criteria fulfilled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C07E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IFX (n=11) with concomitant stable dose of:</w:t>
            </w:r>
          </w:p>
          <w:p w14:paraId="76E18546" w14:textId="77777777" w:rsidR="00801130" w:rsidRPr="006A5BFB" w:rsidRDefault="00801130" w:rsidP="00801130">
            <w:pPr>
              <w:numPr>
                <w:ilvl w:val="0"/>
                <w:numId w:val="6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prednisolone (n=9), median dose 5 mg (range unclear)</w:t>
            </w:r>
          </w:p>
          <w:p w14:paraId="44C2D706" w14:textId="77777777" w:rsidR="00801130" w:rsidRPr="006A5BFB" w:rsidRDefault="00801130" w:rsidP="00801130">
            <w:pPr>
              <w:numPr>
                <w:ilvl w:val="0"/>
                <w:numId w:val="7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MTX (n=8), AZA (n=2) or hydroxychloroquine (n=1) 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1BFE01E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Baseline scan during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 xml:space="preserve">clinically active disease in all patients 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(n=11)</w:t>
            </w:r>
          </w:p>
          <w:p w14:paraId="390597B2" w14:textId="77777777" w:rsidR="00801130" w:rsidRPr="006A5BFB" w:rsidRDefault="00801130" w:rsidP="00801130">
            <w:pPr>
              <w:numPr>
                <w:ilvl w:val="0"/>
                <w:numId w:val="7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Vascular FDG uptake grade ≥ 2 † in 11/11 patients</w:t>
            </w:r>
          </w:p>
          <w:p w14:paraId="2699555E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, median 3.50 (IQR 3.10-3.84)</w:t>
            </w:r>
          </w:p>
          <w:p w14:paraId="636CCF7D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artery/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SUVmean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vein), median 1.34 (IQR 1.13-1.95)</w:t>
            </w:r>
          </w:p>
          <w:p w14:paraId="6060CE2B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artery/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SUVmean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liver), median 2.38 (IQR 1.47-3.05)</w:t>
            </w:r>
          </w:p>
          <w:p w14:paraId="7CD226B4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PETVAS, median 12.0 (IQR 11.0-15.5)</w:t>
            </w:r>
          </w:p>
          <w:p w14:paraId="2523B47D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65CFE4DE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Repeat scan at 30 weeks after baseline during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complete remission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(n=3),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partial remission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(n=6), or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therapy failure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(n=2):</w:t>
            </w:r>
          </w:p>
          <w:p w14:paraId="738C0118" w14:textId="77777777" w:rsidR="00801130" w:rsidRPr="006A5BFB" w:rsidRDefault="00801130" w:rsidP="00801130">
            <w:pPr>
              <w:numPr>
                <w:ilvl w:val="0"/>
                <w:numId w:val="13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Vascular FDG uptake grade ≥ 2, unclear how many patients</w:t>
            </w:r>
          </w:p>
          <w:p w14:paraId="5D12FDDD" w14:textId="77777777" w:rsidR="00801130" w:rsidRPr="006A5BFB" w:rsidRDefault="00801130" w:rsidP="00801130">
            <w:pPr>
              <w:numPr>
                <w:ilvl w:val="0"/>
                <w:numId w:val="13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, median 3.10 (IQR 2.49-3.27)</w:t>
            </w:r>
          </w:p>
          <w:p w14:paraId="3CA1E2C6" w14:textId="77777777" w:rsidR="00801130" w:rsidRPr="006A5BFB" w:rsidRDefault="00801130" w:rsidP="00801130">
            <w:pPr>
              <w:numPr>
                <w:ilvl w:val="0"/>
                <w:numId w:val="13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artery/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SUVmean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vein), median 1.31 (IQR 1.05-1.45)</w:t>
            </w:r>
          </w:p>
          <w:p w14:paraId="29859774" w14:textId="77777777" w:rsidR="00801130" w:rsidRPr="006A5BFB" w:rsidRDefault="00801130" w:rsidP="00801130">
            <w:pPr>
              <w:numPr>
                <w:ilvl w:val="0"/>
                <w:numId w:val="13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artery/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SUVmean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liver), median 1.92 (IQR 1.51-2.18)</w:t>
            </w:r>
          </w:p>
          <w:p w14:paraId="05100899" w14:textId="77777777" w:rsidR="00801130" w:rsidRPr="006A5BFB" w:rsidRDefault="00801130" w:rsidP="00801130">
            <w:pPr>
              <w:numPr>
                <w:ilvl w:val="0"/>
                <w:numId w:val="13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PETVAS, median 11.0 (IQR 8.0-12.0)</w:t>
            </w:r>
          </w:p>
        </w:tc>
      </w:tr>
      <w:tr w:rsidR="00801130" w:rsidRPr="00EE77BC" w14:paraId="020B6011" w14:textId="77777777" w:rsidTr="006A5BFB">
        <w:trPr>
          <w:trHeight w:val="2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7E37BF2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Regola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et al. 2020 </w:t>
            </w:r>
            <w:r w:rsidRPr="006A5BFB">
              <w:rPr>
                <w:rFonts w:ascii="Arial" w:hAnsi="Arial" w:cs="Arial"/>
                <w:sz w:val="15"/>
                <w:szCs w:val="15"/>
                <w:vertAlign w:val="superscript"/>
                <w:lang w:val="en-GB"/>
              </w:rPr>
              <w:t>b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9F92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GCA (n=11)</w:t>
            </w:r>
          </w:p>
          <w:p w14:paraId="27F487C5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6B096156" w14:textId="77777777" w:rsidR="00801130" w:rsidRP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 xml:space="preserve">Newly-diagnosed </w:t>
            </w:r>
          </w:p>
          <w:p w14:paraId="61E8191A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Relapse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7D3D6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Median 6 months (10-90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vertAlign w:val="superscript"/>
                <w:lang w:val="en-GB" w:eastAsia="nl-NL"/>
              </w:rPr>
              <w:t>th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percentile 1-35) §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86F8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Prolonged remission = absence of symptoms and signs of active vasculitis with normalization of acute phase reactants and no evidence for progressive vessel narrowing or dilatation during ≥ 6 months</w:t>
            </w:r>
          </w:p>
          <w:p w14:paraId="5A14A3D8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64DE87CF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Relapse = recurrence of symptoms/signs of GCA and/or worsening of radiological imaging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CF115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TCZ + GC treatment (median dose 50 mg (10-90 percentile 25-63 mg) in all patients (n=32); additional IV methylprednisolone pulses in 3 patients; concomitant use of conventional DMARD in 10 patients § </w:t>
            </w:r>
          </w:p>
          <w:p w14:paraId="33898726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129273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Scans at baseline and after 6 months of treatment available (n=5 patients); </w:t>
            </w:r>
          </w:p>
          <w:p w14:paraId="698910DA" w14:textId="77777777" w:rsidR="00801130" w:rsidRPr="006A5BFB" w:rsidRDefault="00801130" w:rsidP="00801130">
            <w:pPr>
              <w:numPr>
                <w:ilvl w:val="0"/>
                <w:numId w:val="7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Baseline during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clinically active disease in all patients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: PETVAS, median 19.0 (10-90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vertAlign w:val="superscript"/>
                <w:lang w:val="en-GB" w:eastAsia="nl-NL"/>
              </w:rPr>
              <w:t>th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percentile 9.6-22.6); 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Vessel/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liver) median 1.61 (10-90 percentile 1.21-2.02)</w:t>
            </w:r>
          </w:p>
          <w:p w14:paraId="4A587B8C" w14:textId="77777777" w:rsidR="00801130" w:rsidRPr="006A5BFB" w:rsidRDefault="00801130" w:rsidP="00801130">
            <w:pPr>
              <w:numPr>
                <w:ilvl w:val="0"/>
                <w:numId w:val="7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Repeat scan with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most patients in prolonged remission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(22/25 of all patients with 6m scan in prolonged 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remisison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§): PETVAS, median 7.0 (10-90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vertAlign w:val="superscript"/>
                <w:lang w:val="en-GB" w:eastAsia="nl-NL"/>
              </w:rPr>
              <w:t>th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percentile 3.2-8.0); 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Vessel/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liver) median 0.86 (10-90 percentile 0.74-0.94)</w:t>
            </w:r>
          </w:p>
          <w:p w14:paraId="3F888978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740E91BD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Scans at baseline and after 12 months of treatment available (n=6 other patients)</w:t>
            </w:r>
          </w:p>
          <w:p w14:paraId="6DF9F4FF" w14:textId="77777777" w:rsidR="00801130" w:rsidRPr="006A5BFB" w:rsidRDefault="00801130" w:rsidP="00801130">
            <w:pPr>
              <w:numPr>
                <w:ilvl w:val="0"/>
                <w:numId w:val="7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Baseline scan during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clinically active disease in all patients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: PETVAS, median 25.0 (10-90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vertAlign w:val="superscript"/>
                <w:lang w:val="en-GB" w:eastAsia="nl-NL"/>
              </w:rPr>
              <w:t>th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percentile 14.5 to 27); 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Vessel/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liver) median 1.55 (10-90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vertAlign w:val="superscript"/>
                <w:lang w:val="en-GB" w:eastAsia="nl-NL"/>
              </w:rPr>
              <w:t>th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percentile 1.40-1.78)</w:t>
            </w:r>
          </w:p>
          <w:p w14:paraId="52694F79" w14:textId="77777777" w:rsidR="00801130" w:rsidRDefault="00801130" w:rsidP="00801130">
            <w:pPr>
              <w:numPr>
                <w:ilvl w:val="0"/>
                <w:numId w:val="7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Repeat scan during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prolonged remission in all patients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: PETVAS, median 8.0 (10-90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vertAlign w:val="superscript"/>
                <w:lang w:val="en-GB" w:eastAsia="nl-NL"/>
              </w:rPr>
              <w:t>th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percentile 3.5-14.5); TBR (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Vessel/</w:t>
            </w: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SUVmax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liver), median 0.88 (10-90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vertAlign w:val="superscript"/>
                <w:lang w:val="en-GB" w:eastAsia="nl-NL"/>
              </w:rPr>
              <w:t>th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percentile 0.78-0.93)</w:t>
            </w:r>
          </w:p>
          <w:p w14:paraId="76D85570" w14:textId="77777777" w:rsidR="006A5BFB" w:rsidRDefault="006A5BFB" w:rsidP="006A5BFB">
            <w:p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512A0EB6" w14:textId="77777777" w:rsidR="006A5BFB" w:rsidRDefault="006A5BFB" w:rsidP="006A5BFB">
            <w:p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2938C5DC" w14:textId="6452A252" w:rsidR="006A5BFB" w:rsidRPr="006A5BFB" w:rsidRDefault="006A5BFB" w:rsidP="006A5BFB">
            <w:p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</w:tc>
      </w:tr>
      <w:tr w:rsidR="00801130" w:rsidRPr="00EE77BC" w14:paraId="4F1FBCD0" w14:textId="77777777" w:rsidTr="006A5BFB">
        <w:trPr>
          <w:trHeight w:val="2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971292C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lastRenderedPageBreak/>
              <w:t xml:space="preserve">Rimland et al. 2020 </w:t>
            </w:r>
            <w:r w:rsidRPr="006A5BFB">
              <w:rPr>
                <w:rFonts w:ascii="Arial" w:hAnsi="Arial" w:cs="Arial"/>
                <w:sz w:val="15"/>
                <w:szCs w:val="15"/>
                <w:vertAlign w:val="superscript"/>
                <w:lang w:val="en-GB"/>
              </w:rPr>
              <w:t>b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52AEB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TOTAL (n=40)</w:t>
            </w:r>
          </w:p>
          <w:p w14:paraId="598C511A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GCA (n=26) </w:t>
            </w:r>
          </w:p>
          <w:p w14:paraId="771037E5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TAK (n=14)</w:t>
            </w:r>
          </w:p>
          <w:p w14:paraId="443D4A25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7E525451" w14:textId="77777777" w:rsidR="00801130" w:rsidRP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Newly-diagnosed?</w:t>
            </w:r>
          </w:p>
          <w:p w14:paraId="37799054" w14:textId="77777777" w:rsidR="00801130" w:rsidRP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 xml:space="preserve">Relapse? </w:t>
            </w:r>
          </w:p>
          <w:p w14:paraId="4DA2A561" w14:textId="77777777" w:rsidR="00801130" w:rsidRP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Refractory?</w:t>
            </w: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F6349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Median 2.4 years (IQR 0.7-8.3) §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DAB0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Physician global assessment on scale of 0 (remission) to 10 (very active diseases)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4C75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Treatment (n=112) §</w:t>
            </w:r>
          </w:p>
          <w:p w14:paraId="6C4BF905" w14:textId="77777777" w:rsidR="00801130" w:rsidRPr="006A5BFB" w:rsidRDefault="00801130" w:rsidP="00801130">
            <w:pPr>
              <w:numPr>
                <w:ilvl w:val="0"/>
                <w:numId w:val="7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Prednisone, median dose 5 mg (IQR 0-19.4) §</w:t>
            </w:r>
          </w:p>
          <w:p w14:paraId="399D30D3" w14:textId="77777777" w:rsidR="00801130" w:rsidRPr="006A5BFB" w:rsidRDefault="00801130" w:rsidP="00801130">
            <w:pPr>
              <w:numPr>
                <w:ilvl w:val="0"/>
                <w:numId w:val="7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Other immunosuppressant 61/112 patients §</w:t>
            </w:r>
          </w:p>
          <w:p w14:paraId="5E66D9CE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ABE94CB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Baseline scan during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clinically active disease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and repeat scan during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remission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(n=22-29?)</w:t>
            </w:r>
          </w:p>
          <w:p w14:paraId="6C5F0B3B" w14:textId="77777777" w:rsidR="00801130" w:rsidRPr="006A5BFB" w:rsidRDefault="00801130" w:rsidP="00801130">
            <w:pPr>
              <w:numPr>
                <w:ilvl w:val="0"/>
                <w:numId w:val="7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Baseline scan: PETVAS, median 23 (IQR 16.5-25.0) </w:t>
            </w:r>
          </w:p>
          <w:p w14:paraId="153ECE52" w14:textId="77777777" w:rsidR="00801130" w:rsidRPr="006A5BFB" w:rsidRDefault="00801130" w:rsidP="00801130">
            <w:pPr>
              <w:numPr>
                <w:ilvl w:val="0"/>
                <w:numId w:val="7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Repeat scan after median 8 months (IQR 6-15): PETVAS, median 17.5 (IQR 12.0-21.3)</w:t>
            </w:r>
          </w:p>
          <w:p w14:paraId="257DEB3E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6AB67FFD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Baseline scan during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remission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and repeat scan during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clinically active disease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(n=8-11?) at </w:t>
            </w:r>
          </w:p>
          <w:p w14:paraId="7658FE46" w14:textId="77777777" w:rsidR="00801130" w:rsidRPr="006A5BFB" w:rsidRDefault="00801130" w:rsidP="00801130">
            <w:pPr>
              <w:numPr>
                <w:ilvl w:val="0"/>
                <w:numId w:val="7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Baseline and repeat scan after median 7 months (IQR 6-10): PETVAS not significantly changed; exact values not reported </w:t>
            </w:r>
          </w:p>
        </w:tc>
      </w:tr>
      <w:tr w:rsidR="00801130" w:rsidRPr="00EE77BC" w14:paraId="0534BE53" w14:textId="77777777" w:rsidTr="006A5BFB">
        <w:trPr>
          <w:trHeight w:val="285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9B5B4C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eastAsia="nl-NL"/>
              </w:rPr>
              <w:t xml:space="preserve">Sammel et al. 2020 </w:t>
            </w:r>
            <w:proofErr w:type="spellStart"/>
            <w:r w:rsidRPr="006A5BFB">
              <w:rPr>
                <w:rFonts w:ascii="Arial" w:hAnsi="Arial" w:cs="Arial"/>
                <w:sz w:val="15"/>
                <w:szCs w:val="15"/>
                <w:vertAlign w:val="superscript"/>
              </w:rPr>
              <w:t>a,b</w:t>
            </w:r>
            <w:proofErr w:type="spellEnd"/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1D05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GCA (n=15)</w:t>
            </w:r>
          </w:p>
          <w:p w14:paraId="5D081B50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1B0CA561" w14:textId="77777777" w:rsidR="00801130" w:rsidRP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Newly-diagnosed</w:t>
            </w:r>
          </w:p>
          <w:p w14:paraId="4F31417F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A7503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7BFB1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Treating physician judgement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CDB4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Glucocorticoids in all patients</w:t>
            </w:r>
          </w:p>
          <w:p w14:paraId="211D5B84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7E4CAACB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Part of patients also received MTX or sirukumab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4137C3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Baseline scan during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clinically active disease in all patients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(n=15)</w:t>
            </w:r>
          </w:p>
          <w:p w14:paraId="07052429" w14:textId="77777777" w:rsidR="00801130" w:rsidRPr="006A5BFB" w:rsidRDefault="00801130" w:rsidP="00801130">
            <w:pPr>
              <w:numPr>
                <w:ilvl w:val="0"/>
                <w:numId w:val="7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Total vascular score, median 14 (IQR 4-24)</w:t>
            </w:r>
          </w:p>
          <w:p w14:paraId="6B48F715" w14:textId="77777777" w:rsidR="00801130" w:rsidRPr="006A5BFB" w:rsidRDefault="00801130" w:rsidP="00801130">
            <w:pPr>
              <w:ind w:left="360"/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693BD7B0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Repeat scan during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unclear disease activity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after 6 months (n=15)</w:t>
            </w:r>
          </w:p>
          <w:p w14:paraId="37CE6CE7" w14:textId="77777777" w:rsidR="00801130" w:rsidRPr="006A5BFB" w:rsidRDefault="00801130" w:rsidP="00801130">
            <w:pPr>
              <w:numPr>
                <w:ilvl w:val="0"/>
                <w:numId w:val="15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Total vascular score, median 5 (IQR 0-10)</w:t>
            </w:r>
          </w:p>
        </w:tc>
      </w:tr>
      <w:tr w:rsidR="00801130" w:rsidRPr="00801130" w14:paraId="62437B03" w14:textId="77777777" w:rsidTr="006A5BFB">
        <w:trPr>
          <w:trHeight w:val="47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7638EA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Vitiello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et al. 2018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3CC6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GCA (n=12)</w:t>
            </w:r>
          </w:p>
          <w:p w14:paraId="2E927AFB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4484BD2F" w14:textId="77777777" w:rsidR="00801130" w:rsidRP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Newly-diagnosed</w:t>
            </w:r>
          </w:p>
          <w:p w14:paraId="335A9149" w14:textId="77777777" w:rsidR="00801130" w:rsidRP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 xml:space="preserve">Refractory </w:t>
            </w:r>
          </w:p>
          <w:p w14:paraId="348475DC" w14:textId="77777777" w:rsidR="00801130" w:rsidRPr="006A5BFB" w:rsidRDefault="00801130" w:rsidP="00801130">
            <w:pPr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</w:pPr>
          </w:p>
        </w:tc>
        <w:tc>
          <w:tcPr>
            <w:tcW w:w="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58AE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Median 2.5 years (range 0-9)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8EA4C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Assessed by presence or absence of GCA-related symptoms and acute phase reactants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2C57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TCZ added to treatment (n=12) at baseline</w:t>
            </w:r>
          </w:p>
          <w:p w14:paraId="016EF16E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Concomitant prednisone in all patients, mean dose 27 mg (SD 13)</w:t>
            </w:r>
          </w:p>
          <w:p w14:paraId="1830CB0D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Concomitant MTX (n=7)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EA6D25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Baseline scan during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clinically active disease in all patients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(n=12)</w:t>
            </w:r>
          </w:p>
          <w:p w14:paraId="1669E4FF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Vascular FDG uptake ‘consistent with vasculitis’ in 12/12 patients</w:t>
            </w:r>
          </w:p>
          <w:p w14:paraId="7782BD79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SUVmean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, mean 2.05 (SD 0.64) </w:t>
            </w:r>
          </w:p>
          <w:p w14:paraId="6DABC14E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</w:p>
          <w:p w14:paraId="7123B69C" w14:textId="77777777" w:rsidR="00801130" w:rsidRPr="006A5BFB" w:rsidRDefault="00801130" w:rsidP="00801130">
            <w:pPr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Repeat scan during </w:t>
            </w:r>
            <w:r w:rsidRPr="006A5BFB">
              <w:rPr>
                <w:rFonts w:ascii="Arial" w:eastAsia="Times New Roman" w:hAnsi="Arial" w:cs="Arial"/>
                <w:i/>
                <w:iCs/>
                <w:sz w:val="15"/>
                <w:szCs w:val="15"/>
                <w:lang w:val="en-GB" w:eastAsia="nl-NL"/>
              </w:rPr>
              <w:t>complete remission in all patients</w:t>
            </w: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 at mean 11.6 months (SD 8.8; range 3-24) after baseline (n=12) </w:t>
            </w:r>
          </w:p>
          <w:p w14:paraId="02216075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Vascular FDG uptake ‘consistent with vasculitis’ in 0/12 patients</w:t>
            </w:r>
          </w:p>
          <w:p w14:paraId="557E1DA1" w14:textId="77777777" w:rsidR="00801130" w:rsidRPr="006A5BFB" w:rsidRDefault="00801130" w:rsidP="0080113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</w:pPr>
            <w:proofErr w:type="spellStart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>SUVmean</w:t>
            </w:r>
            <w:proofErr w:type="spellEnd"/>
            <w:r w:rsidRPr="006A5BFB">
              <w:rPr>
                <w:rFonts w:ascii="Arial" w:eastAsia="Times New Roman" w:hAnsi="Arial" w:cs="Arial"/>
                <w:sz w:val="15"/>
                <w:szCs w:val="15"/>
                <w:lang w:val="en-GB" w:eastAsia="nl-NL"/>
              </w:rPr>
              <w:t xml:space="preserve">, mean 1.78 (SD 0.45) </w:t>
            </w:r>
          </w:p>
        </w:tc>
      </w:tr>
    </w:tbl>
    <w:p w14:paraId="51D3048B" w14:textId="77777777" w:rsidR="00801130" w:rsidRPr="00801130" w:rsidRDefault="00801130" w:rsidP="00801130">
      <w:pPr>
        <w:spacing w:after="0" w:line="240" w:lineRule="auto"/>
        <w:rPr>
          <w:rFonts w:ascii="Arial" w:hAnsi="Arial" w:cs="Arial"/>
          <w:sz w:val="20"/>
          <w:lang w:val="en-GB"/>
        </w:rPr>
      </w:pPr>
    </w:p>
    <w:p w14:paraId="27623C43" w14:textId="77777777" w:rsidR="00801130" w:rsidRPr="00801130" w:rsidRDefault="00801130" w:rsidP="00801130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01130">
        <w:rPr>
          <w:rFonts w:ascii="Arial" w:hAnsi="Arial" w:cs="Arial"/>
          <w:sz w:val="20"/>
          <w:szCs w:val="20"/>
          <w:lang w:val="en-GB"/>
        </w:rPr>
        <w:t xml:space="preserve">† Vascular FDG uptake grading system: 0 = no uptake, 1 = less than liver, 2 = equal to liver, 3 = more than liver. </w:t>
      </w:r>
    </w:p>
    <w:p w14:paraId="7EAEA22A" w14:textId="77777777" w:rsidR="00801130" w:rsidRPr="00801130" w:rsidRDefault="00801130" w:rsidP="00801130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01130">
        <w:rPr>
          <w:rFonts w:ascii="Arial" w:hAnsi="Arial" w:cs="Arial"/>
          <w:sz w:val="20"/>
          <w:szCs w:val="20"/>
          <w:lang w:val="en-GB"/>
        </w:rPr>
        <w:t>§ including data obtained from patients without relevant data.</w:t>
      </w:r>
    </w:p>
    <w:p w14:paraId="0C901E92" w14:textId="77777777" w:rsidR="00801130" w:rsidRPr="00801130" w:rsidRDefault="00801130" w:rsidP="00801130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01130">
        <w:rPr>
          <w:rFonts w:ascii="Arial" w:hAnsi="Arial" w:cs="Arial"/>
          <w:sz w:val="20"/>
          <w:szCs w:val="20"/>
          <w:vertAlign w:val="superscript"/>
          <w:lang w:val="en-GB"/>
        </w:rPr>
        <w:t>a</w:t>
      </w:r>
      <w:r w:rsidRPr="00801130">
        <w:rPr>
          <w:rFonts w:ascii="Arial" w:hAnsi="Arial" w:cs="Arial"/>
          <w:sz w:val="20"/>
          <w:szCs w:val="20"/>
          <w:lang w:val="en-GB"/>
        </w:rPr>
        <w:t xml:space="preserve"> not included in meta-analysis: serial scan data reported for a mix of patients in remission and with active disease</w:t>
      </w:r>
    </w:p>
    <w:p w14:paraId="0FF17D84" w14:textId="77777777" w:rsidR="00801130" w:rsidRPr="00801130" w:rsidRDefault="00801130" w:rsidP="00801130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01130">
        <w:rPr>
          <w:rFonts w:ascii="Arial" w:hAnsi="Arial" w:cs="Arial"/>
          <w:sz w:val="20"/>
          <w:szCs w:val="20"/>
          <w:vertAlign w:val="superscript"/>
          <w:lang w:val="en-GB"/>
        </w:rPr>
        <w:t>b</w:t>
      </w:r>
      <w:r w:rsidRPr="00801130">
        <w:rPr>
          <w:rFonts w:ascii="Arial" w:hAnsi="Arial" w:cs="Arial"/>
          <w:sz w:val="20"/>
          <w:szCs w:val="20"/>
          <w:lang w:val="en-GB"/>
        </w:rPr>
        <w:t xml:space="preserve"> not included in meta-analysis: no data on the proportion of patients in which the scan normalises or remains positive during follow-up</w:t>
      </w:r>
    </w:p>
    <w:p w14:paraId="3E68E674" w14:textId="77777777" w:rsidR="00801130" w:rsidRPr="00801130" w:rsidRDefault="00801130" w:rsidP="00801130">
      <w:pPr>
        <w:spacing w:after="0" w:line="240" w:lineRule="auto"/>
        <w:rPr>
          <w:rFonts w:ascii="Arial" w:hAnsi="Arial" w:cs="Arial"/>
          <w:sz w:val="20"/>
          <w:szCs w:val="20"/>
          <w:lang w:val="en-GB"/>
        </w:rPr>
      </w:pPr>
      <w:r w:rsidRPr="00801130">
        <w:rPr>
          <w:rFonts w:ascii="Arial" w:hAnsi="Arial" w:cs="Arial"/>
          <w:sz w:val="20"/>
          <w:szCs w:val="20"/>
          <w:vertAlign w:val="superscript"/>
          <w:lang w:val="en-GB"/>
        </w:rPr>
        <w:t>c</w:t>
      </w:r>
      <w:r w:rsidRPr="00801130">
        <w:rPr>
          <w:rFonts w:ascii="Arial" w:hAnsi="Arial" w:cs="Arial"/>
          <w:sz w:val="20"/>
          <w:szCs w:val="20"/>
          <w:lang w:val="en-GB"/>
        </w:rPr>
        <w:t xml:space="preserve"> not included in meta-analysis: uncertainty about disease activity during serial scan</w:t>
      </w:r>
    </w:p>
    <w:p w14:paraId="1CB8BD54" w14:textId="648EE996" w:rsidR="00801130" w:rsidRDefault="00801130" w:rsidP="00310DDC">
      <w:pPr>
        <w:rPr>
          <w:rFonts w:ascii="Arial" w:hAnsi="Arial" w:cs="Arial"/>
          <w:b/>
          <w:bCs/>
          <w:lang w:val="en-GB"/>
        </w:rPr>
      </w:pPr>
    </w:p>
    <w:p w14:paraId="2BC5EE3B" w14:textId="77777777" w:rsidR="00801130" w:rsidRDefault="00801130" w:rsidP="00310DDC">
      <w:pPr>
        <w:rPr>
          <w:rFonts w:ascii="Arial" w:hAnsi="Arial" w:cs="Arial"/>
          <w:b/>
          <w:bCs/>
          <w:lang w:val="en-GB"/>
        </w:rPr>
      </w:pPr>
    </w:p>
    <w:p w14:paraId="38939A2D" w14:textId="77777777" w:rsidR="00801130" w:rsidRDefault="00801130" w:rsidP="00310DDC">
      <w:pPr>
        <w:rPr>
          <w:rFonts w:ascii="Arial" w:hAnsi="Arial" w:cs="Arial"/>
          <w:b/>
          <w:bCs/>
          <w:lang w:val="en-GB"/>
        </w:rPr>
      </w:pPr>
    </w:p>
    <w:p w14:paraId="2235FDAF" w14:textId="77777777" w:rsidR="00801130" w:rsidRDefault="00801130" w:rsidP="00310DDC">
      <w:pPr>
        <w:rPr>
          <w:rFonts w:ascii="Arial" w:hAnsi="Arial" w:cs="Arial"/>
          <w:b/>
          <w:bCs/>
          <w:lang w:val="en-GB"/>
        </w:rPr>
      </w:pPr>
    </w:p>
    <w:p w14:paraId="3CD7E803" w14:textId="77777777" w:rsidR="00801130" w:rsidRDefault="00801130" w:rsidP="00310DDC">
      <w:pPr>
        <w:rPr>
          <w:rFonts w:ascii="Arial" w:hAnsi="Arial" w:cs="Arial"/>
          <w:b/>
          <w:bCs/>
          <w:lang w:val="en-GB"/>
        </w:rPr>
      </w:pPr>
    </w:p>
    <w:p w14:paraId="2C877B38" w14:textId="77777777" w:rsidR="00801130" w:rsidRDefault="00801130" w:rsidP="00310DDC">
      <w:pPr>
        <w:rPr>
          <w:rFonts w:ascii="Arial" w:hAnsi="Arial" w:cs="Arial"/>
          <w:b/>
          <w:bCs/>
          <w:lang w:val="en-GB"/>
        </w:rPr>
      </w:pPr>
    </w:p>
    <w:p w14:paraId="51348D0F" w14:textId="77777777" w:rsidR="00801130" w:rsidRDefault="00801130" w:rsidP="00310DDC">
      <w:pPr>
        <w:rPr>
          <w:rFonts w:ascii="Arial" w:hAnsi="Arial" w:cs="Arial"/>
          <w:b/>
          <w:bCs/>
          <w:lang w:val="en-GB"/>
        </w:rPr>
      </w:pPr>
    </w:p>
    <w:p w14:paraId="71ADCFA2" w14:textId="77777777" w:rsidR="00E534CB" w:rsidRDefault="00E534CB" w:rsidP="00310DDC">
      <w:pPr>
        <w:rPr>
          <w:rFonts w:ascii="Arial" w:hAnsi="Arial" w:cs="Arial"/>
          <w:b/>
          <w:bCs/>
          <w:lang w:val="en-GB"/>
        </w:rPr>
      </w:pPr>
    </w:p>
    <w:p w14:paraId="6982119F" w14:textId="77777777" w:rsidR="00E534CB" w:rsidRDefault="00E534CB" w:rsidP="00310DDC">
      <w:pPr>
        <w:rPr>
          <w:rFonts w:ascii="Arial" w:hAnsi="Arial" w:cs="Arial"/>
          <w:b/>
          <w:bCs/>
          <w:lang w:val="en-GB"/>
        </w:rPr>
      </w:pPr>
    </w:p>
    <w:p w14:paraId="76EACAF1" w14:textId="34C6FAF6" w:rsidR="00E534CB" w:rsidRDefault="00E534CB" w:rsidP="00310DDC">
      <w:pPr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lastRenderedPageBreak/>
        <w:t>Supplementa</w:t>
      </w:r>
      <w:r w:rsidR="006C7756">
        <w:rPr>
          <w:rFonts w:ascii="Arial" w:hAnsi="Arial" w:cs="Arial"/>
          <w:b/>
          <w:bCs/>
          <w:lang w:val="en-GB"/>
        </w:rPr>
        <w:t>l</w:t>
      </w:r>
      <w:r>
        <w:rPr>
          <w:rFonts w:ascii="Arial" w:hAnsi="Arial" w:cs="Arial"/>
          <w:b/>
          <w:bCs/>
          <w:lang w:val="en-GB"/>
        </w:rPr>
        <w:t xml:space="preserve"> Table 3</w:t>
      </w:r>
      <w:r w:rsidR="007074DA">
        <w:rPr>
          <w:rFonts w:ascii="Arial" w:hAnsi="Arial" w:cs="Arial"/>
          <w:b/>
          <w:bCs/>
          <w:lang w:val="en-GB"/>
        </w:rPr>
        <w:t xml:space="preserve">. Univariate analysis of sensitivity and specificity of </w:t>
      </w:r>
      <w:r w:rsidR="0019329C" w:rsidRPr="0019329C">
        <w:rPr>
          <w:lang w:val="en-GB"/>
        </w:rPr>
        <w:t xml:space="preserve"> </w:t>
      </w:r>
      <w:r w:rsidR="0019329C" w:rsidRPr="0019329C">
        <w:rPr>
          <w:rFonts w:ascii="Arial" w:hAnsi="Arial" w:cs="Arial"/>
          <w:b/>
          <w:bCs/>
          <w:lang w:val="en-GB"/>
        </w:rPr>
        <w:t xml:space="preserve">[18F]FDG-PET/CT for </w:t>
      </w:r>
      <w:r w:rsidR="007074DA">
        <w:rPr>
          <w:rFonts w:ascii="Arial" w:hAnsi="Arial" w:cs="Arial"/>
          <w:b/>
          <w:bCs/>
          <w:lang w:val="en-GB"/>
        </w:rPr>
        <w:t>detection of active disease</w:t>
      </w:r>
      <w:r w:rsidR="0019329C" w:rsidRPr="0019329C">
        <w:rPr>
          <w:rFonts w:ascii="Arial" w:hAnsi="Arial" w:cs="Arial"/>
          <w:b/>
          <w:bCs/>
          <w:lang w:val="en-GB"/>
        </w:rPr>
        <w:t xml:space="preserve"> during follow-up of large vessel vasculitis. </w:t>
      </w:r>
      <w:r w:rsidR="007074DA" w:rsidRPr="007074DA">
        <w:rPr>
          <w:rFonts w:ascii="Arial" w:hAnsi="Arial" w:cs="Arial"/>
          <w:lang w:val="en-GB"/>
        </w:rPr>
        <w:t>Pooled estimates of diagnostic accuracy parameters were determined with an univariate random-effects model (</w:t>
      </w:r>
      <w:proofErr w:type="spellStart"/>
      <w:r w:rsidR="007074DA" w:rsidRPr="007074DA">
        <w:rPr>
          <w:rFonts w:ascii="Arial" w:hAnsi="Arial" w:cs="Arial"/>
          <w:lang w:val="en-GB"/>
        </w:rPr>
        <w:t>DerSimonian</w:t>
      </w:r>
      <w:proofErr w:type="spellEnd"/>
      <w:r w:rsidR="007074DA" w:rsidRPr="007074DA">
        <w:rPr>
          <w:rFonts w:ascii="Arial" w:hAnsi="Arial" w:cs="Arial"/>
          <w:lang w:val="en-GB"/>
        </w:rPr>
        <w:t xml:space="preserve"> Laird method)</w:t>
      </w:r>
      <w:r w:rsidR="007074DA">
        <w:rPr>
          <w:rFonts w:ascii="Arial" w:hAnsi="Arial" w:cs="Arial"/>
          <w:lang w:val="en-GB"/>
        </w:rPr>
        <w:t xml:space="preserve"> in </w:t>
      </w:r>
      <w:proofErr w:type="spellStart"/>
      <w:r w:rsidR="007074DA">
        <w:rPr>
          <w:rFonts w:ascii="Arial" w:hAnsi="Arial" w:cs="Arial"/>
          <w:lang w:val="en-GB"/>
        </w:rPr>
        <w:t>MetaDiSc</w:t>
      </w:r>
      <w:proofErr w:type="spellEnd"/>
      <w:r w:rsidR="007074DA">
        <w:rPr>
          <w:rFonts w:ascii="Arial" w:hAnsi="Arial" w:cs="Arial"/>
          <w:lang w:val="en-GB"/>
        </w:rPr>
        <w:t xml:space="preserve"> 1.4.</w:t>
      </w:r>
      <w:r w:rsidR="0019329C" w:rsidRPr="0019329C">
        <w:rPr>
          <w:rFonts w:ascii="Arial" w:hAnsi="Arial" w:cs="Arial"/>
          <w:lang w:val="en-GB"/>
        </w:rPr>
        <w:t>95% CI = 95% confidence interval.</w:t>
      </w:r>
    </w:p>
    <w:p w14:paraId="35A1F052" w14:textId="77777777" w:rsidR="0019329C" w:rsidRDefault="0019329C" w:rsidP="00310DDC">
      <w:pPr>
        <w:rPr>
          <w:rFonts w:ascii="Arial" w:hAnsi="Arial" w:cs="Arial"/>
          <w:b/>
          <w:bCs/>
          <w:lang w:val="en-GB"/>
        </w:rPr>
      </w:pPr>
    </w:p>
    <w:tbl>
      <w:tblPr>
        <w:tblStyle w:val="Tabelraster"/>
        <w:tblW w:w="14142" w:type="dxa"/>
        <w:tblLook w:val="04A0" w:firstRow="1" w:lastRow="0" w:firstColumn="1" w:lastColumn="0" w:noHBand="0" w:noVBand="1"/>
      </w:tblPr>
      <w:tblGrid>
        <w:gridCol w:w="4714"/>
        <w:gridCol w:w="4714"/>
        <w:gridCol w:w="4714"/>
      </w:tblGrid>
      <w:tr w:rsidR="0019329C" w:rsidRPr="0019329C" w14:paraId="50D49794" w14:textId="77777777" w:rsidTr="00265A4F">
        <w:trPr>
          <w:trHeight w:val="510"/>
        </w:trPr>
        <w:tc>
          <w:tcPr>
            <w:tcW w:w="2357" w:type="dxa"/>
          </w:tcPr>
          <w:p w14:paraId="3FC0BE8B" w14:textId="77777777" w:rsidR="0019329C" w:rsidRPr="0019329C" w:rsidRDefault="0019329C" w:rsidP="0019329C">
            <w:pPr>
              <w:spacing w:after="160" w:line="259" w:lineRule="auto"/>
              <w:rPr>
                <w:rFonts w:ascii="Arial" w:hAnsi="Arial" w:cs="Arial"/>
                <w:b/>
                <w:bCs/>
                <w:lang w:val="en-GB"/>
              </w:rPr>
            </w:pPr>
            <w:r w:rsidRPr="0019329C">
              <w:rPr>
                <w:rFonts w:ascii="Arial" w:hAnsi="Arial" w:cs="Arial"/>
                <w:b/>
                <w:bCs/>
                <w:lang w:val="en-GB"/>
              </w:rPr>
              <w:t>No. of scans (No. scans during active disease)</w:t>
            </w:r>
          </w:p>
        </w:tc>
        <w:tc>
          <w:tcPr>
            <w:tcW w:w="2357" w:type="dxa"/>
          </w:tcPr>
          <w:p w14:paraId="605A9DEE" w14:textId="77777777" w:rsidR="0019329C" w:rsidRPr="0019329C" w:rsidRDefault="0019329C" w:rsidP="0019329C">
            <w:pPr>
              <w:spacing w:after="160" w:line="259" w:lineRule="auto"/>
              <w:rPr>
                <w:rFonts w:ascii="Arial" w:hAnsi="Arial" w:cs="Arial"/>
                <w:b/>
                <w:bCs/>
                <w:lang w:val="fr-CH"/>
              </w:rPr>
            </w:pPr>
            <w:proofErr w:type="spellStart"/>
            <w:r w:rsidRPr="0019329C">
              <w:rPr>
                <w:rFonts w:ascii="Arial" w:hAnsi="Arial" w:cs="Arial"/>
                <w:b/>
                <w:bCs/>
                <w:lang w:val="fr-CH"/>
              </w:rPr>
              <w:t>Sensitivity</w:t>
            </w:r>
            <w:proofErr w:type="spellEnd"/>
            <w:r w:rsidRPr="0019329C">
              <w:rPr>
                <w:rFonts w:ascii="Arial" w:hAnsi="Arial" w:cs="Arial"/>
                <w:b/>
                <w:bCs/>
                <w:lang w:val="fr-CH"/>
              </w:rPr>
              <w:t xml:space="preserve"> </w:t>
            </w:r>
          </w:p>
          <w:p w14:paraId="0F699F96" w14:textId="77777777" w:rsidR="0019329C" w:rsidRPr="0019329C" w:rsidRDefault="0019329C" w:rsidP="0019329C">
            <w:pPr>
              <w:spacing w:after="160" w:line="259" w:lineRule="auto"/>
              <w:rPr>
                <w:rFonts w:ascii="Arial" w:hAnsi="Arial" w:cs="Arial"/>
                <w:b/>
                <w:bCs/>
                <w:lang w:val="fr-CH"/>
              </w:rPr>
            </w:pPr>
            <w:r w:rsidRPr="0019329C">
              <w:rPr>
                <w:rFonts w:ascii="Arial" w:hAnsi="Arial" w:cs="Arial"/>
                <w:b/>
                <w:bCs/>
                <w:lang w:val="fr-CH"/>
              </w:rPr>
              <w:t>(95% CI)</w:t>
            </w:r>
          </w:p>
        </w:tc>
        <w:tc>
          <w:tcPr>
            <w:tcW w:w="2357" w:type="dxa"/>
          </w:tcPr>
          <w:p w14:paraId="621BF516" w14:textId="77777777" w:rsidR="0019329C" w:rsidRPr="0019329C" w:rsidRDefault="0019329C" w:rsidP="0019329C">
            <w:pPr>
              <w:spacing w:after="160" w:line="259" w:lineRule="auto"/>
              <w:rPr>
                <w:rFonts w:ascii="Arial" w:hAnsi="Arial" w:cs="Arial"/>
                <w:b/>
                <w:bCs/>
                <w:lang w:val="fr-CH"/>
              </w:rPr>
            </w:pPr>
            <w:proofErr w:type="spellStart"/>
            <w:r w:rsidRPr="0019329C">
              <w:rPr>
                <w:rFonts w:ascii="Arial" w:hAnsi="Arial" w:cs="Arial"/>
                <w:b/>
                <w:bCs/>
                <w:lang w:val="fr-CH"/>
              </w:rPr>
              <w:t>Specificity</w:t>
            </w:r>
            <w:proofErr w:type="spellEnd"/>
          </w:p>
          <w:p w14:paraId="659644A7" w14:textId="77777777" w:rsidR="0019329C" w:rsidRPr="0019329C" w:rsidRDefault="0019329C" w:rsidP="0019329C">
            <w:pPr>
              <w:spacing w:after="160" w:line="259" w:lineRule="auto"/>
              <w:rPr>
                <w:rFonts w:ascii="Arial" w:hAnsi="Arial" w:cs="Arial"/>
                <w:b/>
                <w:bCs/>
                <w:lang w:val="fr-CH"/>
              </w:rPr>
            </w:pPr>
            <w:r w:rsidRPr="0019329C">
              <w:rPr>
                <w:rFonts w:ascii="Arial" w:hAnsi="Arial" w:cs="Arial"/>
                <w:b/>
                <w:bCs/>
                <w:lang w:val="fr-CH"/>
              </w:rPr>
              <w:t>(95% CI)</w:t>
            </w:r>
          </w:p>
        </w:tc>
      </w:tr>
      <w:tr w:rsidR="0019329C" w:rsidRPr="0019329C" w14:paraId="36A458F6" w14:textId="77777777" w:rsidTr="00265A4F">
        <w:trPr>
          <w:trHeight w:val="510"/>
        </w:trPr>
        <w:tc>
          <w:tcPr>
            <w:tcW w:w="2357" w:type="dxa"/>
          </w:tcPr>
          <w:p w14:paraId="06C7EB9A" w14:textId="77777777" w:rsidR="0019329C" w:rsidRPr="0019329C" w:rsidRDefault="0019329C" w:rsidP="0019329C">
            <w:pPr>
              <w:spacing w:after="160" w:line="259" w:lineRule="auto"/>
              <w:rPr>
                <w:rFonts w:ascii="Arial" w:hAnsi="Arial" w:cs="Arial"/>
                <w:lang w:val="fr-CH"/>
              </w:rPr>
            </w:pPr>
            <w:r w:rsidRPr="0019329C">
              <w:rPr>
                <w:rFonts w:ascii="Arial" w:hAnsi="Arial" w:cs="Arial"/>
                <w:lang w:val="fr-CH"/>
              </w:rPr>
              <w:t>136 (57)</w:t>
            </w:r>
          </w:p>
        </w:tc>
        <w:tc>
          <w:tcPr>
            <w:tcW w:w="2357" w:type="dxa"/>
          </w:tcPr>
          <w:p w14:paraId="3EA61676" w14:textId="0CC99DA7" w:rsidR="0019329C" w:rsidRPr="0019329C" w:rsidRDefault="0019329C" w:rsidP="0019329C">
            <w:pPr>
              <w:spacing w:after="160" w:line="259" w:lineRule="auto"/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  <w:lang w:val="fr-CH"/>
              </w:rPr>
              <w:t>73.7 (60.3-84.5)</w:t>
            </w:r>
          </w:p>
        </w:tc>
        <w:tc>
          <w:tcPr>
            <w:tcW w:w="2357" w:type="dxa"/>
          </w:tcPr>
          <w:p w14:paraId="04B88A75" w14:textId="5A2CBC42" w:rsidR="0019329C" w:rsidRPr="0019329C" w:rsidRDefault="0019329C" w:rsidP="0019329C">
            <w:pPr>
              <w:spacing w:after="160" w:line="259" w:lineRule="auto"/>
              <w:rPr>
                <w:rFonts w:ascii="Arial" w:hAnsi="Arial" w:cs="Arial"/>
                <w:lang w:val="fr-CH"/>
              </w:rPr>
            </w:pPr>
            <w:r>
              <w:rPr>
                <w:rFonts w:ascii="Arial" w:hAnsi="Arial" w:cs="Arial"/>
                <w:lang w:val="fr-CH"/>
              </w:rPr>
              <w:t>72.2 (60.9-81.7)</w:t>
            </w:r>
          </w:p>
        </w:tc>
      </w:tr>
    </w:tbl>
    <w:p w14:paraId="1EC4921D" w14:textId="77777777" w:rsidR="0019329C" w:rsidRDefault="0019329C" w:rsidP="00310DDC">
      <w:pPr>
        <w:rPr>
          <w:rFonts w:ascii="Arial" w:hAnsi="Arial" w:cs="Arial"/>
          <w:b/>
          <w:bCs/>
          <w:lang w:val="en-GB"/>
        </w:rPr>
      </w:pPr>
    </w:p>
    <w:p w14:paraId="2EB0848E" w14:textId="77777777" w:rsidR="00E534CB" w:rsidRDefault="00E534CB" w:rsidP="00310DDC">
      <w:pPr>
        <w:rPr>
          <w:rFonts w:ascii="Arial" w:hAnsi="Arial" w:cs="Arial"/>
          <w:b/>
          <w:bCs/>
          <w:lang w:val="en-GB"/>
        </w:rPr>
      </w:pPr>
    </w:p>
    <w:p w14:paraId="7C69744B" w14:textId="77777777" w:rsidR="00E534CB" w:rsidRDefault="00E534CB" w:rsidP="00310DDC">
      <w:pPr>
        <w:rPr>
          <w:rFonts w:ascii="Arial" w:hAnsi="Arial" w:cs="Arial"/>
          <w:b/>
          <w:bCs/>
          <w:lang w:val="en-GB"/>
        </w:rPr>
      </w:pPr>
    </w:p>
    <w:p w14:paraId="69EFB3F7" w14:textId="44DA0E75" w:rsidR="00E534CB" w:rsidRDefault="00E534CB" w:rsidP="00310DDC">
      <w:pPr>
        <w:rPr>
          <w:rFonts w:ascii="Arial" w:hAnsi="Arial" w:cs="Arial"/>
          <w:b/>
          <w:bCs/>
          <w:lang w:val="en-GB"/>
        </w:rPr>
        <w:sectPr w:rsidR="00E534CB" w:rsidSect="006A5BFB">
          <w:pgSz w:w="16838" w:h="11906" w:orient="landscape"/>
          <w:pgMar w:top="1417" w:right="1417" w:bottom="1417" w:left="1417" w:header="709" w:footer="709" w:gutter="0"/>
          <w:cols w:space="708"/>
          <w:docGrid w:linePitch="360"/>
        </w:sectPr>
      </w:pPr>
    </w:p>
    <w:p w14:paraId="13911CBB" w14:textId="64170839" w:rsidR="00747418" w:rsidRPr="00747418" w:rsidRDefault="00747418" w:rsidP="00473EC2">
      <w:pPr>
        <w:jc w:val="both"/>
        <w:rPr>
          <w:rFonts w:ascii="Arial" w:hAnsi="Arial" w:cs="Arial"/>
          <w:lang w:val="en-GB"/>
        </w:rPr>
      </w:pPr>
      <w:r>
        <w:rPr>
          <w:rFonts w:ascii="Arial" w:hAnsi="Arial" w:cs="Arial"/>
          <w:b/>
          <w:bCs/>
          <w:lang w:val="en-GB"/>
        </w:rPr>
        <w:lastRenderedPageBreak/>
        <w:t xml:space="preserve">Supplemental Figure </w:t>
      </w:r>
      <w:r w:rsidR="005B3788">
        <w:rPr>
          <w:rFonts w:ascii="Arial" w:hAnsi="Arial" w:cs="Arial"/>
          <w:b/>
          <w:bCs/>
          <w:lang w:val="en-GB"/>
        </w:rPr>
        <w:t>1</w:t>
      </w:r>
      <w:r>
        <w:rPr>
          <w:rFonts w:ascii="Arial" w:hAnsi="Arial" w:cs="Arial"/>
          <w:b/>
          <w:bCs/>
          <w:lang w:val="en-GB"/>
        </w:rPr>
        <w:t xml:space="preserve">. QUADAS-2 scoring per study. </w:t>
      </w:r>
      <w:r w:rsidRPr="00747418">
        <w:rPr>
          <w:rFonts w:ascii="Arial" w:hAnsi="Arial" w:cs="Arial"/>
          <w:lang w:val="en-GB"/>
        </w:rPr>
        <w:t xml:space="preserve">NA = not applicable. </w:t>
      </w:r>
    </w:p>
    <w:p w14:paraId="67D24A9F" w14:textId="6E38D876" w:rsidR="00747418" w:rsidRDefault="0029676D" w:rsidP="00747418">
      <w:pPr>
        <w:jc w:val="both"/>
        <w:rPr>
          <w:rFonts w:ascii="Arial" w:hAnsi="Arial" w:cs="Arial"/>
          <w:b/>
          <w:bCs/>
          <w:lang w:val="en-GB"/>
        </w:rPr>
      </w:pPr>
      <w:r>
        <w:rPr>
          <w:noProof/>
        </w:rPr>
        <w:drawing>
          <wp:inline distT="0" distB="0" distL="0" distR="0" wp14:anchorId="299077B0" wp14:editId="766303DF">
            <wp:extent cx="6921796" cy="5090462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1223" cy="5104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9B3580" w14:textId="3FB14AF9" w:rsidR="00181DDF" w:rsidRPr="0018776C" w:rsidRDefault="00181DDF" w:rsidP="003176AF">
      <w:pPr>
        <w:jc w:val="both"/>
        <w:rPr>
          <w:rFonts w:ascii="Arial" w:hAnsi="Arial" w:cs="Arial"/>
          <w:b/>
          <w:bCs/>
          <w:lang w:val="en-GB"/>
        </w:rPr>
      </w:pPr>
    </w:p>
    <w:p w14:paraId="157C7A4C" w14:textId="77777777" w:rsidR="002763F5" w:rsidRDefault="002763F5" w:rsidP="003176AF">
      <w:pPr>
        <w:jc w:val="both"/>
        <w:rPr>
          <w:rFonts w:ascii="Arial" w:hAnsi="Arial" w:cs="Arial"/>
          <w:b/>
          <w:bCs/>
          <w:lang w:val="en-GB"/>
        </w:rPr>
        <w:sectPr w:rsidR="002763F5" w:rsidSect="00801130"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14:paraId="56B1C187" w14:textId="6A139D61" w:rsidR="00C449DE" w:rsidRDefault="00C449DE" w:rsidP="003176AF">
      <w:pPr>
        <w:jc w:val="both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lastRenderedPageBreak/>
        <w:t xml:space="preserve">Supplemental Figure 2. Forest plot of proportion meta-analysis. </w:t>
      </w:r>
      <w:r>
        <w:rPr>
          <w:rFonts w:cs="Arial"/>
          <w:lang w:val="en-GB"/>
        </w:rPr>
        <w:t>M</w:t>
      </w:r>
      <w:r w:rsidRPr="00597507">
        <w:rPr>
          <w:rFonts w:cs="Arial"/>
          <w:lang w:val="en-GB"/>
        </w:rPr>
        <w:t xml:space="preserve">eta-analysis of the proportion of patients in which the [18F]FDG-PET/CT remained positive during clinical remission was performed by the Stuart-Ord (inverse double arcsine square root) method and a </w:t>
      </w:r>
      <w:proofErr w:type="spellStart"/>
      <w:r w:rsidRPr="00597507">
        <w:rPr>
          <w:rFonts w:cs="Arial"/>
          <w:lang w:val="en-GB"/>
        </w:rPr>
        <w:t>DerSimonian</w:t>
      </w:r>
      <w:proofErr w:type="spellEnd"/>
      <w:r w:rsidRPr="00597507">
        <w:rPr>
          <w:rFonts w:cs="Arial"/>
          <w:lang w:val="en-GB"/>
        </w:rPr>
        <w:t>-Laird (random effects) model.</w:t>
      </w:r>
    </w:p>
    <w:p w14:paraId="2B667AB5" w14:textId="4B1AA23A" w:rsidR="00C449DE" w:rsidRDefault="00C449DE" w:rsidP="003176AF">
      <w:pPr>
        <w:jc w:val="both"/>
        <w:rPr>
          <w:rFonts w:ascii="Arial" w:hAnsi="Arial" w:cs="Arial"/>
          <w:b/>
          <w:bCs/>
          <w:lang w:val="en-GB"/>
        </w:rPr>
      </w:pPr>
      <w:r>
        <w:rPr>
          <w:rFonts w:ascii="Calibri" w:hAnsi="Calibri" w:cs="Calibri"/>
          <w:noProof/>
        </w:rPr>
        <w:drawing>
          <wp:inline distT="0" distB="0" distL="0" distR="0" wp14:anchorId="57CE5D0A" wp14:editId="6D0F60E8">
            <wp:extent cx="5408930" cy="3467747"/>
            <wp:effectExtent l="0" t="0" r="0" b="0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256"/>
                    <a:stretch/>
                  </pic:blipFill>
                  <pic:spPr bwMode="auto">
                    <a:xfrm>
                      <a:off x="0" y="0"/>
                      <a:ext cx="5408930" cy="3467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4F98800" w14:textId="77777777" w:rsidR="00C449DE" w:rsidRDefault="00C449DE" w:rsidP="003176AF">
      <w:pPr>
        <w:jc w:val="both"/>
        <w:rPr>
          <w:rFonts w:ascii="Arial" w:hAnsi="Arial" w:cs="Arial"/>
          <w:b/>
          <w:bCs/>
          <w:lang w:val="en-GB"/>
        </w:rPr>
      </w:pPr>
    </w:p>
    <w:p w14:paraId="1016EA25" w14:textId="77777777" w:rsidR="00C449DE" w:rsidRDefault="00C449DE" w:rsidP="003176AF">
      <w:pPr>
        <w:jc w:val="both"/>
        <w:rPr>
          <w:rFonts w:ascii="Arial" w:hAnsi="Arial" w:cs="Arial"/>
          <w:b/>
          <w:bCs/>
          <w:lang w:val="en-GB"/>
        </w:rPr>
      </w:pPr>
    </w:p>
    <w:p w14:paraId="47825787" w14:textId="5A5393F9" w:rsidR="00C449DE" w:rsidRDefault="00C449DE" w:rsidP="003176AF">
      <w:pPr>
        <w:jc w:val="both"/>
        <w:rPr>
          <w:rFonts w:ascii="Arial" w:hAnsi="Arial" w:cs="Arial"/>
          <w:b/>
          <w:bCs/>
          <w:lang w:val="en-GB"/>
        </w:rPr>
      </w:pPr>
    </w:p>
    <w:p w14:paraId="022804A1" w14:textId="54463CA6" w:rsidR="00E534CB" w:rsidRDefault="00E534CB">
      <w:pPr>
        <w:rPr>
          <w:rFonts w:ascii="Arial" w:hAnsi="Arial" w:cs="Arial"/>
          <w:lang w:val="en-GB"/>
        </w:rPr>
      </w:pPr>
    </w:p>
    <w:p w14:paraId="017427B9" w14:textId="77777777" w:rsidR="00E534CB" w:rsidRPr="00A155BC" w:rsidRDefault="00E534CB">
      <w:pPr>
        <w:rPr>
          <w:rFonts w:ascii="Arial" w:hAnsi="Arial" w:cs="Arial"/>
          <w:lang w:val="en-GB"/>
        </w:rPr>
      </w:pPr>
    </w:p>
    <w:sectPr w:rsidR="00E534CB" w:rsidRPr="00A155BC" w:rsidSect="00E534C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D7979E" w14:textId="77777777" w:rsidR="00CA13E4" w:rsidRDefault="00CA13E4" w:rsidP="006A5BFB">
      <w:pPr>
        <w:spacing w:after="0" w:line="240" w:lineRule="auto"/>
      </w:pPr>
      <w:r>
        <w:separator/>
      </w:r>
    </w:p>
  </w:endnote>
  <w:endnote w:type="continuationSeparator" w:id="0">
    <w:p w14:paraId="432BFD9D" w14:textId="77777777" w:rsidR="00CA13E4" w:rsidRDefault="00CA13E4" w:rsidP="006A5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540577" w14:textId="77777777" w:rsidR="006A5BFB" w:rsidRDefault="006A5BF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2832050"/>
      <w:docPartObj>
        <w:docPartGallery w:val="Page Numbers (Bottom of Page)"/>
        <w:docPartUnique/>
      </w:docPartObj>
    </w:sdtPr>
    <w:sdtEndPr/>
    <w:sdtContent>
      <w:p w14:paraId="35A8E4A3" w14:textId="6AA60133" w:rsidR="006A5BFB" w:rsidRDefault="006A5BFB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F13502" w14:textId="77777777" w:rsidR="006A5BFB" w:rsidRDefault="006A5BFB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A60264" w14:textId="77777777" w:rsidR="006A5BFB" w:rsidRDefault="006A5B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B01523" w14:textId="77777777" w:rsidR="00CA13E4" w:rsidRDefault="00CA13E4" w:rsidP="006A5BFB">
      <w:pPr>
        <w:spacing w:after="0" w:line="240" w:lineRule="auto"/>
      </w:pPr>
      <w:r>
        <w:separator/>
      </w:r>
    </w:p>
  </w:footnote>
  <w:footnote w:type="continuationSeparator" w:id="0">
    <w:p w14:paraId="71B2C67F" w14:textId="77777777" w:rsidR="00CA13E4" w:rsidRDefault="00CA13E4" w:rsidP="006A5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288FBB" w14:textId="77777777" w:rsidR="006A5BFB" w:rsidRDefault="006A5BF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F88B8A" w14:textId="77777777" w:rsidR="006A5BFB" w:rsidRDefault="006A5BF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CC25F7" w14:textId="77777777" w:rsidR="006A5BFB" w:rsidRDefault="006A5BF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24660"/>
    <w:multiLevelType w:val="hybridMultilevel"/>
    <w:tmpl w:val="459CFB3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6B1B9B"/>
    <w:multiLevelType w:val="hybridMultilevel"/>
    <w:tmpl w:val="6AD029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413865"/>
    <w:multiLevelType w:val="hybridMultilevel"/>
    <w:tmpl w:val="8270A0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5673C4"/>
    <w:multiLevelType w:val="hybridMultilevel"/>
    <w:tmpl w:val="D7AC85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82DC1"/>
    <w:multiLevelType w:val="hybridMultilevel"/>
    <w:tmpl w:val="08A4EF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BA769C"/>
    <w:multiLevelType w:val="hybridMultilevel"/>
    <w:tmpl w:val="DB28374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104FCD"/>
    <w:multiLevelType w:val="hybridMultilevel"/>
    <w:tmpl w:val="1D7A44D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AC0630"/>
    <w:multiLevelType w:val="hybridMultilevel"/>
    <w:tmpl w:val="3BBACD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3A19A9"/>
    <w:multiLevelType w:val="hybridMultilevel"/>
    <w:tmpl w:val="43CA1E0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4257928"/>
    <w:multiLevelType w:val="hybridMultilevel"/>
    <w:tmpl w:val="7166EBD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3ACEAF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501466B"/>
    <w:multiLevelType w:val="hybridMultilevel"/>
    <w:tmpl w:val="55B2198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6FA6C95"/>
    <w:multiLevelType w:val="hybridMultilevel"/>
    <w:tmpl w:val="A566E4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8527E21"/>
    <w:multiLevelType w:val="hybridMultilevel"/>
    <w:tmpl w:val="2884AC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4BE1396"/>
    <w:multiLevelType w:val="hybridMultilevel"/>
    <w:tmpl w:val="AE5466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2914E3"/>
    <w:multiLevelType w:val="hybridMultilevel"/>
    <w:tmpl w:val="F8FC79B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9CB52F5"/>
    <w:multiLevelType w:val="hybridMultilevel"/>
    <w:tmpl w:val="7A1CEC2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CB935F4"/>
    <w:multiLevelType w:val="hybridMultilevel"/>
    <w:tmpl w:val="39C0CAF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A7F384D"/>
    <w:multiLevelType w:val="hybridMultilevel"/>
    <w:tmpl w:val="679C4A8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8"/>
  </w:num>
  <w:num w:numId="5">
    <w:abstractNumId w:val="13"/>
  </w:num>
  <w:num w:numId="6">
    <w:abstractNumId w:val="4"/>
  </w:num>
  <w:num w:numId="7">
    <w:abstractNumId w:val="5"/>
  </w:num>
  <w:num w:numId="8">
    <w:abstractNumId w:val="0"/>
  </w:num>
  <w:num w:numId="9">
    <w:abstractNumId w:val="6"/>
  </w:num>
  <w:num w:numId="10">
    <w:abstractNumId w:val="15"/>
  </w:num>
  <w:num w:numId="11">
    <w:abstractNumId w:val="7"/>
  </w:num>
  <w:num w:numId="12">
    <w:abstractNumId w:val="11"/>
  </w:num>
  <w:num w:numId="13">
    <w:abstractNumId w:val="1"/>
  </w:num>
  <w:num w:numId="14">
    <w:abstractNumId w:val="3"/>
  </w:num>
  <w:num w:numId="15">
    <w:abstractNumId w:val="2"/>
  </w:num>
  <w:num w:numId="16">
    <w:abstractNumId w:val="14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5D1D"/>
    <w:rsid w:val="00062CF4"/>
    <w:rsid w:val="000B5159"/>
    <w:rsid w:val="000C00BE"/>
    <w:rsid w:val="000C1BEC"/>
    <w:rsid w:val="000D527B"/>
    <w:rsid w:val="00104ADB"/>
    <w:rsid w:val="00181DDF"/>
    <w:rsid w:val="0018776C"/>
    <w:rsid w:val="0019329C"/>
    <w:rsid w:val="001A48CE"/>
    <w:rsid w:val="001C187F"/>
    <w:rsid w:val="001C21E7"/>
    <w:rsid w:val="001C7412"/>
    <w:rsid w:val="001E4B28"/>
    <w:rsid w:val="001F7B2D"/>
    <w:rsid w:val="00242264"/>
    <w:rsid w:val="002560B0"/>
    <w:rsid w:val="002763F5"/>
    <w:rsid w:val="0029676D"/>
    <w:rsid w:val="002A3474"/>
    <w:rsid w:val="002A3522"/>
    <w:rsid w:val="00310DDC"/>
    <w:rsid w:val="003176AF"/>
    <w:rsid w:val="003608D6"/>
    <w:rsid w:val="00365BA9"/>
    <w:rsid w:val="0036771A"/>
    <w:rsid w:val="00376AC2"/>
    <w:rsid w:val="00391669"/>
    <w:rsid w:val="003A7609"/>
    <w:rsid w:val="003B5D1D"/>
    <w:rsid w:val="00412120"/>
    <w:rsid w:val="00437A71"/>
    <w:rsid w:val="00473EC2"/>
    <w:rsid w:val="004B2A65"/>
    <w:rsid w:val="0051620B"/>
    <w:rsid w:val="005B3788"/>
    <w:rsid w:val="005B7703"/>
    <w:rsid w:val="006610B0"/>
    <w:rsid w:val="006653DA"/>
    <w:rsid w:val="006676F3"/>
    <w:rsid w:val="006A5BFB"/>
    <w:rsid w:val="006A69C0"/>
    <w:rsid w:val="006C3A5F"/>
    <w:rsid w:val="006C3AB1"/>
    <w:rsid w:val="006C7756"/>
    <w:rsid w:val="006F5F0B"/>
    <w:rsid w:val="007074DA"/>
    <w:rsid w:val="00736CD8"/>
    <w:rsid w:val="00747418"/>
    <w:rsid w:val="00801130"/>
    <w:rsid w:val="00812703"/>
    <w:rsid w:val="008368EB"/>
    <w:rsid w:val="008950C4"/>
    <w:rsid w:val="00896355"/>
    <w:rsid w:val="008D5871"/>
    <w:rsid w:val="0090266D"/>
    <w:rsid w:val="00985168"/>
    <w:rsid w:val="009C37F9"/>
    <w:rsid w:val="009F4B84"/>
    <w:rsid w:val="00A04340"/>
    <w:rsid w:val="00A155BC"/>
    <w:rsid w:val="00BA0E45"/>
    <w:rsid w:val="00BC3FDC"/>
    <w:rsid w:val="00BD2796"/>
    <w:rsid w:val="00BD5441"/>
    <w:rsid w:val="00C449DE"/>
    <w:rsid w:val="00C71FE3"/>
    <w:rsid w:val="00CA13E4"/>
    <w:rsid w:val="00D0692E"/>
    <w:rsid w:val="00D15341"/>
    <w:rsid w:val="00D875AE"/>
    <w:rsid w:val="00DC3947"/>
    <w:rsid w:val="00E534CB"/>
    <w:rsid w:val="00E712D2"/>
    <w:rsid w:val="00E81B39"/>
    <w:rsid w:val="00E85C71"/>
    <w:rsid w:val="00EB2AD6"/>
    <w:rsid w:val="00EE77BC"/>
    <w:rsid w:val="00F11A82"/>
    <w:rsid w:val="00F472D4"/>
    <w:rsid w:val="00F81825"/>
    <w:rsid w:val="00FC7CC6"/>
    <w:rsid w:val="00FF6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230E9"/>
  <w15:docId w15:val="{D542666F-2365-4342-8A30-42F46F539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semiHidden/>
    <w:unhideWhenUsed/>
    <w:qFormat/>
    <w:rsid w:val="00310DDC"/>
    <w:pPr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B5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C3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C3947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DC394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C394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C394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394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C3947"/>
    <w:rPr>
      <w:b/>
      <w:bCs/>
      <w:sz w:val="20"/>
      <w:szCs w:val="20"/>
    </w:rPr>
  </w:style>
  <w:style w:type="character" w:customStyle="1" w:styleId="Kop2Char">
    <w:name w:val="Kop 2 Char"/>
    <w:basedOn w:val="Standaardalinea-lettertype"/>
    <w:link w:val="Kop2"/>
    <w:semiHidden/>
    <w:rsid w:val="00310DDC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Koptekst">
    <w:name w:val="header"/>
    <w:basedOn w:val="Standaard"/>
    <w:link w:val="KoptekstChar"/>
    <w:uiPriority w:val="99"/>
    <w:unhideWhenUsed/>
    <w:rsid w:val="00310DDC"/>
    <w:pPr>
      <w:tabs>
        <w:tab w:val="center" w:pos="4320"/>
        <w:tab w:val="right" w:pos="8640"/>
      </w:tabs>
      <w:spacing w:after="0" w:line="240" w:lineRule="auto"/>
    </w:pPr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character" w:customStyle="1" w:styleId="KoptekstChar">
    <w:name w:val="Koptekst Char"/>
    <w:basedOn w:val="Standaardalinea-lettertype"/>
    <w:link w:val="Koptekst"/>
    <w:uiPriority w:val="99"/>
    <w:rsid w:val="00310DDC"/>
    <w:rPr>
      <w:rFonts w:ascii="Garamond" w:eastAsia="Times New Roman" w:hAnsi="Garamond" w:cs="Times New Roman"/>
      <w:color w:val="008000"/>
      <w:w w:val="120"/>
      <w:sz w:val="24"/>
      <w:szCs w:val="24"/>
      <w:lang w:val="en-CA"/>
    </w:rPr>
  </w:style>
  <w:style w:type="paragraph" w:styleId="Normaalweb">
    <w:name w:val="Normal (Web)"/>
    <w:basedOn w:val="Standaard"/>
    <w:uiPriority w:val="99"/>
    <w:semiHidden/>
    <w:unhideWhenUsed/>
    <w:rsid w:val="00E534CB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A5B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A5B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2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3179</Words>
  <Characters>17489</Characters>
  <Application>Microsoft Office Word</Application>
  <DocSecurity>0</DocSecurity>
  <Lines>145</Lines>
  <Paragraphs>41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Universitair Medisch Centrum Groningen</Company>
  <LinksUpToDate>false</LinksUpToDate>
  <CharactersWithSpaces>20627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niels van der geest</dc:creator>
  <cp:lastModifiedBy>niels van der geest</cp:lastModifiedBy>
  <cp:revision>22</cp:revision>
  <dcterms:created xsi:type="dcterms:W3CDTF">2021-02-10T13:08:00Z</dcterms:created>
  <dcterms:modified xsi:type="dcterms:W3CDTF">2021-03-31T09:11:00Z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nCUserId">
    <vt:lpwstr>4162</vt:lpwstr>
  </property>
  <property fmtid="{D5CDD505-2E9C-101B-9397-08002B2CF9AE}" pid="3" name="WnCSubscriberId">
    <vt:lpwstr>5225</vt:lpwstr>
  </property>
  <property fmtid="{D5CDD505-2E9C-101B-9397-08002B2CF9AE}" pid="4" name="WnCOutputStyleId">
    <vt:lpwstr>198</vt:lpwstr>
  </property>
  <property fmtid="{D5CDD505-2E9C-101B-9397-08002B2CF9AE}" pid="5" name="RWProductId">
    <vt:lpwstr>WnC</vt:lpwstr>
  </property>
  <property fmtid="{D5CDD505-2E9C-101B-9397-08002B2CF9AE}" pid="6" name="RWProjectId">
    <vt:lpwstr/>
  </property>
  <property fmtid="{D5CDD505-2E9C-101B-9397-08002B2CF9AE}" pid="7" name="WnC4Folder">
    <vt:lpwstr>Documents///Supplementary material</vt:lpwstr>
  </property>
</Properties>
</file>