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25E9C3" w14:textId="14136E34" w:rsidR="00AB4FF5" w:rsidRDefault="00AB4FF5">
      <w:pPr>
        <w:spacing w:line="480" w:lineRule="auto"/>
        <w:jc w:val="both"/>
        <w:rPr>
          <w:noProof/>
        </w:rPr>
      </w:pPr>
      <w:r>
        <w:rPr>
          <w:noProof/>
          <w:lang w:val="en-PH" w:eastAsia="en-PH"/>
        </w:rPr>
        <w:drawing>
          <wp:inline distT="0" distB="0" distL="0" distR="0" wp14:anchorId="51FE114A" wp14:editId="5685E7D1">
            <wp:extent cx="5760720" cy="42519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B0C3" w14:textId="53A649EA" w:rsidR="00AB4FF5" w:rsidRPr="009E0246" w:rsidRDefault="00AB4FF5" w:rsidP="00AB4FF5">
      <w:pPr>
        <w:pStyle w:val="BodyTextIndent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9E0246">
        <w:rPr>
          <w:rFonts w:ascii="Arial" w:hAnsi="Arial" w:cs="Arial"/>
          <w:b/>
          <w:sz w:val="20"/>
          <w:lang w:val="en-US"/>
        </w:rPr>
        <w:t xml:space="preserve">Supplemental Figure 1: Illustration of box plots and individual DVR and </w:t>
      </w:r>
      <w:proofErr w:type="spellStart"/>
      <w:r w:rsidRPr="009E0246">
        <w:rPr>
          <w:rFonts w:ascii="Arial" w:hAnsi="Arial" w:cs="Arial"/>
          <w:b/>
          <w:sz w:val="20"/>
          <w:lang w:val="en-US"/>
        </w:rPr>
        <w:t>SUVr</w:t>
      </w:r>
      <w:proofErr w:type="spellEnd"/>
      <w:r w:rsidRPr="009E0246">
        <w:rPr>
          <w:rFonts w:ascii="Arial" w:hAnsi="Arial" w:cs="Arial"/>
          <w:b/>
          <w:sz w:val="20"/>
          <w:lang w:val="en-US"/>
        </w:rPr>
        <w:t xml:space="preserve"> data points of patients with progressive supranuclear palsy (PSP) and healthy controls (HC) in representative brain regions for different dynamic and static </w:t>
      </w:r>
      <w:r w:rsidRPr="009E0246">
        <w:rPr>
          <w:rFonts w:ascii="Arial" w:hAnsi="Arial" w:cs="Arial"/>
          <w:b/>
          <w:bCs/>
          <w:sz w:val="20"/>
          <w:lang w:val="en-US"/>
        </w:rPr>
        <w:t>[</w:t>
      </w:r>
      <w:r w:rsidRPr="009E0246">
        <w:rPr>
          <w:rFonts w:ascii="Arial" w:hAnsi="Arial" w:cs="Arial"/>
          <w:b/>
          <w:bCs/>
          <w:sz w:val="20"/>
          <w:vertAlign w:val="superscript"/>
          <w:lang w:val="en-US"/>
        </w:rPr>
        <w:t>18</w:t>
      </w:r>
      <w:r w:rsidRPr="009E0246">
        <w:rPr>
          <w:rFonts w:ascii="Arial" w:hAnsi="Arial" w:cs="Arial"/>
          <w:b/>
          <w:bCs/>
          <w:sz w:val="20"/>
          <w:lang w:val="en-US"/>
        </w:rPr>
        <w:t xml:space="preserve">F]PI-2620 </w:t>
      </w:r>
      <w:r w:rsidRPr="009E0246">
        <w:rPr>
          <w:rFonts w:ascii="Arial" w:hAnsi="Arial" w:cs="Arial"/>
          <w:b/>
          <w:sz w:val="20"/>
          <w:lang w:val="en-US"/>
        </w:rPr>
        <w:t>imaging windows.</w:t>
      </w:r>
      <w:r w:rsidRPr="009E0246">
        <w:rPr>
          <w:rFonts w:ascii="Arial" w:hAnsi="Arial" w:cs="Arial"/>
          <w:sz w:val="20"/>
          <w:lang w:val="en-US"/>
        </w:rPr>
        <w:t xml:space="preserve"> DVR = distribution volume ratio; </w:t>
      </w:r>
      <w:proofErr w:type="spellStart"/>
      <w:r w:rsidRPr="009E0246">
        <w:rPr>
          <w:rFonts w:ascii="Arial" w:hAnsi="Arial" w:cs="Arial"/>
          <w:sz w:val="20"/>
          <w:lang w:val="en-US"/>
        </w:rPr>
        <w:t>SUVr</w:t>
      </w:r>
      <w:proofErr w:type="spellEnd"/>
      <w:r w:rsidRPr="009E0246">
        <w:rPr>
          <w:rFonts w:ascii="Arial" w:hAnsi="Arial" w:cs="Arial"/>
          <w:sz w:val="20"/>
          <w:lang w:val="en-US"/>
        </w:rPr>
        <w:t xml:space="preserve"> = standardized uptake value ratio;</w:t>
      </w:r>
      <w:r w:rsidRPr="009E0246">
        <w:rPr>
          <w:rFonts w:ascii="Arial" w:hAnsi="Arial" w:cs="Arial"/>
          <w:b/>
          <w:bCs/>
          <w:sz w:val="20"/>
          <w:lang w:val="en-US"/>
        </w:rPr>
        <w:t xml:space="preserve"> </w:t>
      </w:r>
      <w:proofErr w:type="spellStart"/>
      <w:r w:rsidRPr="009E0246">
        <w:rPr>
          <w:rFonts w:ascii="Arial" w:hAnsi="Arial" w:cs="Arial"/>
          <w:sz w:val="20"/>
          <w:lang w:val="en-US"/>
        </w:rPr>
        <w:t>GPi</w:t>
      </w:r>
      <w:proofErr w:type="spellEnd"/>
      <w:r w:rsidRPr="009E0246">
        <w:rPr>
          <w:rFonts w:ascii="Arial" w:hAnsi="Arial" w:cs="Arial"/>
          <w:sz w:val="20"/>
          <w:lang w:val="en-US"/>
        </w:rPr>
        <w:t xml:space="preserve"> = </w:t>
      </w:r>
      <w:proofErr w:type="spellStart"/>
      <w:r w:rsidRPr="009E0246">
        <w:rPr>
          <w:rFonts w:ascii="Arial" w:hAnsi="Arial" w:cs="Arial"/>
          <w:sz w:val="20"/>
          <w:lang w:val="en-US"/>
        </w:rPr>
        <w:t>globus</w:t>
      </w:r>
      <w:proofErr w:type="spellEnd"/>
      <w:r w:rsidRPr="009E0246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9E0246">
        <w:rPr>
          <w:rFonts w:ascii="Arial" w:hAnsi="Arial" w:cs="Arial"/>
          <w:sz w:val="20"/>
          <w:lang w:val="en-US"/>
        </w:rPr>
        <w:t>pallidus</w:t>
      </w:r>
      <w:proofErr w:type="spellEnd"/>
      <w:r w:rsidRPr="009E0246">
        <w:rPr>
          <w:rFonts w:ascii="Arial" w:hAnsi="Arial" w:cs="Arial"/>
          <w:sz w:val="20"/>
          <w:lang w:val="en-US"/>
        </w:rPr>
        <w:t xml:space="preserve"> internus; SN = substantia nigra; DLPFC = dorsolateral prefrontal cortex; DN = dentate nucleus</w:t>
      </w:r>
    </w:p>
    <w:p w14:paraId="48778959" w14:textId="77777777" w:rsidR="00AB4FF5" w:rsidRPr="00AB4FF5" w:rsidRDefault="00AB4FF5">
      <w:pPr>
        <w:spacing w:line="480" w:lineRule="auto"/>
        <w:jc w:val="both"/>
        <w:rPr>
          <w:noProof/>
          <w:lang w:val="en-US"/>
        </w:rPr>
      </w:pPr>
      <w:bookmarkStart w:id="0" w:name="_GoBack"/>
      <w:bookmarkEnd w:id="0"/>
    </w:p>
    <w:p w14:paraId="33C267F9" w14:textId="00ADEB3B" w:rsidR="0033770B" w:rsidRDefault="004465AC">
      <w:pPr>
        <w:spacing w:line="480" w:lineRule="auto"/>
        <w:jc w:val="both"/>
        <w:rPr>
          <w:rFonts w:ascii="Arial" w:hAnsi="Arial" w:cs="Arial"/>
          <w:noProof/>
          <w:sz w:val="20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661B2C4F" wp14:editId="3B7FBB60">
            <wp:extent cx="5410200" cy="5607050"/>
            <wp:effectExtent l="0" t="0" r="0" b="0"/>
            <wp:docPr id="4" name="Grafik 4" descr="C:\Users\mabrende\AppData\Local\Microsoft\Windows\INetCache\Content.Word\A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brende\AppData\Local\Microsoft\Windows\INetCache\Content.Word\AU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6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B84E1" w14:textId="2ECBF1C7" w:rsidR="0033770B" w:rsidRDefault="004465AC">
      <w:pPr>
        <w:pStyle w:val="BodyTextIndent"/>
        <w:spacing w:line="276" w:lineRule="auto"/>
        <w:ind w:firstLine="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 xml:space="preserve">Supplemental Figure </w:t>
      </w:r>
      <w:r w:rsidR="00AB4FF5">
        <w:rPr>
          <w:rFonts w:ascii="Arial" w:hAnsi="Arial" w:cs="Arial"/>
          <w:b/>
          <w:sz w:val="20"/>
          <w:lang w:val="en-US"/>
        </w:rPr>
        <w:t>2</w:t>
      </w:r>
      <w:r>
        <w:rPr>
          <w:rFonts w:ascii="Arial" w:hAnsi="Arial" w:cs="Arial"/>
          <w:b/>
          <w:sz w:val="20"/>
          <w:lang w:val="en-US"/>
        </w:rPr>
        <w:t xml:space="preserve">: Illustration of receiver operating curves (ROC) in all brain regions for different dynamic and static </w:t>
      </w:r>
      <w:r>
        <w:rPr>
          <w:rFonts w:ascii="Arial" w:hAnsi="Arial" w:cs="Arial"/>
          <w:b/>
          <w:bCs/>
          <w:sz w:val="20"/>
          <w:lang w:val="en-US"/>
        </w:rPr>
        <w:t>[</w:t>
      </w:r>
      <w:r>
        <w:rPr>
          <w:rFonts w:ascii="Arial" w:hAnsi="Arial" w:cs="Arial"/>
          <w:b/>
          <w:bCs/>
          <w:sz w:val="20"/>
          <w:vertAlign w:val="superscript"/>
          <w:lang w:val="en-US"/>
        </w:rPr>
        <w:t>18</w:t>
      </w:r>
      <w:r>
        <w:rPr>
          <w:rFonts w:ascii="Arial" w:hAnsi="Arial" w:cs="Arial"/>
          <w:b/>
          <w:bCs/>
          <w:sz w:val="20"/>
          <w:lang w:val="en-US"/>
        </w:rPr>
        <w:t>F</w:t>
      </w:r>
      <w:proofErr w:type="gramStart"/>
      <w:r>
        <w:rPr>
          <w:rFonts w:ascii="Arial" w:hAnsi="Arial" w:cs="Arial"/>
          <w:b/>
          <w:bCs/>
          <w:sz w:val="20"/>
          <w:lang w:val="en-US"/>
        </w:rPr>
        <w:t>]PI</w:t>
      </w:r>
      <w:proofErr w:type="gramEnd"/>
      <w:r>
        <w:rPr>
          <w:rFonts w:ascii="Arial" w:hAnsi="Arial" w:cs="Arial"/>
          <w:b/>
          <w:bCs/>
          <w:sz w:val="20"/>
          <w:lang w:val="en-US"/>
        </w:rPr>
        <w:t xml:space="preserve">-2620 </w:t>
      </w:r>
      <w:r>
        <w:rPr>
          <w:rFonts w:ascii="Arial" w:hAnsi="Arial" w:cs="Arial"/>
          <w:b/>
          <w:sz w:val="20"/>
          <w:lang w:val="en-US"/>
        </w:rPr>
        <w:t>imaging windows.</w:t>
      </w:r>
      <w:r>
        <w:rPr>
          <w:rFonts w:ascii="Arial" w:hAnsi="Arial" w:cs="Arial"/>
          <w:sz w:val="20"/>
          <w:lang w:val="en-US"/>
        </w:rPr>
        <w:t xml:space="preserve"> DVR = distribution volume ratio; </w:t>
      </w:r>
      <w:proofErr w:type="spellStart"/>
      <w:r>
        <w:rPr>
          <w:rFonts w:ascii="Arial" w:hAnsi="Arial" w:cs="Arial"/>
          <w:sz w:val="20"/>
          <w:lang w:val="en-US"/>
        </w:rPr>
        <w:t>SUVr</w:t>
      </w:r>
      <w:proofErr w:type="spellEnd"/>
      <w:r>
        <w:rPr>
          <w:rFonts w:ascii="Arial" w:hAnsi="Arial" w:cs="Arial"/>
          <w:sz w:val="20"/>
          <w:lang w:val="en-US"/>
        </w:rPr>
        <w:t xml:space="preserve"> = standardized uptake value ratio;</w:t>
      </w:r>
      <w:r>
        <w:rPr>
          <w:rFonts w:ascii="Arial" w:hAnsi="Arial" w:cs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GPe</w:t>
      </w:r>
      <w:proofErr w:type="spellEnd"/>
      <w:r>
        <w:rPr>
          <w:rFonts w:ascii="Arial" w:hAnsi="Arial" w:cs="Arial"/>
          <w:sz w:val="20"/>
          <w:lang w:val="en-US"/>
        </w:rPr>
        <w:t xml:space="preserve"> = </w:t>
      </w:r>
      <w:proofErr w:type="spellStart"/>
      <w:r>
        <w:rPr>
          <w:rFonts w:ascii="Arial" w:hAnsi="Arial" w:cs="Arial"/>
          <w:sz w:val="20"/>
          <w:lang w:val="en-US"/>
        </w:rPr>
        <w:t>globus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pallidus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externus</w:t>
      </w:r>
      <w:proofErr w:type="spellEnd"/>
      <w:r>
        <w:rPr>
          <w:rFonts w:ascii="Arial" w:hAnsi="Arial" w:cs="Arial"/>
          <w:sz w:val="20"/>
          <w:lang w:val="en-US"/>
        </w:rPr>
        <w:t xml:space="preserve">; </w:t>
      </w:r>
      <w:proofErr w:type="spellStart"/>
      <w:r>
        <w:rPr>
          <w:rFonts w:ascii="Arial" w:hAnsi="Arial" w:cs="Arial"/>
          <w:sz w:val="20"/>
          <w:lang w:val="en-US"/>
        </w:rPr>
        <w:t>GPi</w:t>
      </w:r>
      <w:proofErr w:type="spellEnd"/>
      <w:r>
        <w:rPr>
          <w:rFonts w:ascii="Arial" w:hAnsi="Arial" w:cs="Arial"/>
          <w:sz w:val="20"/>
          <w:lang w:val="en-US"/>
        </w:rPr>
        <w:t xml:space="preserve"> = </w:t>
      </w:r>
      <w:proofErr w:type="spellStart"/>
      <w:r>
        <w:rPr>
          <w:rFonts w:ascii="Arial" w:hAnsi="Arial" w:cs="Arial"/>
          <w:sz w:val="20"/>
          <w:lang w:val="en-US"/>
        </w:rPr>
        <w:t>globus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pallidus</w:t>
      </w:r>
      <w:proofErr w:type="spellEnd"/>
      <w:r>
        <w:rPr>
          <w:rFonts w:ascii="Arial" w:hAnsi="Arial" w:cs="Arial"/>
          <w:sz w:val="20"/>
          <w:lang w:val="en-US"/>
        </w:rPr>
        <w:t xml:space="preserve"> internus; PUT = putamen; STN = subthalamic nucleus; SN = substantia nigra; DMB = dorsal midbrain; MPFC = medial prefrontal cortex; DLPFC = dorsolateral prefrontal cortex; DN = dentate nucleus</w:t>
      </w:r>
    </w:p>
    <w:p w14:paraId="6EC576A0" w14:textId="77777777" w:rsidR="0033770B" w:rsidRPr="004465AC" w:rsidRDefault="0033770B">
      <w:pPr>
        <w:spacing w:line="480" w:lineRule="auto"/>
        <w:jc w:val="both"/>
        <w:rPr>
          <w:rFonts w:ascii="Arial" w:hAnsi="Arial" w:cs="Arial"/>
          <w:noProof/>
          <w:sz w:val="20"/>
          <w:lang w:val="en-US"/>
        </w:rPr>
      </w:pPr>
    </w:p>
    <w:p w14:paraId="2864DA34" w14:textId="77777777" w:rsidR="0033770B" w:rsidRDefault="004465AC">
      <w:pPr>
        <w:spacing w:line="480" w:lineRule="auto"/>
        <w:jc w:val="both"/>
        <w:rPr>
          <w:noProof/>
        </w:rPr>
      </w:pPr>
      <w:r>
        <w:rPr>
          <w:rFonts w:ascii="Arial" w:hAnsi="Arial" w:cs="Arial"/>
          <w:noProof/>
          <w:sz w:val="20"/>
          <w:lang w:val="en-PH" w:eastAsia="en-PH"/>
        </w:rPr>
        <w:lastRenderedPageBreak/>
        <w:drawing>
          <wp:inline distT="0" distB="0" distL="0" distR="0" wp14:anchorId="2E442233" wp14:editId="06E0CD95">
            <wp:extent cx="5759450" cy="8679815"/>
            <wp:effectExtent l="0" t="0" r="0" b="6985"/>
            <wp:docPr id="1" name="Grafik 1" descr="C:\Users\mabrende\AppData\Local\Microsoft\Windows\INetCache\Content.Word\correl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brende\AppData\Local\Microsoft\Windows\INetCache\Content.Word\correla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3BCF4" w14:textId="6C1C4B0C" w:rsidR="0033770B" w:rsidRDefault="004465AC">
      <w:pPr>
        <w:pStyle w:val="BodyTextIndent"/>
        <w:spacing w:line="276" w:lineRule="auto"/>
        <w:ind w:firstLine="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lastRenderedPageBreak/>
        <w:t xml:space="preserve">Supplemental Figure </w:t>
      </w:r>
      <w:r w:rsidR="00AB4FF5">
        <w:rPr>
          <w:rFonts w:ascii="Arial" w:hAnsi="Arial" w:cs="Arial"/>
          <w:b/>
          <w:sz w:val="20"/>
          <w:lang w:val="en-US"/>
        </w:rPr>
        <w:t>3</w:t>
      </w:r>
      <w:r>
        <w:rPr>
          <w:rFonts w:ascii="Arial" w:hAnsi="Arial" w:cs="Arial"/>
          <w:b/>
          <w:sz w:val="20"/>
          <w:lang w:val="en-US"/>
        </w:rPr>
        <w:t xml:space="preserve">: Agreement between different truncated dynamic and static </w:t>
      </w:r>
      <w:r>
        <w:rPr>
          <w:rFonts w:ascii="Arial" w:hAnsi="Arial" w:cs="Arial"/>
          <w:b/>
          <w:bCs/>
          <w:sz w:val="20"/>
          <w:lang w:val="en-US"/>
        </w:rPr>
        <w:t>[</w:t>
      </w:r>
      <w:r>
        <w:rPr>
          <w:rFonts w:ascii="Arial" w:hAnsi="Arial" w:cs="Arial"/>
          <w:b/>
          <w:bCs/>
          <w:sz w:val="20"/>
          <w:vertAlign w:val="superscript"/>
          <w:lang w:val="en-US"/>
        </w:rPr>
        <w:t>18</w:t>
      </w:r>
      <w:r>
        <w:rPr>
          <w:rFonts w:ascii="Arial" w:hAnsi="Arial" w:cs="Arial"/>
          <w:b/>
          <w:bCs/>
          <w:sz w:val="20"/>
          <w:lang w:val="en-US"/>
        </w:rPr>
        <w:t>F</w:t>
      </w:r>
      <w:proofErr w:type="gramStart"/>
      <w:r>
        <w:rPr>
          <w:rFonts w:ascii="Arial" w:hAnsi="Arial" w:cs="Arial"/>
          <w:b/>
          <w:bCs/>
          <w:sz w:val="20"/>
          <w:lang w:val="en-US"/>
        </w:rPr>
        <w:t>]PI</w:t>
      </w:r>
      <w:proofErr w:type="gramEnd"/>
      <w:r>
        <w:rPr>
          <w:rFonts w:ascii="Arial" w:hAnsi="Arial" w:cs="Arial"/>
          <w:b/>
          <w:bCs/>
          <w:sz w:val="20"/>
          <w:lang w:val="en-US"/>
        </w:rPr>
        <w:t xml:space="preserve">-2620 </w:t>
      </w:r>
      <w:r>
        <w:rPr>
          <w:rFonts w:ascii="Arial" w:hAnsi="Arial" w:cs="Arial"/>
          <w:b/>
          <w:sz w:val="20"/>
          <w:lang w:val="en-US"/>
        </w:rPr>
        <w:t>imaging windows with 0-60 distribution volume ratios (DVR) for all brain regions.</w:t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SUVr</w:t>
      </w:r>
      <w:proofErr w:type="spellEnd"/>
      <w:r>
        <w:rPr>
          <w:rFonts w:ascii="Arial" w:hAnsi="Arial" w:cs="Arial"/>
          <w:sz w:val="20"/>
          <w:lang w:val="en-US"/>
        </w:rPr>
        <w:t xml:space="preserve"> = standardized uptake value ratio;</w:t>
      </w:r>
      <w:r>
        <w:rPr>
          <w:rFonts w:ascii="Arial" w:hAnsi="Arial" w:cs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GPe</w:t>
      </w:r>
      <w:proofErr w:type="spellEnd"/>
      <w:r>
        <w:rPr>
          <w:rFonts w:ascii="Arial" w:hAnsi="Arial" w:cs="Arial"/>
          <w:sz w:val="20"/>
          <w:lang w:val="en-US"/>
        </w:rPr>
        <w:t xml:space="preserve"> = </w:t>
      </w:r>
      <w:proofErr w:type="spellStart"/>
      <w:r>
        <w:rPr>
          <w:rFonts w:ascii="Arial" w:hAnsi="Arial" w:cs="Arial"/>
          <w:sz w:val="20"/>
          <w:lang w:val="en-US"/>
        </w:rPr>
        <w:t>globus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pallidus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externus</w:t>
      </w:r>
      <w:proofErr w:type="spellEnd"/>
      <w:r>
        <w:rPr>
          <w:rFonts w:ascii="Arial" w:hAnsi="Arial" w:cs="Arial"/>
          <w:sz w:val="20"/>
          <w:lang w:val="en-US"/>
        </w:rPr>
        <w:t xml:space="preserve">; </w:t>
      </w:r>
      <w:proofErr w:type="spellStart"/>
      <w:r>
        <w:rPr>
          <w:rFonts w:ascii="Arial" w:hAnsi="Arial" w:cs="Arial"/>
          <w:sz w:val="20"/>
          <w:lang w:val="en-US"/>
        </w:rPr>
        <w:t>GPi</w:t>
      </w:r>
      <w:proofErr w:type="spellEnd"/>
      <w:r>
        <w:rPr>
          <w:rFonts w:ascii="Arial" w:hAnsi="Arial" w:cs="Arial"/>
          <w:sz w:val="20"/>
          <w:lang w:val="en-US"/>
        </w:rPr>
        <w:t xml:space="preserve"> = </w:t>
      </w:r>
      <w:proofErr w:type="spellStart"/>
      <w:r>
        <w:rPr>
          <w:rFonts w:ascii="Arial" w:hAnsi="Arial" w:cs="Arial"/>
          <w:sz w:val="20"/>
          <w:lang w:val="en-US"/>
        </w:rPr>
        <w:t>globus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pallidus</w:t>
      </w:r>
      <w:proofErr w:type="spellEnd"/>
      <w:r>
        <w:rPr>
          <w:rFonts w:ascii="Arial" w:hAnsi="Arial" w:cs="Arial"/>
          <w:sz w:val="20"/>
          <w:lang w:val="en-US"/>
        </w:rPr>
        <w:t xml:space="preserve"> internus; PUT = putamen; STN = subthalamic nucleus; SN = substantia nigra; DMB = dorsal midbrain; MPFC = medial prefrontal cortex; DLPFC = dorsolateral prefrontal cortex; DN = dentate nucleus; RMSE = root-mean-square-error; R = Pearson’s correlation coefficient</w:t>
      </w:r>
    </w:p>
    <w:p w14:paraId="5044C218" w14:textId="5B42D1D6" w:rsidR="0033770B" w:rsidRPr="004465AC" w:rsidRDefault="0033770B">
      <w:pPr>
        <w:spacing w:line="480" w:lineRule="auto"/>
        <w:jc w:val="both"/>
        <w:rPr>
          <w:noProof/>
          <w:lang w:val="en-US"/>
        </w:rPr>
      </w:pPr>
    </w:p>
    <w:p w14:paraId="2D78DECD" w14:textId="11083312" w:rsidR="004465AC" w:rsidRPr="004465AC" w:rsidRDefault="004465AC">
      <w:pPr>
        <w:spacing w:line="480" w:lineRule="auto"/>
        <w:jc w:val="both"/>
        <w:rPr>
          <w:noProof/>
          <w:lang w:val="en-US"/>
        </w:rPr>
      </w:pPr>
    </w:p>
    <w:p w14:paraId="029BEFCB" w14:textId="334ADF57" w:rsidR="004465AC" w:rsidRPr="004465AC" w:rsidRDefault="004465AC">
      <w:pPr>
        <w:spacing w:line="480" w:lineRule="auto"/>
        <w:jc w:val="both"/>
        <w:rPr>
          <w:noProof/>
          <w:lang w:val="en-US"/>
        </w:rPr>
      </w:pPr>
    </w:p>
    <w:p w14:paraId="5A66E6F8" w14:textId="38B7AB2F" w:rsidR="004465AC" w:rsidRPr="004465AC" w:rsidRDefault="004465AC">
      <w:pPr>
        <w:spacing w:line="480" w:lineRule="auto"/>
        <w:jc w:val="both"/>
        <w:rPr>
          <w:noProof/>
          <w:lang w:val="en-US"/>
        </w:rPr>
      </w:pPr>
    </w:p>
    <w:p w14:paraId="792F03E9" w14:textId="1BB5F9AF" w:rsidR="004465AC" w:rsidRDefault="004465AC">
      <w:pPr>
        <w:spacing w:line="480" w:lineRule="auto"/>
        <w:jc w:val="both"/>
        <w:rPr>
          <w:noProof/>
          <w:lang w:val="en-US"/>
        </w:rPr>
      </w:pPr>
    </w:p>
    <w:p w14:paraId="2F3861C0" w14:textId="210ADEEA" w:rsidR="004465AC" w:rsidRDefault="004465AC">
      <w:pPr>
        <w:spacing w:line="480" w:lineRule="auto"/>
        <w:jc w:val="both"/>
        <w:rPr>
          <w:noProof/>
          <w:lang w:val="en-US"/>
        </w:rPr>
      </w:pPr>
    </w:p>
    <w:p w14:paraId="39167A85" w14:textId="2E670D0B" w:rsidR="004465AC" w:rsidRDefault="004465AC">
      <w:pPr>
        <w:spacing w:line="480" w:lineRule="auto"/>
        <w:jc w:val="both"/>
        <w:rPr>
          <w:noProof/>
          <w:lang w:val="en-US"/>
        </w:rPr>
      </w:pPr>
    </w:p>
    <w:p w14:paraId="426C38D6" w14:textId="4CCD3B6A" w:rsidR="004465AC" w:rsidRDefault="004465AC">
      <w:pPr>
        <w:spacing w:line="480" w:lineRule="auto"/>
        <w:jc w:val="both"/>
        <w:rPr>
          <w:noProof/>
          <w:lang w:val="en-US"/>
        </w:rPr>
      </w:pPr>
    </w:p>
    <w:p w14:paraId="786D2AE5" w14:textId="77777777" w:rsidR="004465AC" w:rsidRPr="004465AC" w:rsidRDefault="004465AC">
      <w:pPr>
        <w:spacing w:line="480" w:lineRule="auto"/>
        <w:jc w:val="both"/>
        <w:rPr>
          <w:noProof/>
          <w:lang w:val="en-US"/>
        </w:rPr>
      </w:pPr>
    </w:p>
    <w:p w14:paraId="78D6EA4F" w14:textId="77777777" w:rsidR="0033770B" w:rsidRDefault="004465AC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793B7271" wp14:editId="78A2446B">
            <wp:extent cx="5943600" cy="7120715"/>
            <wp:effectExtent l="0" t="0" r="0" b="4445"/>
            <wp:docPr id="3" name="Grafik 3" descr="C:\Users\mabrende\AppData\Local\Microsoft\Windows\INetCache\Content.Word\RMSE per reg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brende\AppData\Local\Microsoft\Windows\INetCache\Content.Word\RMSE per reg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BF80" w14:textId="5C40C668" w:rsidR="0033770B" w:rsidRDefault="004465AC">
      <w:pPr>
        <w:pStyle w:val="BodyTextIndent"/>
        <w:spacing w:line="276" w:lineRule="auto"/>
        <w:ind w:firstLine="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t xml:space="preserve">Supplemental Figure </w:t>
      </w:r>
      <w:r w:rsidR="00AB4FF5">
        <w:rPr>
          <w:rFonts w:ascii="Arial" w:hAnsi="Arial" w:cs="Arial"/>
          <w:b/>
          <w:sz w:val="20"/>
          <w:lang w:val="en-US"/>
        </w:rPr>
        <w:t>4</w:t>
      </w:r>
      <w:r>
        <w:rPr>
          <w:rFonts w:ascii="Arial" w:hAnsi="Arial" w:cs="Arial"/>
          <w:b/>
          <w:sz w:val="20"/>
          <w:lang w:val="en-US"/>
        </w:rPr>
        <w:t xml:space="preserve">: Illustration of root-mean-square-errors (RMSE) in all brain regions for different dynamic and static </w:t>
      </w:r>
      <w:r>
        <w:rPr>
          <w:rFonts w:ascii="Arial" w:hAnsi="Arial" w:cs="Arial"/>
          <w:b/>
          <w:bCs/>
          <w:sz w:val="20"/>
          <w:lang w:val="en-US"/>
        </w:rPr>
        <w:t>[</w:t>
      </w:r>
      <w:r>
        <w:rPr>
          <w:rFonts w:ascii="Arial" w:hAnsi="Arial" w:cs="Arial"/>
          <w:b/>
          <w:bCs/>
          <w:sz w:val="20"/>
          <w:vertAlign w:val="superscript"/>
          <w:lang w:val="en-US"/>
        </w:rPr>
        <w:t>18</w:t>
      </w:r>
      <w:r>
        <w:rPr>
          <w:rFonts w:ascii="Arial" w:hAnsi="Arial" w:cs="Arial"/>
          <w:b/>
          <w:bCs/>
          <w:sz w:val="20"/>
          <w:lang w:val="en-US"/>
        </w:rPr>
        <w:t>F</w:t>
      </w:r>
      <w:proofErr w:type="gramStart"/>
      <w:r>
        <w:rPr>
          <w:rFonts w:ascii="Arial" w:hAnsi="Arial" w:cs="Arial"/>
          <w:b/>
          <w:bCs/>
          <w:sz w:val="20"/>
          <w:lang w:val="en-US"/>
        </w:rPr>
        <w:t>]PI</w:t>
      </w:r>
      <w:proofErr w:type="gramEnd"/>
      <w:r>
        <w:rPr>
          <w:rFonts w:ascii="Arial" w:hAnsi="Arial" w:cs="Arial"/>
          <w:b/>
          <w:bCs/>
          <w:sz w:val="20"/>
          <w:lang w:val="en-US"/>
        </w:rPr>
        <w:t xml:space="preserve">-2620 </w:t>
      </w:r>
      <w:r>
        <w:rPr>
          <w:rFonts w:ascii="Arial" w:hAnsi="Arial" w:cs="Arial"/>
          <w:b/>
          <w:sz w:val="20"/>
          <w:lang w:val="en-US"/>
        </w:rPr>
        <w:t>imaging windows.</w:t>
      </w:r>
      <w:r>
        <w:rPr>
          <w:rFonts w:ascii="Arial" w:hAnsi="Arial" w:cs="Arial"/>
          <w:sz w:val="20"/>
          <w:lang w:val="en-US"/>
        </w:rPr>
        <w:t xml:space="preserve"> DVR = distribution volume ratio; </w:t>
      </w:r>
      <w:proofErr w:type="spellStart"/>
      <w:r>
        <w:rPr>
          <w:rFonts w:ascii="Arial" w:hAnsi="Arial" w:cs="Arial"/>
          <w:sz w:val="20"/>
          <w:lang w:val="en-US"/>
        </w:rPr>
        <w:t>SUVr</w:t>
      </w:r>
      <w:proofErr w:type="spellEnd"/>
      <w:r>
        <w:rPr>
          <w:rFonts w:ascii="Arial" w:hAnsi="Arial" w:cs="Arial"/>
          <w:sz w:val="20"/>
          <w:lang w:val="en-US"/>
        </w:rPr>
        <w:t xml:space="preserve"> = standardized uptake value ratio;</w:t>
      </w:r>
      <w:r>
        <w:rPr>
          <w:rFonts w:ascii="Arial" w:hAnsi="Arial" w:cs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GPe</w:t>
      </w:r>
      <w:proofErr w:type="spellEnd"/>
      <w:r>
        <w:rPr>
          <w:rFonts w:ascii="Arial" w:hAnsi="Arial" w:cs="Arial"/>
          <w:sz w:val="20"/>
          <w:lang w:val="en-US"/>
        </w:rPr>
        <w:t xml:space="preserve"> = </w:t>
      </w:r>
      <w:proofErr w:type="spellStart"/>
      <w:r>
        <w:rPr>
          <w:rFonts w:ascii="Arial" w:hAnsi="Arial" w:cs="Arial"/>
          <w:sz w:val="20"/>
          <w:lang w:val="en-US"/>
        </w:rPr>
        <w:t>globus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pallidus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externus</w:t>
      </w:r>
      <w:proofErr w:type="spellEnd"/>
      <w:r>
        <w:rPr>
          <w:rFonts w:ascii="Arial" w:hAnsi="Arial" w:cs="Arial"/>
          <w:sz w:val="20"/>
          <w:lang w:val="en-US"/>
        </w:rPr>
        <w:t xml:space="preserve">; </w:t>
      </w:r>
      <w:proofErr w:type="spellStart"/>
      <w:r>
        <w:rPr>
          <w:rFonts w:ascii="Arial" w:hAnsi="Arial" w:cs="Arial"/>
          <w:sz w:val="20"/>
          <w:lang w:val="en-US"/>
        </w:rPr>
        <w:t>GPi</w:t>
      </w:r>
      <w:proofErr w:type="spellEnd"/>
      <w:r>
        <w:rPr>
          <w:rFonts w:ascii="Arial" w:hAnsi="Arial" w:cs="Arial"/>
          <w:sz w:val="20"/>
          <w:lang w:val="en-US"/>
        </w:rPr>
        <w:t xml:space="preserve"> = </w:t>
      </w:r>
      <w:proofErr w:type="spellStart"/>
      <w:r>
        <w:rPr>
          <w:rFonts w:ascii="Arial" w:hAnsi="Arial" w:cs="Arial"/>
          <w:sz w:val="20"/>
          <w:lang w:val="en-US"/>
        </w:rPr>
        <w:t>globus</w:t>
      </w:r>
      <w:proofErr w:type="spellEnd"/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lang w:val="en-US"/>
        </w:rPr>
        <w:t>pallidus</w:t>
      </w:r>
      <w:proofErr w:type="spellEnd"/>
      <w:r>
        <w:rPr>
          <w:rFonts w:ascii="Arial" w:hAnsi="Arial" w:cs="Arial"/>
          <w:sz w:val="20"/>
          <w:lang w:val="en-US"/>
        </w:rPr>
        <w:t xml:space="preserve"> internus; PUT = putamen; STN = subthalamic nucleus; SN = substantia nigra; DMB = dorsal midbrain; MPFC = medial prefrontal cortex; DLPFC = dorsolateral prefrontal cortex; DN = dentate nucleus; RMSE = root-mean-square-error</w:t>
      </w:r>
    </w:p>
    <w:p w14:paraId="40AA736E" w14:textId="77777777" w:rsidR="0033770B" w:rsidRPr="004465AC" w:rsidRDefault="0033770B">
      <w:pPr>
        <w:rPr>
          <w:lang w:val="en-US"/>
        </w:rPr>
      </w:pPr>
    </w:p>
    <w:sectPr w:rsidR="0033770B" w:rsidRPr="004465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0B"/>
    <w:rsid w:val="0033770B"/>
    <w:rsid w:val="004465AC"/>
    <w:rsid w:val="009E0246"/>
    <w:rsid w:val="00A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C8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uppressAutoHyphens/>
      <w:spacing w:line="360" w:lineRule="auto"/>
      <w:ind w:firstLine="709"/>
      <w:jc w:val="both"/>
    </w:pPr>
    <w:rPr>
      <w:szCs w:val="20"/>
      <w:lang w:val="en-GB" w:eastAsia="ar-SA"/>
    </w:r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46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uppressAutoHyphens/>
      <w:spacing w:line="360" w:lineRule="auto"/>
      <w:ind w:firstLine="709"/>
      <w:jc w:val="both"/>
    </w:pPr>
    <w:rPr>
      <w:szCs w:val="20"/>
      <w:lang w:val="en-GB" w:eastAsia="ar-SA"/>
    </w:rPr>
  </w:style>
  <w:style w:type="character" w:customStyle="1" w:styleId="BodyTextIndentChar">
    <w:name w:val="Body Text Indent Char"/>
    <w:basedOn w:val="DefaultParagraphFont"/>
    <w:link w:val="BodyTextIndent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2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24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der Universitaet Muenchen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mabrende</dc:creator>
  <cp:keywords/>
  <dc:description/>
  <cp:lastModifiedBy>Agir Jr., Julius</cp:lastModifiedBy>
  <cp:revision>3</cp:revision>
  <dcterms:created xsi:type="dcterms:W3CDTF">2021-04-11T19:34:00Z</dcterms:created>
  <dcterms:modified xsi:type="dcterms:W3CDTF">2021-05-21T00:08:00Z</dcterms:modified>
</cp:coreProperties>
</file>