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Supplementary Table </w:t>
      </w:r>
      <w:proofErr w:type="gramStart"/>
      <w:r>
        <w:rPr>
          <w:rFonts w:ascii="Arial" w:hAnsi="Arial" w:cs="Arial"/>
          <w:b/>
          <w:bCs/>
          <w:color w:val="000000" w:themeColor="text1"/>
          <w:lang w:val="en-US"/>
        </w:rPr>
        <w:t>1 .</w:t>
      </w:r>
      <w:proofErr w:type="gram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Multivariable regression analysis models for death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519"/>
        <w:gridCol w:w="736"/>
        <w:gridCol w:w="1134"/>
        <w:gridCol w:w="992"/>
        <w:gridCol w:w="1842"/>
        <w:gridCol w:w="1839"/>
      </w:tblGrid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bookmarkStart w:id="0" w:name="_Hlk63256440"/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Predictor</w:t>
            </w:r>
            <w:proofErr w:type="spellEnd"/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95% CI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p-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842" w:type="dxa"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Chi-Square (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sig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39" w:type="dxa"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∆Chi-Square (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sig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>
        <w:trPr>
          <w:trHeight w:val="249"/>
        </w:trPr>
        <w:tc>
          <w:tcPr>
            <w:tcW w:w="5381" w:type="dxa"/>
            <w:gridSpan w:val="4"/>
            <w:shd w:val="clear" w:color="auto" w:fill="AEAAAA" w:themeFill="background2" w:themeFillShade="B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Model 1</w:t>
            </w:r>
          </w:p>
        </w:tc>
        <w:tc>
          <w:tcPr>
            <w:tcW w:w="1842" w:type="dxa"/>
            <w:vMerge w:val="restart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18.26 (p=0.003)</w:t>
            </w:r>
          </w:p>
        </w:tc>
        <w:tc>
          <w:tcPr>
            <w:tcW w:w="1839" w:type="dxa"/>
            <w:vMerge w:val="restart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18.26 (p=0.003)</w:t>
            </w: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1.01-1.11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Semiquantitative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scar</w:t>
            </w:r>
            <w:proofErr w:type="spellEnd"/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1.36</w:t>
            </w:r>
            <w:bookmarkStart w:id="1" w:name="_GoBack"/>
            <w:bookmarkEnd w:id="1"/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0.49-3.76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0.551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Global MFR (per 1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increase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0.86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0.36-1.94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0.721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&lt; 2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de-CH"/>
              </w:rPr>
              <w:t>ml/min/g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0.54-4.73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0.393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Regional MFR &lt; 2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3.08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0.51-18.72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0.223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5381" w:type="dxa"/>
            <w:gridSpan w:val="4"/>
            <w:shd w:val="clear" w:color="auto" w:fill="AEAAAA" w:themeFill="background2" w:themeFillShade="B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Model 2</w:t>
            </w:r>
          </w:p>
        </w:tc>
        <w:tc>
          <w:tcPr>
            <w:tcW w:w="1842" w:type="dxa"/>
            <w:vMerge w:val="restart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18.14 (p=0.001)</w:t>
            </w:r>
          </w:p>
        </w:tc>
        <w:tc>
          <w:tcPr>
            <w:tcW w:w="1839" w:type="dxa"/>
            <w:vMerge w:val="restart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0.12 (p=0.719)</w:t>
            </w: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1.01-1.11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0.029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Semiquantitative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scar</w:t>
            </w:r>
            <w:proofErr w:type="spellEnd"/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1.39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0.51-3.81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0.517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&lt; 2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de-CH"/>
              </w:rPr>
              <w:t>ml/min/g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1.71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0.61-4.75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0.308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Regional MFR &lt; 2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3.8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0.79-18.34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0.096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5381" w:type="dxa"/>
            <w:gridSpan w:val="4"/>
            <w:shd w:val="clear" w:color="auto" w:fill="AEAAAA" w:themeFill="background2" w:themeFillShade="B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Model 3</w:t>
            </w:r>
          </w:p>
        </w:tc>
        <w:tc>
          <w:tcPr>
            <w:tcW w:w="1842" w:type="dxa"/>
            <w:vMerge w:val="restart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17.73 (p=0.001)</w:t>
            </w:r>
          </w:p>
        </w:tc>
        <w:tc>
          <w:tcPr>
            <w:tcW w:w="1839" w:type="dxa"/>
            <w:vMerge w:val="restart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0.41 (p=0.524)</w:t>
            </w: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1.01-1.12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&lt; 2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de-CH"/>
              </w:rPr>
              <w:t>ml/min/g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1.85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0.69-4.96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0.222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Regional MFR &lt; 2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3.48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0.72-16.71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0.119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5381" w:type="dxa"/>
            <w:gridSpan w:val="4"/>
            <w:shd w:val="clear" w:color="auto" w:fill="A6A6A6" w:themeFill="background1" w:themeFillShade="A6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Model 4</w:t>
            </w:r>
          </w:p>
        </w:tc>
        <w:tc>
          <w:tcPr>
            <w:tcW w:w="1842" w:type="dxa"/>
            <w:vMerge w:val="restart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16.15 (p&lt;0.001)</w:t>
            </w:r>
          </w:p>
        </w:tc>
        <w:tc>
          <w:tcPr>
            <w:tcW w:w="1839" w:type="dxa"/>
            <w:vMerge w:val="restart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1.58 (p=0.208)</w:t>
            </w: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1.01-1.12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249"/>
        </w:trPr>
        <w:tc>
          <w:tcPr>
            <w:tcW w:w="251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2" w:name="_Hlk64366399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Regional MFR &lt; 2</w:t>
            </w:r>
          </w:p>
        </w:tc>
        <w:tc>
          <w:tcPr>
            <w:tcW w:w="736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4.72</w:t>
            </w:r>
          </w:p>
        </w:tc>
        <w:tc>
          <w:tcPr>
            <w:tcW w:w="1134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1.07-20.7</w:t>
            </w:r>
          </w:p>
        </w:tc>
        <w:tc>
          <w:tcPr>
            <w:tcW w:w="992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1842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bookmarkEnd w:id="0"/>
    <w:bookmarkEnd w:id="2"/>
    <w:p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A stepwise backward conditional approach </w:t>
      </w:r>
      <w:proofErr w:type="gramStart"/>
      <w:r>
        <w:rPr>
          <w:rFonts w:ascii="Arial" w:hAnsi="Arial" w:cs="Arial"/>
          <w:color w:val="000000" w:themeColor="text1"/>
          <w:sz w:val="18"/>
          <w:szCs w:val="18"/>
          <w:lang w:val="en-US"/>
        </w:rPr>
        <w:t>was applied</w:t>
      </w:r>
      <w:proofErr w:type="gramEnd"/>
      <w:r>
        <w:rPr>
          <w:rFonts w:ascii="Arial" w:hAnsi="Arial" w:cs="Arial"/>
          <w:color w:val="000000" w:themeColor="text1"/>
          <w:sz w:val="18"/>
          <w:szCs w:val="18"/>
          <w:lang w:val="en-US"/>
        </w:rPr>
        <w:t>. Significant predictor variables in univariable analysis were included in model 1. In each subsequent model, the non-significant variable with the highest p-value was excluded. Overall model fit compared to the null model is given by chi-square values. ∆Chi-Square: Changes in the Chi-square values compared to the previous model. Sig: Significance.</w:t>
      </w:r>
    </w:p>
    <w:p>
      <w:pPr>
        <w:rPr>
          <w:color w:val="000000" w:themeColor="text1"/>
          <w:lang w:val="en-US"/>
        </w:rPr>
      </w:pPr>
    </w:p>
    <w:p>
      <w:pPr>
        <w:rPr>
          <w:rFonts w:ascii="Arial" w:eastAsia="Arial" w:hAnsi="Arial" w:cs="Times New Roman"/>
          <w:b/>
          <w:bCs/>
          <w:color w:val="000000" w:themeColor="text1"/>
          <w:lang w:val="en-US"/>
        </w:rPr>
      </w:pPr>
      <w:r>
        <w:rPr>
          <w:rFonts w:ascii="Arial" w:eastAsia="Arial" w:hAnsi="Arial" w:cs="Times New Roman"/>
          <w:b/>
          <w:bCs/>
          <w:color w:val="000000" w:themeColor="text1"/>
          <w:lang w:val="en-US"/>
        </w:rPr>
        <w:t>Supplementary Table 2. Events and incidence rates stratified by groups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1505"/>
        <w:gridCol w:w="1132"/>
        <w:gridCol w:w="1040"/>
        <w:gridCol w:w="1041"/>
        <w:gridCol w:w="1040"/>
        <w:gridCol w:w="1101"/>
        <w:gridCol w:w="1102"/>
        <w:gridCol w:w="1101"/>
      </w:tblGrid>
      <w:tr>
        <w:tc>
          <w:tcPr>
            <w:tcW w:w="2405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>All Patients (n=150)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>MFR Group 1 (n=52)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 xml:space="preserve">MFR Group 2 (n=49) 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>MFR Group 3 (n=49)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>hMBF</w:t>
            </w:r>
            <w:proofErr w:type="spellEnd"/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 xml:space="preserve"> Group 1 (n=34)</w:t>
            </w:r>
          </w:p>
        </w:tc>
        <w:tc>
          <w:tcPr>
            <w:tcW w:w="1560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>hMBF</w:t>
            </w:r>
            <w:proofErr w:type="spellEnd"/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 xml:space="preserve"> Group 2 (n=48)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>hMBF</w:t>
            </w:r>
            <w:proofErr w:type="spellEnd"/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US" w:eastAsia="de-CH"/>
              </w:rPr>
              <w:t xml:space="preserve"> Gr</w:t>
            </w: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de-CH"/>
              </w:rPr>
              <w:t>oup</w:t>
            </w:r>
            <w:proofErr w:type="spellEnd"/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de-CH"/>
              </w:rPr>
              <w:t xml:space="preserve"> 3 (n=68)</w:t>
            </w:r>
          </w:p>
        </w:tc>
      </w:tr>
      <w:tr>
        <w:tc>
          <w:tcPr>
            <w:tcW w:w="2405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MACE, n (%)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30 (20.0)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5 (9.6)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11 (22.4)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14 (28.6)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5 (14.7)</w:t>
            </w:r>
          </w:p>
        </w:tc>
        <w:tc>
          <w:tcPr>
            <w:tcW w:w="1560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9 (18.8)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16 (23.5)</w:t>
            </w:r>
          </w:p>
        </w:tc>
      </w:tr>
      <w:tr>
        <w:tc>
          <w:tcPr>
            <w:tcW w:w="2405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Annual MACE rate, %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3.7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1.6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4.7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5.6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2.5</w:t>
            </w:r>
          </w:p>
        </w:tc>
        <w:tc>
          <w:tcPr>
            <w:tcW w:w="1560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3.1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5.2</w:t>
            </w:r>
          </w:p>
        </w:tc>
      </w:tr>
      <w:tr>
        <w:tc>
          <w:tcPr>
            <w:tcW w:w="2405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Death, n (%)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21 (14.0)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2 (3.8)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8 (16.3)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11 (22.4)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4 (11.8)</w:t>
            </w:r>
          </w:p>
        </w:tc>
        <w:tc>
          <w:tcPr>
            <w:tcW w:w="1560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3 (6.3)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14 (20.6)</w:t>
            </w:r>
          </w:p>
        </w:tc>
      </w:tr>
      <w:tr>
        <w:tc>
          <w:tcPr>
            <w:tcW w:w="2405" w:type="dxa"/>
          </w:tcPr>
          <w:p>
            <w:pP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Annual death rate, %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2.5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0.6</w:t>
            </w:r>
          </w:p>
        </w:tc>
        <w:tc>
          <w:tcPr>
            <w:tcW w:w="1418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3.2</w:t>
            </w:r>
          </w:p>
        </w:tc>
        <w:tc>
          <w:tcPr>
            <w:tcW w:w="1417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4.1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1.9</w:t>
            </w:r>
          </w:p>
        </w:tc>
        <w:tc>
          <w:tcPr>
            <w:tcW w:w="1560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1.0</w:t>
            </w:r>
          </w:p>
        </w:tc>
        <w:tc>
          <w:tcPr>
            <w:tcW w:w="1559" w:type="dxa"/>
          </w:tcPr>
          <w:p>
            <w:pP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Times New Roman"/>
                <w:color w:val="000000" w:themeColor="text1"/>
                <w:sz w:val="18"/>
                <w:szCs w:val="18"/>
                <w:lang w:val="en-US"/>
              </w:rPr>
              <w:t>4.4</w:t>
            </w:r>
          </w:p>
        </w:tc>
      </w:tr>
    </w:tbl>
    <w:p>
      <w:pPr>
        <w:rPr>
          <w:color w:val="000000" w:themeColor="text1"/>
          <w:lang w:val="en-US"/>
        </w:rPr>
        <w:sectPr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>
      <w:pPr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lastRenderedPageBreak/>
        <w:t>Supplementary Table 3. Correlation of quantitative PET metrics</w:t>
      </w:r>
    </w:p>
    <w:tbl>
      <w:tblPr>
        <w:tblStyle w:val="Tabellenraster"/>
        <w:tblW w:w="12615" w:type="dxa"/>
        <w:tblLayout w:type="fixed"/>
        <w:tblLook w:val="04A0" w:firstRow="1" w:lastRow="0" w:firstColumn="1" w:lastColumn="0" w:noHBand="0" w:noVBand="1"/>
      </w:tblPr>
      <w:tblGrid>
        <w:gridCol w:w="1871"/>
        <w:gridCol w:w="1790"/>
        <w:gridCol w:w="1791"/>
        <w:gridCol w:w="1791"/>
        <w:gridCol w:w="1790"/>
        <w:gridCol w:w="1791"/>
        <w:gridCol w:w="1791"/>
      </w:tblGrid>
      <w:tr>
        <w:trPr>
          <w:trHeight w:val="414"/>
        </w:trPr>
        <w:tc>
          <w:tcPr>
            <w:tcW w:w="187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Global MFR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global MFR &lt; 2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Regional MFR &lt; 2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&lt; 2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US" w:eastAsia="de-CH"/>
              </w:rPr>
              <w:t>ml/min/g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Regional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&lt;2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de-CH"/>
              </w:rPr>
              <w:t>ml/min/g</w:t>
            </w:r>
          </w:p>
        </w:tc>
      </w:tr>
      <w:tr>
        <w:trPr>
          <w:trHeight w:val="414"/>
        </w:trPr>
        <w:tc>
          <w:tcPr>
            <w:tcW w:w="187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Global MFR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-0.667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-0.616 (p&lt;0.001)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0.471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-0.432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-0.290 (p&lt;0.001)</w:t>
            </w:r>
          </w:p>
        </w:tc>
      </w:tr>
      <w:tr>
        <w:trPr>
          <w:trHeight w:val="414"/>
        </w:trPr>
        <w:tc>
          <w:tcPr>
            <w:tcW w:w="187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global MFR &lt; 2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-0.667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0.507 (p&lt;0.001)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-0.363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0.394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0.241 (p=0.003)</w:t>
            </w:r>
          </w:p>
        </w:tc>
      </w:tr>
      <w:tr>
        <w:trPr>
          <w:trHeight w:val="414"/>
        </w:trPr>
        <w:tc>
          <w:tcPr>
            <w:tcW w:w="187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Regional MFR &lt; 2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-0.616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0.507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-0.441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0.466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0.375 (p&lt;0.001)</w:t>
            </w:r>
          </w:p>
        </w:tc>
      </w:tr>
      <w:tr>
        <w:trPr>
          <w:trHeight w:val="414"/>
        </w:trPr>
        <w:tc>
          <w:tcPr>
            <w:tcW w:w="187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0.471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-0.363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-0.441 (p&lt;0.001)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-0.708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-0.546 (p&lt;0.001)</w:t>
            </w:r>
          </w:p>
        </w:tc>
      </w:tr>
      <w:tr>
        <w:trPr>
          <w:trHeight w:val="414"/>
        </w:trPr>
        <w:tc>
          <w:tcPr>
            <w:tcW w:w="1871" w:type="dxa"/>
            <w:noWrap/>
            <w:hideMark/>
          </w:tcPr>
          <w:p>
            <w:pPr>
              <w:tabs>
                <w:tab w:val="center" w:pos="1458"/>
              </w:tabs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&lt; 2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US" w:eastAsia="de-CH"/>
              </w:rPr>
              <w:t>ml/min/g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-0.432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0.394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0.466 (p&lt;0.001)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-0.708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0.493 (p&lt;0.001)</w:t>
            </w:r>
          </w:p>
        </w:tc>
      </w:tr>
      <w:tr>
        <w:trPr>
          <w:trHeight w:val="414"/>
        </w:trPr>
        <w:tc>
          <w:tcPr>
            <w:tcW w:w="1871" w:type="dxa"/>
            <w:noWrap/>
            <w:hideMark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Regional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&lt; 2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de-CH"/>
              </w:rPr>
              <w:t>ml/min/g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-0.290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0.241 (p=0.003)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0.375 (p&lt;0.001)</w:t>
            </w:r>
          </w:p>
        </w:tc>
        <w:tc>
          <w:tcPr>
            <w:tcW w:w="1790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-0.546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0.493 (p&lt;0.001)</w:t>
            </w:r>
          </w:p>
        </w:tc>
        <w:tc>
          <w:tcPr>
            <w:tcW w:w="1791" w:type="dxa"/>
            <w:noWrap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The given values are correlation coefficients and, in parenthesis, p-values. Variables were tested for significant correlation using the </w:t>
      </w:r>
      <w:proofErr w:type="spellStart"/>
      <w:r>
        <w:rPr>
          <w:rFonts w:ascii="Arial" w:hAnsi="Arial" w:cs="Arial"/>
          <w:color w:val="000000" w:themeColor="text1"/>
          <w:sz w:val="18"/>
          <w:szCs w:val="18"/>
          <w:lang w:val="en-US"/>
        </w:rPr>
        <w:t>kendall</w:t>
      </w:r>
      <w:proofErr w:type="spellEnd"/>
      <w:r>
        <w:rPr>
          <w:rFonts w:ascii="Arial" w:hAnsi="Arial" w:cs="Arial"/>
          <w:color w:val="000000" w:themeColor="text1"/>
          <w:sz w:val="18"/>
          <w:szCs w:val="18"/>
          <w:lang w:val="en-US"/>
        </w:rPr>
        <w:t>-tau test.</w:t>
      </w:r>
    </w:p>
    <w:p>
      <w:pPr>
        <w:rPr>
          <w:color w:val="000000" w:themeColor="text1"/>
          <w:lang w:val="en-US"/>
        </w:rPr>
      </w:pPr>
    </w:p>
    <w:p>
      <w:pPr>
        <w:rPr>
          <w:color w:val="000000" w:themeColor="text1"/>
          <w:lang w:val="en-US"/>
        </w:rPr>
        <w:sectPr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>
      <w:pPr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lastRenderedPageBreak/>
        <w:t>Supplementary Table 4. Multicollinearity analysis of quantitative PET metrics for MACE and Death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69"/>
        <w:gridCol w:w="2186"/>
        <w:gridCol w:w="2102"/>
      </w:tblGrid>
      <w:tr>
        <w:trPr>
          <w:trHeight w:val="408"/>
        </w:trPr>
        <w:tc>
          <w:tcPr>
            <w:tcW w:w="2969" w:type="dxa"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2186" w:type="dxa"/>
            <w:noWrap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VIF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for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MACE</w:t>
            </w:r>
          </w:p>
        </w:tc>
        <w:tc>
          <w:tcPr>
            <w:tcW w:w="2102" w:type="dxa"/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VIF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for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Death</w:t>
            </w:r>
          </w:p>
        </w:tc>
      </w:tr>
      <w:tr>
        <w:trPr>
          <w:trHeight w:val="408"/>
        </w:trPr>
        <w:tc>
          <w:tcPr>
            <w:tcW w:w="296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Global MFR</w:t>
            </w:r>
          </w:p>
        </w:tc>
        <w:tc>
          <w:tcPr>
            <w:tcW w:w="2186" w:type="dxa"/>
            <w:noWrap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2102" w:type="dxa"/>
            <w:shd w:val="clear" w:color="000000" w:fill="FFFFF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3.6</w:t>
            </w:r>
          </w:p>
        </w:tc>
      </w:tr>
      <w:tr>
        <w:trPr>
          <w:trHeight w:val="408"/>
        </w:trPr>
        <w:tc>
          <w:tcPr>
            <w:tcW w:w="2969" w:type="dxa"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Global MFR &lt; 2</w:t>
            </w:r>
          </w:p>
        </w:tc>
        <w:tc>
          <w:tcPr>
            <w:tcW w:w="2186" w:type="dxa"/>
            <w:noWrap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2102" w:type="dxa"/>
            <w:shd w:val="clear" w:color="000000" w:fill="FFFFF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1.9</w:t>
            </w:r>
          </w:p>
        </w:tc>
      </w:tr>
      <w:tr>
        <w:trPr>
          <w:trHeight w:val="408"/>
        </w:trPr>
        <w:tc>
          <w:tcPr>
            <w:tcW w:w="296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Regional MFR &lt; 2</w:t>
            </w:r>
          </w:p>
        </w:tc>
        <w:tc>
          <w:tcPr>
            <w:tcW w:w="2186" w:type="dxa"/>
            <w:noWrap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2102" w:type="dxa"/>
            <w:shd w:val="clear" w:color="000000" w:fill="FFFFF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2.1</w:t>
            </w:r>
          </w:p>
        </w:tc>
      </w:tr>
      <w:tr>
        <w:trPr>
          <w:trHeight w:val="408"/>
        </w:trPr>
        <w:tc>
          <w:tcPr>
            <w:tcW w:w="2969" w:type="dxa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</w:p>
        </w:tc>
        <w:tc>
          <w:tcPr>
            <w:tcW w:w="2186" w:type="dxa"/>
            <w:noWrap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4.6</w:t>
            </w:r>
          </w:p>
        </w:tc>
        <w:tc>
          <w:tcPr>
            <w:tcW w:w="2102" w:type="dxa"/>
            <w:shd w:val="clear" w:color="000000" w:fill="FFFFF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4.6</w:t>
            </w:r>
          </w:p>
        </w:tc>
      </w:tr>
      <w:tr>
        <w:trPr>
          <w:trHeight w:val="408"/>
        </w:trPr>
        <w:tc>
          <w:tcPr>
            <w:tcW w:w="2969" w:type="dxa"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Global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&lt; 2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US" w:eastAsia="de-CH"/>
              </w:rPr>
              <w:t>ml/min/g</w:t>
            </w:r>
          </w:p>
        </w:tc>
        <w:tc>
          <w:tcPr>
            <w:tcW w:w="2186" w:type="dxa"/>
            <w:noWrap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2102" w:type="dxa"/>
            <w:shd w:val="clear" w:color="000000" w:fill="FFFFF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2.8</w:t>
            </w:r>
          </w:p>
        </w:tc>
      </w:tr>
      <w:tr>
        <w:trPr>
          <w:trHeight w:val="408"/>
        </w:trPr>
        <w:tc>
          <w:tcPr>
            <w:tcW w:w="2969" w:type="dxa"/>
            <w:hideMark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Regional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hMBF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&lt; 2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de-CH"/>
              </w:rPr>
              <w:t>ml/min/g</w:t>
            </w:r>
          </w:p>
        </w:tc>
        <w:tc>
          <w:tcPr>
            <w:tcW w:w="2186" w:type="dxa"/>
            <w:noWrap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2102" w:type="dxa"/>
            <w:shd w:val="clear" w:color="000000" w:fill="FFFFFF"/>
          </w:tcPr>
          <w:p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1.9</w:t>
            </w:r>
          </w:p>
        </w:tc>
      </w:tr>
    </w:tbl>
    <w:p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The given values are variation inflation factors (VIF). All listed variables were included in the model, while the dependent variable was MACE-free and overall survival. </w:t>
      </w:r>
    </w:p>
    <w:p>
      <w:pPr>
        <w:rPr>
          <w:color w:val="000000" w:themeColor="text1"/>
          <w:lang w:val="en-US"/>
        </w:rPr>
      </w:pPr>
    </w:p>
    <w:p>
      <w:pPr>
        <w:rPr>
          <w:color w:val="000000" w:themeColor="text1"/>
          <w:lang w:val="en-US"/>
        </w:rPr>
      </w:pPr>
    </w:p>
    <w:p>
      <w:pPr>
        <w:rPr>
          <w:rFonts w:ascii="Arial" w:eastAsia="Arial" w:hAnsi="Arial" w:cs="Times New Roman"/>
          <w:b/>
          <w:bCs/>
          <w:color w:val="000000" w:themeColor="text1"/>
          <w:lang w:val="en-US"/>
        </w:rPr>
      </w:pPr>
    </w:p>
    <w:p>
      <w:pPr>
        <w:rPr>
          <w:color w:val="000000" w:themeColor="text1"/>
          <w:lang w:val="en-US"/>
        </w:rPr>
      </w:pP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2N7MwNDIyNDQ2MDNT0lEKTi0uzszPAykwNK4FAEjFCW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w95dpzfx50toerpv759aff5prs0svtxrxs&quot;&gt;Literaturdatenbank_Basic&lt;record-ids&gt;&lt;item&gt;78&lt;/item&gt;&lt;/record-ids&gt;&lt;/item&gt;&lt;/Libraries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D1E0C5-6419-4722-BF03-12823D7F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Pr>
      <w:rFonts w:ascii="Calibri" w:hAnsi="Calibri" w:cs="Calibri"/>
      <w:noProof/>
      <w:lang w:val="en-US"/>
    </w:rPr>
  </w:style>
  <w:style w:type="table" w:customStyle="1" w:styleId="Tabellenraster1">
    <w:name w:val="Tabellenraster1"/>
    <w:basedOn w:val="NormaleTabelle"/>
    <w:next w:val="Tabellenraster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 von Felten</dc:creator>
  <cp:keywords/>
  <dc:description/>
  <cp:lastModifiedBy>Büchel Ronny</cp:lastModifiedBy>
  <cp:revision>21</cp:revision>
  <dcterms:created xsi:type="dcterms:W3CDTF">2021-05-13T13:11:00Z</dcterms:created>
  <dcterms:modified xsi:type="dcterms:W3CDTF">2021-05-18T09:27:00Z</dcterms:modified>
</cp:coreProperties>
</file>