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B9753" w14:textId="3CAB8CDE" w:rsidR="002D16A0" w:rsidRDefault="002D16A0" w:rsidP="009F4090">
      <w:pPr>
        <w:spacing w:line="360" w:lineRule="auto"/>
        <w:jc w:val="both"/>
        <w:rPr>
          <w:rFonts w:asciiTheme="minorHAnsi" w:hAnsiTheme="minorHAnsi" w:cstheme="minorHAnsi"/>
          <w:b/>
          <w:iCs/>
          <w:lang w:val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iCs/>
          <w:lang w:val="en-US"/>
        </w:rPr>
        <w:t>SUPPLEMENT</w:t>
      </w:r>
    </w:p>
    <w:p w14:paraId="258BE33A" w14:textId="23CC6266" w:rsidR="009F4090" w:rsidRDefault="002D16A0" w:rsidP="009F4090">
      <w:pPr>
        <w:spacing w:line="360" w:lineRule="auto"/>
        <w:jc w:val="both"/>
        <w:rPr>
          <w:rFonts w:asciiTheme="minorHAnsi" w:hAnsiTheme="minorHAnsi" w:cstheme="minorHAnsi"/>
          <w:bCs/>
          <w:iCs/>
          <w:lang w:val="en-US"/>
        </w:rPr>
      </w:pPr>
      <w:r>
        <w:rPr>
          <w:rFonts w:asciiTheme="minorHAnsi" w:hAnsiTheme="minorHAnsi" w:cstheme="minorHAnsi"/>
          <w:b/>
          <w:iCs/>
          <w:lang w:val="en-US"/>
        </w:rPr>
        <w:t>Table</w:t>
      </w:r>
      <w:r w:rsidR="008D3D34">
        <w:rPr>
          <w:rFonts w:asciiTheme="minorHAnsi" w:hAnsiTheme="minorHAnsi" w:cstheme="minorHAnsi"/>
          <w:b/>
          <w:iCs/>
          <w:lang w:val="en-US"/>
        </w:rPr>
        <w:t xml:space="preserve"> 1</w:t>
      </w:r>
      <w:r w:rsidR="00EF042B">
        <w:rPr>
          <w:rFonts w:asciiTheme="minorHAnsi" w:hAnsiTheme="minorHAnsi" w:cstheme="minorHAnsi"/>
          <w:bCs/>
          <w:iCs/>
          <w:lang w:val="en-US"/>
        </w:rPr>
        <w:t>. Change of managemen</w:t>
      </w:r>
      <w:r w:rsidR="003304D5">
        <w:rPr>
          <w:rFonts w:asciiTheme="minorHAnsi" w:hAnsiTheme="minorHAnsi" w:cstheme="minorHAnsi"/>
          <w:bCs/>
          <w:iCs/>
          <w:lang w:val="en-US"/>
        </w:rPr>
        <w:t>t criteria</w:t>
      </w:r>
      <w:r w:rsidR="00EF042B">
        <w:rPr>
          <w:rFonts w:asciiTheme="minorHAnsi" w:hAnsiTheme="minorHAnsi" w:cstheme="minorHAnsi"/>
          <w:bCs/>
          <w:iCs/>
          <w:lang w:val="en-US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023"/>
        <w:gridCol w:w="3396"/>
      </w:tblGrid>
      <w:tr w:rsidR="00EF042B" w:rsidRPr="008942BB" w14:paraId="03549BC1" w14:textId="77777777" w:rsidTr="002C5FCE">
        <w:tc>
          <w:tcPr>
            <w:tcW w:w="3209" w:type="dxa"/>
          </w:tcPr>
          <w:p w14:paraId="42D0E2CF" w14:textId="0F43AB75" w:rsidR="00EF042B" w:rsidRPr="008942BB" w:rsidRDefault="00EF042B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/>
                <w:iCs/>
                <w:lang w:val="en-US"/>
              </w:rPr>
            </w:pPr>
            <w:r w:rsidRPr="008942BB">
              <w:rPr>
                <w:rFonts w:asciiTheme="minorHAnsi" w:hAnsiTheme="minorHAnsi" w:cstheme="minorHAnsi"/>
                <w:b/>
                <w:iCs/>
                <w:lang w:val="en-US"/>
              </w:rPr>
              <w:t>Clinical Setting</w:t>
            </w:r>
          </w:p>
        </w:tc>
        <w:tc>
          <w:tcPr>
            <w:tcW w:w="3023" w:type="dxa"/>
          </w:tcPr>
          <w:p w14:paraId="629A0819" w14:textId="5266CA55" w:rsidR="00EF042B" w:rsidRPr="008942BB" w:rsidRDefault="007D15C6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/>
                <w:iCs/>
                <w:lang w:val="en-US"/>
              </w:rPr>
            </w:pPr>
            <w:r>
              <w:rPr>
                <w:rFonts w:asciiTheme="minorHAnsi" w:hAnsiTheme="minorHAnsi" w:cstheme="minorHAnsi"/>
                <w:b/>
                <w:iCs/>
                <w:lang w:val="en-US"/>
              </w:rPr>
              <w:t>Intended</w:t>
            </w:r>
            <w:r w:rsidR="00EF042B" w:rsidRPr="008942BB">
              <w:rPr>
                <w:rFonts w:asciiTheme="minorHAnsi" w:hAnsiTheme="minorHAnsi" w:cstheme="minorHAnsi"/>
                <w:b/>
                <w:iCs/>
                <w:lang w:val="en-US"/>
              </w:rPr>
              <w:t xml:space="preserve"> treatment</w:t>
            </w:r>
          </w:p>
        </w:tc>
        <w:tc>
          <w:tcPr>
            <w:tcW w:w="3396" w:type="dxa"/>
          </w:tcPr>
          <w:p w14:paraId="4A358C4F" w14:textId="3E44D14F" w:rsidR="00EF042B" w:rsidRPr="008942BB" w:rsidRDefault="00EF042B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/>
                <w:iCs/>
                <w:lang w:val="en-US"/>
              </w:rPr>
            </w:pPr>
            <w:r w:rsidRPr="008942BB">
              <w:rPr>
                <w:rFonts w:asciiTheme="minorHAnsi" w:hAnsiTheme="minorHAnsi" w:cstheme="minorHAnsi"/>
                <w:b/>
                <w:iCs/>
                <w:lang w:val="en-US"/>
              </w:rPr>
              <w:t>Change of management</w:t>
            </w:r>
          </w:p>
        </w:tc>
      </w:tr>
      <w:tr w:rsidR="00EF042B" w:rsidRPr="00005137" w14:paraId="6823D190" w14:textId="77777777" w:rsidTr="002C5FCE">
        <w:tc>
          <w:tcPr>
            <w:tcW w:w="3209" w:type="dxa"/>
          </w:tcPr>
          <w:p w14:paraId="5FE7E18D" w14:textId="6BBF5EB9" w:rsidR="00EF042B" w:rsidRDefault="002D16A0" w:rsidP="002D16A0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Cs/>
                <w:iCs/>
                <w:lang w:val="en-US"/>
              </w:rPr>
            </w:pPr>
            <w:r>
              <w:rPr>
                <w:rFonts w:asciiTheme="minorHAnsi" w:hAnsiTheme="minorHAnsi" w:cstheme="minorHAnsi"/>
                <w:bCs/>
                <w:iCs/>
                <w:lang w:val="en-US"/>
              </w:rPr>
              <w:t>Subg</w:t>
            </w:r>
            <w:r w:rsidR="00EF042B">
              <w:rPr>
                <w:rFonts w:asciiTheme="minorHAnsi" w:hAnsiTheme="minorHAnsi" w:cstheme="minorHAnsi"/>
                <w:bCs/>
                <w:iCs/>
                <w:lang w:val="en-US"/>
              </w:rPr>
              <w:t>roup 1 (First B</w:t>
            </w:r>
            <w:r w:rsidR="00540824">
              <w:rPr>
                <w:rFonts w:asciiTheme="minorHAnsi" w:hAnsiTheme="minorHAnsi" w:cstheme="minorHAnsi"/>
                <w:bCs/>
                <w:iCs/>
                <w:lang w:val="en-US"/>
              </w:rPr>
              <w:t>CR</w:t>
            </w:r>
            <w:r w:rsidR="00EF042B">
              <w:rPr>
                <w:rFonts w:asciiTheme="minorHAnsi" w:hAnsiTheme="minorHAnsi" w:cstheme="minorHAnsi"/>
                <w:bCs/>
                <w:iCs/>
                <w:lang w:val="en-US"/>
              </w:rPr>
              <w:t xml:space="preserve"> after RP)</w:t>
            </w:r>
            <w:r>
              <w:rPr>
                <w:rFonts w:asciiTheme="minorHAnsi" w:hAnsiTheme="minorHAnsi" w:cstheme="minorHAnsi"/>
                <w:bCs/>
                <w:iCs/>
                <w:lang w:val="en-US"/>
              </w:rPr>
              <w:t xml:space="preserve"> </w:t>
            </w:r>
            <w:r w:rsidR="00EF042B">
              <w:rPr>
                <w:rFonts w:asciiTheme="minorHAnsi" w:hAnsiTheme="minorHAnsi" w:cstheme="minorHAnsi"/>
                <w:bCs/>
                <w:iCs/>
                <w:lang w:val="en-US"/>
              </w:rPr>
              <w:t xml:space="preserve">and </w:t>
            </w:r>
            <w:r>
              <w:rPr>
                <w:rFonts w:asciiTheme="minorHAnsi" w:hAnsiTheme="minorHAnsi" w:cstheme="minorHAnsi"/>
                <w:bCs/>
                <w:iCs/>
                <w:lang w:val="en-US"/>
              </w:rPr>
              <w:t xml:space="preserve">Subgroup </w:t>
            </w:r>
            <w:r w:rsidR="00EF042B">
              <w:rPr>
                <w:rFonts w:asciiTheme="minorHAnsi" w:hAnsiTheme="minorHAnsi" w:cstheme="minorHAnsi"/>
                <w:bCs/>
                <w:iCs/>
                <w:lang w:val="en-US"/>
              </w:rPr>
              <w:t>3 (BCP after RP)</w:t>
            </w:r>
          </w:p>
        </w:tc>
        <w:tc>
          <w:tcPr>
            <w:tcW w:w="3023" w:type="dxa"/>
          </w:tcPr>
          <w:p w14:paraId="5DC4BF08" w14:textId="66FFEF75" w:rsidR="00EF042B" w:rsidRDefault="00025F9F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Cs/>
                <w:iCs/>
                <w:lang w:val="en-US"/>
              </w:rPr>
            </w:pPr>
            <w:r w:rsidRPr="00025F9F">
              <w:rPr>
                <w:rFonts w:asciiTheme="minorHAnsi" w:hAnsiTheme="minorHAnsi" w:cstheme="minorHAnsi"/>
                <w:bCs/>
                <w:lang w:val="en-US"/>
              </w:rPr>
              <w:t xml:space="preserve">Prostate-bed SRT </w:t>
            </w:r>
            <w:r w:rsidR="00EF042B">
              <w:rPr>
                <w:rFonts w:asciiTheme="minorHAnsi" w:hAnsiTheme="minorHAnsi" w:cstheme="minorHAnsi"/>
                <w:bCs/>
                <w:lang w:val="en-US"/>
              </w:rPr>
              <w:t xml:space="preserve">± ADT </w:t>
            </w:r>
          </w:p>
        </w:tc>
        <w:tc>
          <w:tcPr>
            <w:tcW w:w="3396" w:type="dxa"/>
          </w:tcPr>
          <w:p w14:paraId="3D910DAE" w14:textId="03925424" w:rsidR="00EF042B" w:rsidRPr="00EF042B" w:rsidRDefault="00EF042B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EF042B">
              <w:rPr>
                <w:rFonts w:asciiTheme="minorHAnsi" w:hAnsiTheme="minorHAnsi" w:cstheme="minorHAnsi"/>
                <w:bCs/>
                <w:lang w:val="en-US"/>
              </w:rPr>
              <w:t>-</w:t>
            </w:r>
            <w:r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Pr="00EF042B">
              <w:rPr>
                <w:rFonts w:asciiTheme="minorHAnsi" w:hAnsiTheme="minorHAnsi" w:cstheme="minorHAnsi"/>
                <w:bCs/>
                <w:lang w:val="en-US"/>
              </w:rPr>
              <w:t>Image-guided S</w:t>
            </w:r>
            <w:r w:rsidR="009C425B">
              <w:rPr>
                <w:rFonts w:asciiTheme="minorHAnsi" w:hAnsiTheme="minorHAnsi" w:cstheme="minorHAnsi"/>
                <w:bCs/>
                <w:lang w:val="en-US"/>
              </w:rPr>
              <w:t>ABR</w:t>
            </w:r>
            <w:r w:rsidRPr="00EF042B">
              <w:rPr>
                <w:rFonts w:asciiTheme="minorHAnsi" w:hAnsiTheme="minorHAnsi" w:cstheme="minorHAnsi"/>
                <w:bCs/>
                <w:lang w:val="en-US"/>
              </w:rPr>
              <w:t xml:space="preserve"> or S-PLND for oligometastatic disease</w:t>
            </w:r>
          </w:p>
          <w:p w14:paraId="5FE17A75" w14:textId="1DF42A05" w:rsidR="00EF042B" w:rsidRDefault="00EF042B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Cs/>
                <w:i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 xml:space="preserve">- Administration of ADT (more than 6 months) in case of </w:t>
            </w:r>
            <w:proofErr w:type="spellStart"/>
            <w:r>
              <w:rPr>
                <w:rFonts w:asciiTheme="minorHAnsi" w:hAnsiTheme="minorHAnsi" w:cstheme="minorHAnsi"/>
                <w:bCs/>
                <w:lang w:val="en-US"/>
              </w:rPr>
              <w:t>multimetastatic</w:t>
            </w:r>
            <w:proofErr w:type="spellEnd"/>
            <w:r>
              <w:rPr>
                <w:rFonts w:asciiTheme="minorHAnsi" w:hAnsiTheme="minorHAnsi" w:cstheme="minorHAnsi"/>
                <w:bCs/>
                <w:lang w:val="en-US"/>
              </w:rPr>
              <w:t xml:space="preserve"> disease</w:t>
            </w:r>
          </w:p>
        </w:tc>
      </w:tr>
      <w:tr w:rsidR="00EF042B" w:rsidRPr="00005137" w14:paraId="13120C74" w14:textId="77777777" w:rsidTr="002C5FCE">
        <w:tc>
          <w:tcPr>
            <w:tcW w:w="3209" w:type="dxa"/>
          </w:tcPr>
          <w:p w14:paraId="412B7334" w14:textId="1FB2AD7D" w:rsidR="00EF042B" w:rsidRDefault="002D16A0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Cs/>
                <w:iCs/>
                <w:lang w:val="en-US"/>
              </w:rPr>
            </w:pPr>
            <w:r>
              <w:rPr>
                <w:rFonts w:asciiTheme="minorHAnsi" w:hAnsiTheme="minorHAnsi" w:cstheme="minorHAnsi"/>
                <w:bCs/>
                <w:iCs/>
                <w:lang w:val="en-US"/>
              </w:rPr>
              <w:t>Subg</w:t>
            </w:r>
            <w:r w:rsidR="00EF042B">
              <w:rPr>
                <w:rFonts w:asciiTheme="minorHAnsi" w:hAnsiTheme="minorHAnsi" w:cstheme="minorHAnsi"/>
                <w:bCs/>
                <w:iCs/>
                <w:lang w:val="en-US"/>
              </w:rPr>
              <w:t>roup 2 (BCR after SRT)</w:t>
            </w:r>
          </w:p>
        </w:tc>
        <w:tc>
          <w:tcPr>
            <w:tcW w:w="3023" w:type="dxa"/>
          </w:tcPr>
          <w:p w14:paraId="3AEF6F54" w14:textId="7473B5EF" w:rsidR="00EF042B" w:rsidRPr="008D3D34" w:rsidRDefault="002C5FCE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- ADT/active surveillance in case of negative imaging</w:t>
            </w:r>
          </w:p>
        </w:tc>
        <w:tc>
          <w:tcPr>
            <w:tcW w:w="3396" w:type="dxa"/>
          </w:tcPr>
          <w:p w14:paraId="0E8EB067" w14:textId="24B66808" w:rsidR="00EF042B" w:rsidRPr="002C5FCE" w:rsidRDefault="002C5FCE" w:rsidP="002C5FCE">
            <w:pPr>
              <w:shd w:val="clear" w:color="auto" w:fill="auto"/>
              <w:spacing w:line="360" w:lineRule="auto"/>
              <w:rPr>
                <w:rFonts w:asciiTheme="minorHAnsi" w:hAnsiTheme="minorHAnsi" w:cstheme="minorHAnsi"/>
                <w:bCs/>
                <w:iCs/>
                <w:lang w:val="en-US"/>
              </w:rPr>
            </w:pPr>
            <w:r w:rsidRPr="002C5FCE">
              <w:rPr>
                <w:rFonts w:asciiTheme="minorHAnsi" w:hAnsiTheme="minorHAnsi" w:cstheme="minorHAnsi"/>
                <w:bCs/>
                <w:lang w:val="en-US"/>
              </w:rPr>
              <w:t>-</w:t>
            </w:r>
            <w:r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Pr="002C5FCE">
              <w:rPr>
                <w:rFonts w:asciiTheme="minorHAnsi" w:hAnsiTheme="minorHAnsi" w:cstheme="minorHAnsi"/>
                <w:bCs/>
                <w:lang w:val="en-US"/>
              </w:rPr>
              <w:t>S</w:t>
            </w:r>
            <w:r w:rsidR="009C425B">
              <w:rPr>
                <w:rFonts w:asciiTheme="minorHAnsi" w:hAnsiTheme="minorHAnsi" w:cstheme="minorHAnsi"/>
                <w:bCs/>
                <w:lang w:val="en-US"/>
              </w:rPr>
              <w:t>ABR</w:t>
            </w:r>
            <w:r w:rsidRPr="002C5FCE">
              <w:rPr>
                <w:rFonts w:asciiTheme="minorHAnsi" w:hAnsiTheme="minorHAnsi" w:cstheme="minorHAnsi"/>
                <w:bCs/>
                <w:lang w:val="en-US"/>
              </w:rPr>
              <w:t xml:space="preserve"> or S-PLND guided by PSMA-PET</w:t>
            </w:r>
          </w:p>
        </w:tc>
      </w:tr>
    </w:tbl>
    <w:p w14:paraId="0490F8BF" w14:textId="417A3D52" w:rsidR="008D3D34" w:rsidRPr="00E7552A" w:rsidRDefault="008D3D34" w:rsidP="009F4090">
      <w:pPr>
        <w:spacing w:line="360" w:lineRule="auto"/>
        <w:jc w:val="both"/>
        <w:rPr>
          <w:rFonts w:asciiTheme="minorHAnsi" w:hAnsiTheme="minorHAnsi" w:cstheme="minorHAnsi"/>
          <w:bCs/>
          <w:i/>
          <w:sz w:val="22"/>
          <w:szCs w:val="22"/>
          <w:lang w:val="en-US"/>
        </w:rPr>
      </w:pP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BCR: </w:t>
      </w:r>
      <w:r w:rsidR="006F5F2F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biochemical recurrence, </w:t>
      </w: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>BCP:</w:t>
      </w:r>
      <w:r w:rsidR="006F5F2F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 biochemical persistence, </w:t>
      </w: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>SRT:</w:t>
      </w:r>
      <w:r w:rsidR="006F5F2F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 salvage radiotherapy, </w:t>
      </w: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>ADT:</w:t>
      </w:r>
      <w:r w:rsidR="006F5F2F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 </w:t>
      </w:r>
      <w:r w:rsidR="00E7552A" w:rsidRPr="00E7552A">
        <w:rPr>
          <w:rFonts w:asciiTheme="minorHAnsi" w:hAnsiTheme="minorHAnsi" w:cstheme="minorHAnsi"/>
          <w:i/>
          <w:sz w:val="22"/>
          <w:szCs w:val="22"/>
          <w:lang w:val="en-US"/>
        </w:rPr>
        <w:t xml:space="preserve">androgen deprivation therapy, </w:t>
      </w: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>S</w:t>
      </w:r>
      <w:r w:rsidR="009C425B">
        <w:rPr>
          <w:rFonts w:asciiTheme="minorHAnsi" w:hAnsiTheme="minorHAnsi" w:cstheme="minorHAnsi"/>
          <w:bCs/>
          <w:i/>
          <w:sz w:val="22"/>
          <w:szCs w:val="22"/>
          <w:lang w:val="en-US"/>
        </w:rPr>
        <w:t>ABR</w:t>
      </w: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>:</w:t>
      </w:r>
      <w:r w:rsidR="00E7552A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 stereotactic </w:t>
      </w:r>
      <w:r w:rsidR="009C425B">
        <w:rPr>
          <w:rFonts w:asciiTheme="minorHAnsi" w:hAnsiTheme="minorHAnsi" w:cstheme="minorHAnsi"/>
          <w:bCs/>
          <w:i/>
          <w:sz w:val="22"/>
          <w:szCs w:val="22"/>
          <w:lang w:val="en-US"/>
        </w:rPr>
        <w:t>ablative</w:t>
      </w:r>
      <w:r w:rsidR="009C425B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 </w:t>
      </w:r>
      <w:r w:rsidR="00E7552A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>rad</w:t>
      </w:r>
      <w:r w:rsidR="009C425B">
        <w:rPr>
          <w:rFonts w:asciiTheme="minorHAnsi" w:hAnsiTheme="minorHAnsi" w:cstheme="minorHAnsi"/>
          <w:bCs/>
          <w:i/>
          <w:sz w:val="22"/>
          <w:szCs w:val="22"/>
          <w:lang w:val="en-US"/>
        </w:rPr>
        <w:t>io</w:t>
      </w:r>
      <w:r w:rsidR="00E7552A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therapy, </w:t>
      </w: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>S-PLND:</w:t>
      </w:r>
      <w:r w:rsidR="00E7552A"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 salvage pelvic lymph node dissection, </w:t>
      </w:r>
      <w:r w:rsidRPr="00E7552A"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PSMA-PET: </w:t>
      </w:r>
      <w:r w:rsidR="00E7552A" w:rsidRPr="00E7552A">
        <w:rPr>
          <w:rFonts w:asciiTheme="minorHAnsi" w:hAnsiTheme="minorHAnsi" w:cstheme="minorHAnsi"/>
          <w:i/>
          <w:sz w:val="22"/>
          <w:szCs w:val="22"/>
          <w:lang w:val="en-US"/>
        </w:rPr>
        <w:t>prostate specific membrane antigen/positron emission tomography</w:t>
      </w:r>
    </w:p>
    <w:p w14:paraId="6303C2F7" w14:textId="77777777" w:rsidR="00DF4E3A" w:rsidRDefault="00DF4E3A" w:rsidP="009F4090">
      <w:pPr>
        <w:spacing w:line="360" w:lineRule="auto"/>
        <w:jc w:val="both"/>
        <w:rPr>
          <w:rFonts w:asciiTheme="minorHAnsi" w:hAnsiTheme="minorHAnsi" w:cstheme="minorHAnsi"/>
          <w:bCs/>
          <w:iCs/>
          <w:lang w:val="en-US"/>
        </w:rPr>
      </w:pPr>
    </w:p>
    <w:p w14:paraId="5D0AB6F0" w14:textId="46B15C96" w:rsidR="00DC72CC" w:rsidRPr="008D3D34" w:rsidRDefault="00DC72CC" w:rsidP="00DF4E3A">
      <w:pPr>
        <w:spacing w:line="360" w:lineRule="auto"/>
        <w:jc w:val="both"/>
        <w:rPr>
          <w:rFonts w:asciiTheme="minorHAnsi" w:hAnsiTheme="minorHAnsi" w:cstheme="minorHAnsi"/>
          <w:b/>
          <w:iCs/>
          <w:lang w:val="en-US"/>
        </w:rPr>
      </w:pPr>
      <w:r w:rsidRPr="008D3D34">
        <w:rPr>
          <w:rFonts w:asciiTheme="minorHAnsi" w:hAnsiTheme="minorHAnsi" w:cstheme="minorHAnsi"/>
          <w:b/>
          <w:iCs/>
          <w:vertAlign w:val="superscript"/>
          <w:lang w:val="en-US"/>
        </w:rPr>
        <w:t>68</w:t>
      </w:r>
      <w:r w:rsidRPr="008D3D34">
        <w:rPr>
          <w:rFonts w:asciiTheme="minorHAnsi" w:hAnsiTheme="minorHAnsi" w:cstheme="minorHAnsi"/>
          <w:b/>
          <w:iCs/>
          <w:lang w:val="en-US"/>
        </w:rPr>
        <w:t>Ga-PSMA-11 synthesis</w:t>
      </w:r>
      <w:r w:rsidR="002D16A0" w:rsidRPr="008D3D34">
        <w:rPr>
          <w:rFonts w:asciiTheme="minorHAnsi" w:hAnsiTheme="minorHAnsi" w:cstheme="minorHAnsi"/>
          <w:b/>
          <w:iCs/>
          <w:lang w:val="en-US"/>
        </w:rPr>
        <w:t xml:space="preserve"> procedure</w:t>
      </w:r>
    </w:p>
    <w:p w14:paraId="545399A6" w14:textId="77777777" w:rsidR="00AD7ED4" w:rsidRDefault="00DF4E3A" w:rsidP="00DF4E3A">
      <w:pPr>
        <w:spacing w:line="360" w:lineRule="auto"/>
        <w:jc w:val="both"/>
        <w:rPr>
          <w:rFonts w:asciiTheme="minorHAnsi" w:hAnsiTheme="minorHAnsi" w:cstheme="minorHAnsi"/>
          <w:bCs/>
          <w:iCs/>
          <w:lang w:val="en-US"/>
        </w:rPr>
      </w:pPr>
      <w:r>
        <w:rPr>
          <w:rFonts w:asciiTheme="minorHAnsi" w:hAnsiTheme="minorHAnsi" w:cstheme="minorHAnsi"/>
          <w:bCs/>
          <w:iCs/>
          <w:lang w:val="en-US"/>
        </w:rPr>
        <w:t xml:space="preserve">Gallium-68 was produced with </w:t>
      </w:r>
      <w:r w:rsidRPr="002D16A0">
        <w:rPr>
          <w:rFonts w:asciiTheme="minorHAnsi" w:hAnsiTheme="minorHAnsi" w:cstheme="minorHAnsi"/>
          <w:bCs/>
          <w:iCs/>
          <w:vertAlign w:val="superscript"/>
          <w:lang w:val="en-US"/>
        </w:rPr>
        <w:t>68</w:t>
      </w:r>
      <w:r>
        <w:rPr>
          <w:rFonts w:asciiTheme="minorHAnsi" w:hAnsiTheme="minorHAnsi" w:cstheme="minorHAnsi"/>
          <w:bCs/>
          <w:iCs/>
          <w:lang w:val="en-US"/>
        </w:rPr>
        <w:t>Ge/</w:t>
      </w:r>
      <w:r w:rsidRPr="002D16A0">
        <w:rPr>
          <w:rFonts w:asciiTheme="minorHAnsi" w:hAnsiTheme="minorHAnsi" w:cstheme="minorHAnsi"/>
          <w:bCs/>
          <w:iCs/>
          <w:vertAlign w:val="superscript"/>
          <w:lang w:val="en-US"/>
        </w:rPr>
        <w:t>68</w:t>
      </w:r>
      <w:r>
        <w:rPr>
          <w:rFonts w:asciiTheme="minorHAnsi" w:hAnsiTheme="minorHAnsi" w:cstheme="minorHAnsi"/>
          <w:bCs/>
          <w:iCs/>
          <w:lang w:val="en-US"/>
        </w:rPr>
        <w:t xml:space="preserve">Ga generator (ITG Isotope Technologies </w:t>
      </w:r>
      <w:proofErr w:type="spellStart"/>
      <w:r>
        <w:rPr>
          <w:rFonts w:asciiTheme="minorHAnsi" w:hAnsiTheme="minorHAnsi" w:cstheme="minorHAnsi"/>
          <w:bCs/>
          <w:iCs/>
          <w:lang w:val="en-US"/>
        </w:rPr>
        <w:t>Garching</w:t>
      </w:r>
      <w:proofErr w:type="spellEnd"/>
      <w:r>
        <w:rPr>
          <w:rFonts w:asciiTheme="minorHAnsi" w:hAnsiTheme="minorHAnsi" w:cstheme="minorHAnsi"/>
          <w:bCs/>
          <w:iCs/>
          <w:lang w:val="en-US"/>
        </w:rPr>
        <w:t xml:space="preserve"> GmbH, Germany). </w:t>
      </w:r>
      <w:r w:rsidRPr="002D16A0">
        <w:rPr>
          <w:rFonts w:asciiTheme="minorHAnsi" w:hAnsiTheme="minorHAnsi" w:cstheme="minorHAnsi"/>
          <w:bCs/>
          <w:iCs/>
          <w:vertAlign w:val="superscript"/>
          <w:lang w:val="en-US"/>
        </w:rPr>
        <w:t>68</w:t>
      </w:r>
      <w:r>
        <w:rPr>
          <w:rFonts w:asciiTheme="minorHAnsi" w:hAnsiTheme="minorHAnsi" w:cstheme="minorHAnsi"/>
          <w:bCs/>
          <w:iCs/>
          <w:lang w:val="en-US"/>
        </w:rPr>
        <w:t>Ga-PSMAHBEDCC</w:t>
      </w:r>
      <w:r w:rsidR="002D16A0">
        <w:rPr>
          <w:rFonts w:asciiTheme="minorHAnsi" w:hAnsiTheme="minorHAnsi" w:cstheme="minorHAnsi"/>
          <w:bCs/>
          <w:iCs/>
          <w:lang w:val="en-US"/>
        </w:rPr>
        <w:t xml:space="preserve"> </w:t>
      </w:r>
      <w:r>
        <w:rPr>
          <w:rFonts w:asciiTheme="minorHAnsi" w:hAnsiTheme="minorHAnsi" w:cstheme="minorHAnsi"/>
          <w:bCs/>
          <w:iCs/>
          <w:lang w:val="en-US"/>
        </w:rPr>
        <w:t>(Glu-NH-CO-NH-Lys-(Ahx)-[[68</w:t>
      </w:r>
      <w:proofErr w:type="gramStart"/>
      <w:r>
        <w:rPr>
          <w:rFonts w:asciiTheme="minorHAnsi" w:hAnsiTheme="minorHAnsi" w:cstheme="minorHAnsi"/>
          <w:bCs/>
          <w:iCs/>
          <w:lang w:val="en-US"/>
        </w:rPr>
        <w:t>Ga]Ga</w:t>
      </w:r>
      <w:proofErr w:type="gramEnd"/>
      <w:r>
        <w:rPr>
          <w:rFonts w:asciiTheme="minorHAnsi" w:hAnsiTheme="minorHAnsi" w:cstheme="minorHAnsi"/>
          <w:bCs/>
          <w:iCs/>
          <w:lang w:val="en-US"/>
        </w:rPr>
        <w:t>(N,N’-bis-[2-hydroxy-5-(carboxyethyl)benzyl]ethylenediamine-N,N’-diacetic-acid])</w:t>
      </w:r>
      <w:r w:rsidR="002D16A0">
        <w:rPr>
          <w:rFonts w:asciiTheme="minorHAnsi" w:hAnsiTheme="minorHAnsi" w:cstheme="minorHAnsi"/>
          <w:bCs/>
          <w:iCs/>
          <w:lang w:val="en-US"/>
        </w:rPr>
        <w:t xml:space="preserve"> </w:t>
      </w:r>
      <w:r>
        <w:rPr>
          <w:rFonts w:asciiTheme="minorHAnsi" w:hAnsiTheme="minorHAnsi" w:cstheme="minorHAnsi"/>
          <w:bCs/>
          <w:iCs/>
          <w:lang w:val="en-US"/>
        </w:rPr>
        <w:t>(</w:t>
      </w:r>
      <w:r w:rsidRPr="002D16A0">
        <w:rPr>
          <w:rFonts w:asciiTheme="minorHAnsi" w:hAnsiTheme="minorHAnsi" w:cstheme="minorHAnsi"/>
          <w:bCs/>
          <w:iCs/>
          <w:vertAlign w:val="superscript"/>
          <w:lang w:val="en-US"/>
        </w:rPr>
        <w:t>68</w:t>
      </w:r>
      <w:r>
        <w:rPr>
          <w:rFonts w:asciiTheme="minorHAnsi" w:hAnsiTheme="minorHAnsi" w:cstheme="minorHAnsi"/>
          <w:bCs/>
          <w:iCs/>
          <w:lang w:val="en-US"/>
        </w:rPr>
        <w:t>Ga-PSMA-11) was prepared in a similar procedure as described by Eder et al.</w:t>
      </w:r>
      <w:r w:rsidR="00AD7ED4">
        <w:rPr>
          <w:rFonts w:asciiTheme="minorHAnsi" w:hAnsiTheme="minorHAnsi" w:cstheme="minorHAnsi"/>
          <w:bCs/>
          <w:iCs/>
          <w:lang w:val="en-US"/>
        </w:rPr>
        <w:t>[1]</w:t>
      </w:r>
      <w:r>
        <w:rPr>
          <w:rFonts w:asciiTheme="minorHAnsi" w:hAnsiTheme="minorHAnsi" w:cstheme="minorHAnsi"/>
          <w:bCs/>
          <w:iCs/>
          <w:lang w:val="en-US"/>
        </w:rPr>
        <w:t xml:space="preserve">, and transferred to cassette-based automated synthesis module (Module </w:t>
      </w:r>
      <w:proofErr w:type="spellStart"/>
      <w:r>
        <w:rPr>
          <w:rFonts w:asciiTheme="minorHAnsi" w:hAnsiTheme="minorHAnsi" w:cstheme="minorHAnsi"/>
          <w:bCs/>
          <w:iCs/>
          <w:lang w:val="en-US"/>
        </w:rPr>
        <w:t>miniAllinOne</w:t>
      </w:r>
      <w:proofErr w:type="spellEnd"/>
      <w:r>
        <w:rPr>
          <w:rFonts w:asciiTheme="minorHAnsi" w:hAnsiTheme="minorHAnsi" w:cstheme="minorHAnsi"/>
          <w:bCs/>
          <w:iCs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iCs/>
          <w:lang w:val="en-US"/>
        </w:rPr>
        <w:t>Trasis</w:t>
      </w:r>
      <w:proofErr w:type="spellEnd"/>
      <w:r>
        <w:rPr>
          <w:rFonts w:asciiTheme="minorHAnsi" w:hAnsiTheme="minorHAnsi" w:cstheme="minorHAnsi"/>
          <w:bCs/>
          <w:iCs/>
          <w:lang w:val="en-US"/>
        </w:rPr>
        <w:t xml:space="preserve"> S.A, Belgium). The whole procedure was performed in accordance with the Good Manufacturing Practices (GMP). The system provides a final report, and the resulting solution (final product) is subjected to standard quality controls. </w:t>
      </w:r>
    </w:p>
    <w:p w14:paraId="575B3A3E" w14:textId="711BA906" w:rsidR="00AD7ED4" w:rsidRDefault="00AD7ED4" w:rsidP="009F4090">
      <w:pPr>
        <w:spacing w:line="360" w:lineRule="auto"/>
        <w:jc w:val="both"/>
        <w:rPr>
          <w:rFonts w:asciiTheme="minorHAnsi" w:hAnsiTheme="minorHAnsi" w:cstheme="minorHAnsi"/>
          <w:bCs/>
          <w:iCs/>
          <w:lang w:val="en-US"/>
        </w:rPr>
      </w:pPr>
    </w:p>
    <w:p w14:paraId="4D3048FC" w14:textId="65B5A877" w:rsidR="00AD7ED4" w:rsidRPr="00AD7ED4" w:rsidRDefault="00AD7ED4" w:rsidP="009F4090">
      <w:pPr>
        <w:spacing w:line="360" w:lineRule="auto"/>
        <w:jc w:val="both"/>
        <w:rPr>
          <w:rFonts w:asciiTheme="minorHAnsi" w:hAnsiTheme="minorHAnsi" w:cstheme="minorHAnsi"/>
          <w:b/>
          <w:iCs/>
          <w:lang w:val="en-US"/>
        </w:rPr>
      </w:pPr>
      <w:r w:rsidRPr="00AD7ED4">
        <w:rPr>
          <w:rFonts w:asciiTheme="minorHAnsi" w:hAnsiTheme="minorHAnsi" w:cstheme="minorHAnsi"/>
          <w:b/>
          <w:iCs/>
          <w:lang w:val="en-US"/>
        </w:rPr>
        <w:t>References</w:t>
      </w:r>
    </w:p>
    <w:p w14:paraId="12CC62C8" w14:textId="6537C0E8" w:rsidR="0085397F" w:rsidRPr="001B405D" w:rsidRDefault="00AD7ED4" w:rsidP="001B405D">
      <w:p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D7ED4">
        <w:rPr>
          <w:rFonts w:asciiTheme="minorHAnsi" w:hAnsiTheme="minorHAnsi" w:cstheme="minorHAnsi"/>
          <w:lang w:val="en-US"/>
        </w:rPr>
        <w:t>[1]</w:t>
      </w:r>
      <w:r>
        <w:rPr>
          <w:rFonts w:asciiTheme="minorHAnsi" w:hAnsiTheme="minorHAnsi" w:cstheme="minorHAnsi"/>
          <w:lang w:val="en-US"/>
        </w:rPr>
        <w:t xml:space="preserve"> </w:t>
      </w:r>
      <w:r w:rsidRPr="00AD7ED4">
        <w:rPr>
          <w:rFonts w:asciiTheme="minorHAnsi" w:hAnsiTheme="minorHAnsi" w:cstheme="minorHAnsi"/>
          <w:lang w:val="en-US"/>
        </w:rPr>
        <w:t xml:space="preserve">Eder M, Neels O, Müller M, </w:t>
      </w:r>
      <w:proofErr w:type="spellStart"/>
      <w:r w:rsidRPr="00AD7ED4">
        <w:rPr>
          <w:rFonts w:asciiTheme="minorHAnsi" w:hAnsiTheme="minorHAnsi" w:cstheme="minorHAnsi"/>
          <w:lang w:val="en-US"/>
        </w:rPr>
        <w:t>Bauder-Wüst</w:t>
      </w:r>
      <w:proofErr w:type="spellEnd"/>
      <w:r w:rsidRPr="00AD7ED4">
        <w:rPr>
          <w:rFonts w:asciiTheme="minorHAnsi" w:hAnsiTheme="minorHAnsi" w:cstheme="minorHAnsi"/>
          <w:lang w:val="en-US"/>
        </w:rPr>
        <w:t xml:space="preserve"> U, </w:t>
      </w:r>
      <w:proofErr w:type="spellStart"/>
      <w:r w:rsidRPr="00AD7ED4">
        <w:rPr>
          <w:rFonts w:asciiTheme="minorHAnsi" w:hAnsiTheme="minorHAnsi" w:cstheme="minorHAnsi"/>
          <w:lang w:val="en-US"/>
        </w:rPr>
        <w:t>Remde</w:t>
      </w:r>
      <w:proofErr w:type="spellEnd"/>
      <w:r w:rsidRPr="00AD7ED4">
        <w:rPr>
          <w:rFonts w:asciiTheme="minorHAnsi" w:hAnsiTheme="minorHAnsi" w:cstheme="minorHAnsi"/>
          <w:lang w:val="en-US"/>
        </w:rPr>
        <w:t xml:space="preserve"> Y, Schäfer M, et al. Novel Preclinical and Radiopharmaceutical Aspects of [68</w:t>
      </w:r>
      <w:proofErr w:type="gramStart"/>
      <w:r w:rsidRPr="00AD7ED4">
        <w:rPr>
          <w:rFonts w:asciiTheme="minorHAnsi" w:hAnsiTheme="minorHAnsi" w:cstheme="minorHAnsi"/>
          <w:lang w:val="en-US"/>
        </w:rPr>
        <w:t>Ga]Ga</w:t>
      </w:r>
      <w:proofErr w:type="gramEnd"/>
      <w:r w:rsidRPr="00AD7ED4">
        <w:rPr>
          <w:rFonts w:asciiTheme="minorHAnsi" w:hAnsiTheme="minorHAnsi" w:cstheme="minorHAnsi"/>
          <w:lang w:val="en-US"/>
        </w:rPr>
        <w:t xml:space="preserve">-PSMA-HBED-CC: A New PET Tracer for Imaging of Prostate Cancer. Pharmaceuticals (Basel) </w:t>
      </w:r>
      <w:proofErr w:type="gramStart"/>
      <w:r w:rsidRPr="00AD7ED4">
        <w:rPr>
          <w:rFonts w:asciiTheme="minorHAnsi" w:hAnsiTheme="minorHAnsi" w:cstheme="minorHAnsi"/>
          <w:lang w:val="en-US"/>
        </w:rPr>
        <w:t>2014;7:779</w:t>
      </w:r>
      <w:proofErr w:type="gramEnd"/>
      <w:r w:rsidRPr="00AD7ED4">
        <w:rPr>
          <w:rFonts w:asciiTheme="minorHAnsi" w:hAnsiTheme="minorHAnsi" w:cstheme="minorHAnsi"/>
          <w:lang w:val="en-US"/>
        </w:rPr>
        <w:t>–96. https://doi.org/10.3390/ph7070779.</w:t>
      </w:r>
    </w:p>
    <w:sectPr w:rsidR="0085397F" w:rsidRPr="001B40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015BB"/>
    <w:multiLevelType w:val="hybridMultilevel"/>
    <w:tmpl w:val="BC78E70C"/>
    <w:lvl w:ilvl="0" w:tplc="FD74E18E">
      <w:start w:val="19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35AC5"/>
    <w:multiLevelType w:val="hybridMultilevel"/>
    <w:tmpl w:val="B2922928"/>
    <w:lvl w:ilvl="0" w:tplc="9D3EC456">
      <w:start w:val="19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090"/>
    <w:rsid w:val="00005137"/>
    <w:rsid w:val="00007F4F"/>
    <w:rsid w:val="00025F9F"/>
    <w:rsid w:val="00036C5B"/>
    <w:rsid w:val="001532CC"/>
    <w:rsid w:val="001B405D"/>
    <w:rsid w:val="002C4ACA"/>
    <w:rsid w:val="002C5FCE"/>
    <w:rsid w:val="002D16A0"/>
    <w:rsid w:val="003304D5"/>
    <w:rsid w:val="00540824"/>
    <w:rsid w:val="00642967"/>
    <w:rsid w:val="0065544D"/>
    <w:rsid w:val="006B1336"/>
    <w:rsid w:val="006F5F2F"/>
    <w:rsid w:val="007D15C6"/>
    <w:rsid w:val="0085397F"/>
    <w:rsid w:val="008942BB"/>
    <w:rsid w:val="008D3D34"/>
    <w:rsid w:val="008E0A23"/>
    <w:rsid w:val="009C425B"/>
    <w:rsid w:val="009F4090"/>
    <w:rsid w:val="00A87BE9"/>
    <w:rsid w:val="00AD7ED4"/>
    <w:rsid w:val="00DB2F7A"/>
    <w:rsid w:val="00DC72CC"/>
    <w:rsid w:val="00DF4E3A"/>
    <w:rsid w:val="00DF6F82"/>
    <w:rsid w:val="00E7552A"/>
    <w:rsid w:val="00EB30FC"/>
    <w:rsid w:val="00EE4E2F"/>
    <w:rsid w:val="00EE6D4B"/>
    <w:rsid w:val="00EF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B243"/>
  <w15:chartTrackingRefBased/>
  <w15:docId w15:val="{F1F3B207-A639-4740-8D84-7ADDF522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4090"/>
    <w:pPr>
      <w:shd w:val="clear" w:color="auto" w:fill="FFFFFF"/>
      <w:suppressAutoHyphens/>
      <w:spacing w:after="0" w:line="240" w:lineRule="auto"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F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F042B"/>
    <w:pPr>
      <w:ind w:left="720"/>
      <w:contextualSpacing/>
    </w:pPr>
    <w:rPr>
      <w:rFonts w:cs="Mangal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EB30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30FC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30FC"/>
    <w:rPr>
      <w:rFonts w:ascii="Liberation Serif" w:eastAsia="NSimSun" w:hAnsi="Liberation Serif" w:cs="Mangal"/>
      <w:kern w:val="2"/>
      <w:sz w:val="20"/>
      <w:szCs w:val="18"/>
      <w:shd w:val="clear" w:color="auto" w:fill="FFFFFF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30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30FC"/>
    <w:rPr>
      <w:rFonts w:ascii="Liberation Serif" w:eastAsia="NSimSun" w:hAnsi="Liberation Serif" w:cs="Mangal"/>
      <w:b/>
      <w:bCs/>
      <w:kern w:val="2"/>
      <w:sz w:val="20"/>
      <w:szCs w:val="18"/>
      <w:shd w:val="clear" w:color="auto" w:fill="FFFFFF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5137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5137"/>
    <w:rPr>
      <w:rFonts w:ascii="Segoe UI" w:eastAsia="NSimSun" w:hAnsi="Segoe UI" w:cs="Mangal"/>
      <w:kern w:val="2"/>
      <w:sz w:val="18"/>
      <w:szCs w:val="16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Ceci Francesco</cp:lastModifiedBy>
  <cp:revision>34</cp:revision>
  <dcterms:created xsi:type="dcterms:W3CDTF">2021-02-11T13:57:00Z</dcterms:created>
  <dcterms:modified xsi:type="dcterms:W3CDTF">2021-05-03T08:05:00Z</dcterms:modified>
</cp:coreProperties>
</file>