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360" w:lineRule="auto"/>
        <w:jc w:val="both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Supplementary Materials</w:t>
      </w:r>
    </w:p>
    <w:p>
      <w:pPr>
        <w:spacing w:line="360" w:lineRule="auto"/>
        <w:jc w:val="both"/>
        <w:rPr>
          <w:rFonts w:cs="Arial"/>
          <w:i/>
          <w:iCs/>
        </w:rPr>
      </w:pPr>
      <w:r>
        <w:rPr>
          <w:rFonts w:cs="Arial"/>
          <w:i/>
          <w:iCs/>
        </w:rPr>
        <w:t>Biopsy Procedure</w:t>
      </w:r>
    </w:p>
    <w:p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Patients were positioned in prone or supine position depending on the location of the suspected lesion and a PET/CT (mean dose 191 </w:t>
      </w:r>
      <w:proofErr w:type="spellStart"/>
      <w:r>
        <w:rPr>
          <w:rFonts w:cs="Arial"/>
        </w:rPr>
        <w:t>MBq</w:t>
      </w:r>
      <w:proofErr w:type="spellEnd"/>
      <w:r>
        <w:rPr>
          <w:rFonts w:cs="Arial"/>
        </w:rPr>
        <w:t xml:space="preserve"> </w:t>
      </w:r>
      <w:r>
        <w:rPr>
          <w:rFonts w:cs="Arial"/>
        </w:rPr>
        <w:t>[</w:t>
      </w:r>
      <w:r>
        <w:rPr>
          <w:rFonts w:cs="Arial"/>
          <w:vertAlign w:val="superscript"/>
        </w:rPr>
        <w:t>18</w:t>
      </w:r>
      <w:r>
        <w:rPr>
          <w:rFonts w:cs="Arial"/>
        </w:rPr>
        <w:t>F</w:t>
      </w:r>
      <w:proofErr w:type="gramStart"/>
      <w:r>
        <w:rPr>
          <w:rFonts w:cs="Arial"/>
        </w:rPr>
        <w:t>]</w:t>
      </w:r>
      <w:r>
        <w:rPr>
          <w:rFonts w:cs="Arial"/>
          <w:bCs/>
        </w:rPr>
        <w:t>PSMA</w:t>
      </w:r>
      <w:proofErr w:type="gramEnd"/>
      <w:r>
        <w:rPr>
          <w:rFonts w:cs="Arial"/>
          <w:bCs/>
        </w:rPr>
        <w:t>-1007</w:t>
      </w:r>
      <w:r>
        <w:rPr>
          <w:rFonts w:cs="Arial"/>
        </w:rPr>
        <w:t xml:space="preserve">, range 97 – 249 </w:t>
      </w:r>
      <w:proofErr w:type="spellStart"/>
      <w:r>
        <w:rPr>
          <w:rFonts w:cs="Arial"/>
        </w:rPr>
        <w:t>MBq</w:t>
      </w:r>
      <w:proofErr w:type="spellEnd"/>
      <w:r>
        <w:rPr>
          <w:rFonts w:cs="Arial"/>
        </w:rPr>
        <w:t xml:space="preserve">) over the region of interest was performed for biopsy planning. If necessary acquisition time was prolonged to assure optimal image quality (max. 5 min. / bed position). Interventions were done under aseptic conditions, local anaesthesia and, if necessary, under </w:t>
      </w:r>
      <w:proofErr w:type="spellStart"/>
      <w:r>
        <w:rPr>
          <w:rFonts w:cs="Arial"/>
        </w:rPr>
        <w:t>anxiolysis</w:t>
      </w:r>
      <w:proofErr w:type="spellEnd"/>
      <w:r>
        <w:rPr>
          <w:rFonts w:cs="Arial"/>
        </w:rPr>
        <w:t xml:space="preserve"> with lorazepam </w:t>
      </w:r>
      <w:r>
        <w:rPr>
          <w:rFonts w:cs="Arial"/>
          <w:i/>
        </w:rPr>
        <w:t xml:space="preserve">per </w:t>
      </w:r>
      <w:proofErr w:type="spellStart"/>
      <w:r>
        <w:rPr>
          <w:rFonts w:cs="Arial"/>
          <w:i/>
        </w:rPr>
        <w:t>os</w:t>
      </w:r>
      <w:proofErr w:type="spellEnd"/>
      <w:r>
        <w:rPr>
          <w:rFonts w:cs="Arial"/>
        </w:rPr>
        <w:t xml:space="preserve">. Depending on the location of the lesion of interest, either a 15 G or a 12 G coaxial bone biopsy system </w:t>
      </w:r>
      <w:proofErr w:type="gramStart"/>
      <w:r>
        <w:rPr>
          <w:rFonts w:cs="Arial"/>
        </w:rPr>
        <w:t>was chosen</w:t>
      </w:r>
      <w:proofErr w:type="gramEnd"/>
      <w:r>
        <w:rPr>
          <w:rFonts w:cs="Arial"/>
        </w:rPr>
        <w:t xml:space="preserve">. A </w:t>
      </w:r>
      <w:proofErr w:type="gramStart"/>
      <w:r>
        <w:rPr>
          <w:rFonts w:cs="Arial"/>
        </w:rPr>
        <w:t>step-wise</w:t>
      </w:r>
      <w:proofErr w:type="gramEnd"/>
      <w:r>
        <w:rPr>
          <w:rFonts w:cs="Arial"/>
        </w:rPr>
        <w:t xml:space="preserve">, CT-guided introduction of the biopsy needle was performed. An additional PET/CT-scan immediately prior to sampling </w:t>
      </w:r>
      <w:proofErr w:type="gramStart"/>
      <w:r>
        <w:rPr>
          <w:rFonts w:cs="Arial"/>
        </w:rPr>
        <w:t>was performed</w:t>
      </w:r>
      <w:proofErr w:type="gramEnd"/>
      <w:r>
        <w:rPr>
          <w:rFonts w:cs="Arial"/>
        </w:rPr>
        <w:t xml:space="preserve"> to assure correct needle position. One or two samples out of each lesion </w:t>
      </w:r>
      <w:proofErr w:type="gramStart"/>
      <w:r>
        <w:rPr>
          <w:rFonts w:cs="Arial"/>
        </w:rPr>
        <w:t>were obtained and directly embedded in formalin for further histopathological</w:t>
      </w:r>
      <w:proofErr w:type="gramEnd"/>
      <w:r>
        <w:rPr>
          <w:rFonts w:cs="Arial"/>
        </w:rPr>
        <w:t xml:space="preserve"> and </w:t>
      </w:r>
      <w:proofErr w:type="spellStart"/>
      <w:r>
        <w:rPr>
          <w:rFonts w:cs="Arial"/>
        </w:rPr>
        <w:t>immunohistochemical</w:t>
      </w:r>
      <w:proofErr w:type="spellEnd"/>
      <w:r>
        <w:rPr>
          <w:rFonts w:cs="Arial"/>
        </w:rPr>
        <w:t xml:space="preserve"> work up. </w:t>
      </w:r>
    </w:p>
    <w:p>
      <w:pPr>
        <w:rPr>
          <w:i/>
          <w:iCs/>
        </w:rPr>
      </w:pPr>
    </w:p>
    <w:p>
      <w:pPr>
        <w:rPr>
          <w:i/>
          <w:iCs/>
        </w:rPr>
      </w:pPr>
      <w:bookmarkStart w:id="0" w:name="_GoBack"/>
      <w:bookmarkEnd w:id="0"/>
      <w:r>
        <w:rPr>
          <w:i/>
          <w:iCs/>
        </w:rPr>
        <w:t>Histology Procedure</w:t>
      </w:r>
    </w:p>
    <w:p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Additional </w:t>
      </w:r>
      <w:proofErr w:type="spellStart"/>
      <w:r>
        <w:rPr>
          <w:rFonts w:cs="Arial"/>
        </w:rPr>
        <w:t>immunohistochemical</w:t>
      </w:r>
      <w:proofErr w:type="spellEnd"/>
      <w:r>
        <w:rPr>
          <w:rFonts w:cs="Arial"/>
        </w:rPr>
        <w:t xml:space="preserve"> staining </w:t>
      </w:r>
      <w:proofErr w:type="gramStart"/>
      <w:r>
        <w:rPr>
          <w:rFonts w:cs="Arial"/>
        </w:rPr>
        <w:t>was performed</w:t>
      </w:r>
      <w:proofErr w:type="gramEnd"/>
      <w:r>
        <w:rPr>
          <w:rFonts w:cs="Arial"/>
        </w:rPr>
        <w:t xml:space="preserve"> on 4μm sections by automated staining using the Bond RX (Leica </w:t>
      </w:r>
      <w:proofErr w:type="spellStart"/>
      <w:r>
        <w:rPr>
          <w:rFonts w:cs="Arial"/>
        </w:rPr>
        <w:t>Biosystems</w:t>
      </w:r>
      <w:proofErr w:type="spellEnd"/>
      <w:r>
        <w:rPr>
          <w:rFonts w:cs="Arial"/>
        </w:rPr>
        <w:t xml:space="preserve">). </w:t>
      </w:r>
      <w:proofErr w:type="spellStart"/>
      <w:r>
        <w:rPr>
          <w:rFonts w:cs="Arial"/>
        </w:rPr>
        <w:t>Tris</w:t>
      </w:r>
      <w:proofErr w:type="spellEnd"/>
      <w:r>
        <w:rPr>
          <w:rFonts w:cs="Arial"/>
        </w:rPr>
        <w:t xml:space="preserve"> buffer at 95° for 30 min </w:t>
      </w:r>
      <w:proofErr w:type="gramStart"/>
      <w:r>
        <w:rPr>
          <w:rFonts w:cs="Arial"/>
        </w:rPr>
        <w:t>was used</w:t>
      </w:r>
      <w:proofErr w:type="gramEnd"/>
      <w:r>
        <w:rPr>
          <w:rFonts w:cs="Arial"/>
        </w:rPr>
        <w:t xml:space="preserve"> for antigen retrieval (Leica </w:t>
      </w:r>
      <w:proofErr w:type="spellStart"/>
      <w:r>
        <w:rPr>
          <w:rFonts w:cs="Arial"/>
        </w:rPr>
        <w:t>Biosystems</w:t>
      </w:r>
      <w:proofErr w:type="spellEnd"/>
      <w:r>
        <w:rPr>
          <w:rFonts w:cs="Arial"/>
        </w:rPr>
        <w:t>). The PSMA antibody clone M3620 (</w:t>
      </w:r>
      <w:proofErr w:type="spellStart"/>
      <w:r>
        <w:rPr>
          <w:rFonts w:cs="Arial"/>
        </w:rPr>
        <w:t>Dako</w:t>
      </w:r>
      <w:proofErr w:type="spellEnd"/>
      <w:r>
        <w:rPr>
          <w:rFonts w:cs="Arial"/>
        </w:rPr>
        <w:t xml:space="preserve">-Agilent) was diluted 1:400 and incubated by room temperature for 30 min. Visualization was performed with the Bond Polymer Refine Detection Kit (Leica </w:t>
      </w:r>
      <w:proofErr w:type="spellStart"/>
      <w:r>
        <w:rPr>
          <w:rFonts w:cs="Arial"/>
        </w:rPr>
        <w:t>Biosystems</w:t>
      </w:r>
      <w:proofErr w:type="spellEnd"/>
      <w:r>
        <w:rPr>
          <w:rFonts w:cs="Arial"/>
        </w:rPr>
        <w:t xml:space="preserve">) according to the manufacturer guidelines. </w:t>
      </w:r>
    </w:p>
    <w:p/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6D62898-6ABC-476B-A2F9-F981D617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rFonts w:ascii="Arial" w:hAnsi="Arial"/>
      <w:lang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sz w:val="20"/>
      <w:szCs w:val="20"/>
      <w:lang w:bidi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  <w:lang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INSELGRUPPE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Alberts, Ian Leigh</dc:creator>
  <cp:keywords/>
  <dc:description/>
  <cp:lastModifiedBy>Afshar Oromieh, Ali</cp:lastModifiedBy>
  <cp:revision>3</cp:revision>
  <dcterms:created xsi:type="dcterms:W3CDTF">2021-12-29T14:31:00Z</dcterms:created>
  <dcterms:modified xsi:type="dcterms:W3CDTF">2022-02-11T14:11:00Z</dcterms:modified>
</cp:coreProperties>
</file>