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5FE59" w14:textId="77777777" w:rsidR="00025C89" w:rsidRPr="001258CC" w:rsidRDefault="00025C89" w:rsidP="00025C89">
      <w:pPr>
        <w:pageBreakBefore/>
        <w:spacing w:line="360" w:lineRule="auto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1258CC"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lang w:eastAsia="en-US"/>
        </w:rPr>
        <w:t>SUPPLEMENTARY INFORMATION</w:t>
      </w:r>
    </w:p>
    <w:p w14:paraId="4B5B43D2" w14:textId="77777777" w:rsidR="00025C89" w:rsidRDefault="00025C89" w:rsidP="00025C89">
      <w:pPr>
        <w:spacing w:line="360" w:lineRule="auto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</w:p>
    <w:p w14:paraId="07459E91" w14:textId="77777777" w:rsidR="00025C89" w:rsidRPr="001258CC" w:rsidRDefault="00025C89" w:rsidP="00025C89">
      <w:pPr>
        <w:spacing w:line="360" w:lineRule="auto"/>
        <w:rPr>
          <w:rFonts w:ascii="Arial" w:hAnsi="Arial" w:cs="Arial"/>
          <w:sz w:val="22"/>
          <w:szCs w:val="22"/>
        </w:rPr>
      </w:pPr>
      <w:r w:rsidRPr="001258CC">
        <w:rPr>
          <w:rFonts w:ascii="Arial" w:hAnsi="Arial" w:cs="Arial"/>
          <w:sz w:val="22"/>
          <w:szCs w:val="22"/>
        </w:rPr>
        <w:t>European Journal of Nuclear Medicine and Molecular Imaging</w:t>
      </w:r>
    </w:p>
    <w:p w14:paraId="14E0DAE6" w14:textId="77777777" w:rsidR="00025C89" w:rsidRDefault="00025C89" w:rsidP="00025C89">
      <w:pPr>
        <w:spacing w:line="360" w:lineRule="auto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</w:p>
    <w:p w14:paraId="113A6234" w14:textId="77777777" w:rsidR="00025C89" w:rsidRPr="00E54311" w:rsidRDefault="00025C89" w:rsidP="00025C89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54311">
        <w:rPr>
          <w:rFonts w:ascii="Arial" w:hAnsi="Arial" w:cs="Arial"/>
          <w:b/>
          <w:bCs/>
          <w:color w:val="000000" w:themeColor="text1"/>
          <w:sz w:val="22"/>
          <w:szCs w:val="22"/>
        </w:rPr>
        <w:t>Efficacy and safety of [</w:t>
      </w:r>
      <w:r w:rsidRPr="00E54311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177</w:t>
      </w:r>
      <w:r w:rsidRPr="00E54311">
        <w:rPr>
          <w:rFonts w:ascii="Arial" w:hAnsi="Arial" w:cs="Arial"/>
          <w:b/>
          <w:bCs/>
          <w:color w:val="000000" w:themeColor="text1"/>
          <w:sz w:val="22"/>
          <w:szCs w:val="22"/>
        </w:rPr>
        <w:t>Lu]Lu</w:t>
      </w:r>
      <w:r w:rsidRPr="00E54311">
        <w:rPr>
          <w:rFonts w:ascii="Cambria Math" w:hAnsi="Cambria Math" w:cs="Cambria Math"/>
          <w:b/>
          <w:bCs/>
          <w:color w:val="000000" w:themeColor="text1"/>
          <w:sz w:val="22"/>
          <w:szCs w:val="22"/>
        </w:rPr>
        <w:t>‑</w:t>
      </w:r>
      <w:r w:rsidRPr="00E54311">
        <w:rPr>
          <w:rFonts w:ascii="Arial" w:hAnsi="Arial" w:cs="Arial"/>
          <w:b/>
          <w:bCs/>
          <w:color w:val="000000" w:themeColor="text1"/>
          <w:sz w:val="22"/>
          <w:szCs w:val="22"/>
        </w:rPr>
        <w:t>DOTA-TATE in patients</w:t>
      </w:r>
      <w:r w:rsidRPr="00E54311" w:rsidDel="00B5499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E54311">
        <w:rPr>
          <w:rFonts w:ascii="Arial" w:hAnsi="Arial" w:cs="Arial"/>
          <w:b/>
          <w:bCs/>
          <w:color w:val="000000" w:themeColor="text1"/>
          <w:sz w:val="22"/>
          <w:szCs w:val="22"/>
        </w:rPr>
        <w:t>with advanced pancreatic neuroendocrine tumours: data from the NETTER-R international, retrospective study</w:t>
      </w:r>
    </w:p>
    <w:p w14:paraId="07D624A9" w14:textId="77777777" w:rsidR="00025C89" w:rsidRPr="001258CC" w:rsidRDefault="00025C89" w:rsidP="00025C89">
      <w:pPr>
        <w:spacing w:line="360" w:lineRule="auto"/>
        <w:rPr>
          <w:rFonts w:ascii="Arial" w:hAnsi="Arial" w:cs="Arial"/>
          <w:sz w:val="22"/>
          <w:szCs w:val="22"/>
        </w:rPr>
      </w:pPr>
    </w:p>
    <w:p w14:paraId="3D490A9C" w14:textId="77777777" w:rsidR="00025C89" w:rsidRPr="001258CC" w:rsidRDefault="00025C89" w:rsidP="00025C89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1258CC">
        <w:rPr>
          <w:rFonts w:ascii="Arial" w:hAnsi="Arial" w:cs="Arial"/>
          <w:color w:val="000000" w:themeColor="text1"/>
          <w:sz w:val="22"/>
          <w:szCs w:val="22"/>
        </w:rPr>
        <w:t>Dominique Clement, Shaunak Navalkissoor, Rajaventhan Srirajaskanthan, Frédéric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1258CC">
        <w:rPr>
          <w:rFonts w:ascii="Arial" w:hAnsi="Arial" w:cs="Arial"/>
          <w:color w:val="000000" w:themeColor="text1"/>
          <w:sz w:val="22"/>
          <w:szCs w:val="22"/>
        </w:rPr>
        <w:t>Courbon, Lawrence Dierickx, Amy Eccles, Valerie Lewington, Mercedes Mitjavila, Juan Carlos Percovich, Benoît Lequoy, Beilei He, Ilya Folitar, John Ramage</w:t>
      </w:r>
    </w:p>
    <w:p w14:paraId="3628EAC0" w14:textId="77777777" w:rsidR="00025C89" w:rsidRPr="001258CC" w:rsidRDefault="00025C89" w:rsidP="00025C89">
      <w:pPr>
        <w:spacing w:line="360" w:lineRule="auto"/>
        <w:rPr>
          <w:rFonts w:ascii="Arial" w:hAnsi="Arial" w:cs="Arial"/>
          <w:sz w:val="22"/>
          <w:szCs w:val="22"/>
        </w:rPr>
      </w:pPr>
    </w:p>
    <w:p w14:paraId="5AC286B0" w14:textId="77777777" w:rsidR="00025C89" w:rsidRPr="001258CC" w:rsidRDefault="00025C89" w:rsidP="00025C8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1258CC">
        <w:rPr>
          <w:rFonts w:ascii="Arial" w:hAnsi="Arial" w:cs="Arial"/>
          <w:b/>
          <w:bCs/>
          <w:sz w:val="22"/>
          <w:szCs w:val="22"/>
        </w:rPr>
        <w:t>Corresponding author</w:t>
      </w:r>
    </w:p>
    <w:p w14:paraId="73B5FDF4" w14:textId="77777777" w:rsidR="00025C89" w:rsidRDefault="00025C89" w:rsidP="00025C89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1258CC">
        <w:rPr>
          <w:rFonts w:ascii="Arial" w:hAnsi="Arial" w:cs="Arial"/>
          <w:color w:val="000000" w:themeColor="text1"/>
          <w:sz w:val="22"/>
          <w:szCs w:val="22"/>
        </w:rPr>
        <w:t>Dominique Clement</w:t>
      </w:r>
    </w:p>
    <w:p w14:paraId="27DC68B0" w14:textId="77777777" w:rsidR="00025C89" w:rsidRPr="001258CC" w:rsidRDefault="00025C89" w:rsidP="00025C89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01B4D">
        <w:rPr>
          <w:rFonts w:ascii="Arial" w:hAnsi="Arial" w:cs="Arial"/>
          <w:color w:val="000000" w:themeColor="text1"/>
          <w:sz w:val="22"/>
          <w:szCs w:val="22"/>
        </w:rPr>
        <w:t>King’s College Hospital, London, UK</w:t>
      </w:r>
    </w:p>
    <w:p w14:paraId="4DA8E2E8" w14:textId="77777777" w:rsidR="00025C89" w:rsidRPr="001258CC" w:rsidRDefault="00025C89" w:rsidP="00025C89">
      <w:pPr>
        <w:spacing w:line="360" w:lineRule="auto"/>
        <w:rPr>
          <w:rFonts w:ascii="Arial" w:hAnsi="Arial" w:cs="Arial"/>
          <w:sz w:val="22"/>
          <w:szCs w:val="22"/>
        </w:rPr>
      </w:pPr>
      <w:r w:rsidRPr="001258CC">
        <w:rPr>
          <w:rFonts w:ascii="Arial" w:hAnsi="Arial" w:cs="Arial"/>
          <w:sz w:val="22"/>
          <w:szCs w:val="22"/>
        </w:rPr>
        <w:t>dominique.clement@nhs.net</w:t>
      </w:r>
    </w:p>
    <w:p w14:paraId="6315B63F" w14:textId="77777777" w:rsidR="00025C89" w:rsidRPr="001258CC" w:rsidRDefault="00025C89" w:rsidP="00025C8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2FD722A" w14:textId="77777777" w:rsidR="00025C89" w:rsidRPr="001258CC" w:rsidRDefault="00025C89" w:rsidP="00025C89">
      <w:pPr>
        <w:spacing w:line="360" w:lineRule="auto"/>
        <w:ind w:left="360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</w:p>
    <w:p w14:paraId="6011A8F2" w14:textId="77777777" w:rsidR="00025C89" w:rsidRPr="001258CC" w:rsidRDefault="00025C89" w:rsidP="00025C89">
      <w:pPr>
        <w:spacing w:line="360" w:lineRule="auto"/>
        <w:ind w:left="360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</w:p>
    <w:p w14:paraId="208B3724" w14:textId="77777777" w:rsidR="00025C89" w:rsidRPr="001258CC" w:rsidRDefault="00025C89" w:rsidP="00025C89">
      <w:pPr>
        <w:pageBreakBefore/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Supplementary Table</w:t>
      </w:r>
      <w:r w:rsidRPr="001258CC">
        <w:rPr>
          <w:rFonts w:ascii="Arial" w:hAnsi="Arial" w:cs="Arial"/>
          <w:b/>
          <w:bCs/>
          <w:sz w:val="22"/>
          <w:szCs w:val="22"/>
        </w:rPr>
        <w:t xml:space="preserve"> 1 </w:t>
      </w:r>
      <w:r w:rsidRPr="001258CC">
        <w:rPr>
          <w:rFonts w:ascii="Arial" w:hAnsi="Arial" w:cs="Arial"/>
          <w:sz w:val="22"/>
          <w:szCs w:val="22"/>
        </w:rPr>
        <w:t xml:space="preserve">Baseline patient characteristics (SAS, </w:t>
      </w:r>
      <w:r w:rsidRPr="00B5141E">
        <w:rPr>
          <w:rFonts w:ascii="Arial" w:hAnsi="Arial" w:cs="Arial"/>
          <w:i/>
          <w:iCs/>
          <w:sz w:val="22"/>
          <w:szCs w:val="22"/>
        </w:rPr>
        <w:t>n</w:t>
      </w:r>
      <w:r w:rsidRPr="001258CC">
        <w:rPr>
          <w:rFonts w:ascii="Arial" w:hAnsi="Arial" w:cs="Arial"/>
          <w:sz w:val="22"/>
          <w:szCs w:val="22"/>
        </w:rPr>
        <w:t>=110)</w:t>
      </w:r>
    </w:p>
    <w:p w14:paraId="17CF10C9" w14:textId="77777777" w:rsidR="00025C89" w:rsidRPr="001258CC" w:rsidRDefault="00025C89" w:rsidP="00025C89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8926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410"/>
      </w:tblGrid>
      <w:tr w:rsidR="00025C89" w:rsidRPr="001258CC" w14:paraId="6081F5DF" w14:textId="77777777" w:rsidTr="004D63FF">
        <w:trPr>
          <w:jc w:val="center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auto"/>
          </w:tcPr>
          <w:p w14:paraId="7DC3A50A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t>Patient demographics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59F6F69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25C89" w:rsidRPr="001258CC" w14:paraId="22DB427D" w14:textId="77777777" w:rsidTr="004D63FF">
        <w:trPr>
          <w:jc w:val="center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auto"/>
          </w:tcPr>
          <w:p w14:paraId="74C246F9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Age (years)</w:t>
            </w:r>
          </w:p>
          <w:p w14:paraId="5C29ABED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Mean (SD)</w:t>
            </w:r>
          </w:p>
          <w:p w14:paraId="45B58B79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Q1–Q3</w:t>
            </w:r>
          </w:p>
          <w:p w14:paraId="60B47BC5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Median</w:t>
            </w:r>
          </w:p>
          <w:p w14:paraId="06FD141B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Min–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1258CC">
              <w:rPr>
                <w:rFonts w:ascii="Arial" w:hAnsi="Arial" w:cs="Arial"/>
                <w:sz w:val="22"/>
                <w:szCs w:val="22"/>
              </w:rPr>
              <w:t>ax</w:t>
            </w:r>
          </w:p>
          <w:p w14:paraId="35F8F3A0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Weight (kg)</w:t>
            </w:r>
          </w:p>
          <w:p w14:paraId="2AA71439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Mean (SD)</w:t>
            </w:r>
          </w:p>
          <w:p w14:paraId="66BF930A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Q1–Q3</w:t>
            </w:r>
          </w:p>
          <w:p w14:paraId="5E78D9A5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Median</w:t>
            </w:r>
          </w:p>
          <w:p w14:paraId="5D42882D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Min–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1258CC">
              <w:rPr>
                <w:rFonts w:ascii="Arial" w:hAnsi="Arial" w:cs="Arial"/>
                <w:sz w:val="22"/>
                <w:szCs w:val="22"/>
              </w:rPr>
              <w:t>ax</w:t>
            </w:r>
          </w:p>
          <w:p w14:paraId="5C6EFC24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Sex</w:t>
            </w:r>
            <w:r w:rsidRPr="001258C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B5141E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 xml:space="preserve"> (%)</w:t>
            </w:r>
          </w:p>
          <w:p w14:paraId="28CBCA18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Female</w:t>
            </w:r>
          </w:p>
          <w:p w14:paraId="2D14CC78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Male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1F4D197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1957F5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58 (12.2)</w:t>
            </w:r>
          </w:p>
          <w:p w14:paraId="7F50447E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50.0–66.0</w:t>
            </w:r>
          </w:p>
          <w:p w14:paraId="45608498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58.0</w:t>
            </w:r>
          </w:p>
          <w:p w14:paraId="22CB8793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28–89</w:t>
            </w:r>
          </w:p>
          <w:p w14:paraId="751CC966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673454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68.9 (15.8)</w:t>
            </w:r>
          </w:p>
          <w:p w14:paraId="4E4F7878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58.7–77.8</w:t>
            </w:r>
          </w:p>
          <w:p w14:paraId="59CD7A78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68.0</w:t>
            </w:r>
          </w:p>
          <w:p w14:paraId="3AE0367E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42.0–138.0</w:t>
            </w:r>
          </w:p>
          <w:p w14:paraId="46976500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90A9A0D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52 (47.3)</w:t>
            </w:r>
          </w:p>
          <w:p w14:paraId="66C4B186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58 (52.7)</w:t>
            </w:r>
          </w:p>
        </w:tc>
      </w:tr>
      <w:tr w:rsidR="00025C89" w:rsidRPr="001258CC" w14:paraId="484D700E" w14:textId="77777777" w:rsidTr="004D63FF">
        <w:trPr>
          <w:jc w:val="center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auto"/>
          </w:tcPr>
          <w:p w14:paraId="509282F6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t>Tumour evaluation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FB6F122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14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(%)</w:t>
            </w:r>
          </w:p>
        </w:tc>
      </w:tr>
      <w:tr w:rsidR="00025C89" w:rsidRPr="001258CC" w14:paraId="2894096F" w14:textId="77777777" w:rsidTr="004D63FF">
        <w:trPr>
          <w:jc w:val="center"/>
        </w:trPr>
        <w:tc>
          <w:tcPr>
            <w:tcW w:w="8926" w:type="dxa"/>
            <w:gridSpan w:val="2"/>
            <w:tcBorders>
              <w:bottom w:val="nil"/>
            </w:tcBorders>
            <w:shd w:val="clear" w:color="auto" w:fill="auto"/>
          </w:tcPr>
          <w:p w14:paraId="5DD0A698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WHO NET grade</w:t>
            </w:r>
          </w:p>
        </w:tc>
      </w:tr>
      <w:tr w:rsidR="00025C89" w:rsidRPr="001258CC" w14:paraId="7A1FE643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523AB699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NET, G1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317BEC2A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30 (27.3)</w:t>
            </w:r>
          </w:p>
        </w:tc>
      </w:tr>
      <w:tr w:rsidR="00025C89" w:rsidRPr="001258CC" w14:paraId="37D7A6F3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34D1A4D5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NET, G2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69AD4908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71 (64.5)</w:t>
            </w:r>
          </w:p>
        </w:tc>
      </w:tr>
      <w:tr w:rsidR="00025C89" w:rsidRPr="001258CC" w14:paraId="1109F5B7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672C9975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NET, G3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35080DE6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 (2.7)</w:t>
            </w:r>
          </w:p>
        </w:tc>
      </w:tr>
      <w:tr w:rsidR="00025C89" w:rsidRPr="001258CC" w14:paraId="4276DF9C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46243A0F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Missing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76D41D59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6 (5.5)</w:t>
            </w:r>
          </w:p>
        </w:tc>
      </w:tr>
      <w:tr w:rsidR="00025C89" w:rsidRPr="001258CC" w14:paraId="2AAF9E55" w14:textId="77777777" w:rsidTr="004D63FF">
        <w:trPr>
          <w:jc w:val="center"/>
        </w:trPr>
        <w:tc>
          <w:tcPr>
            <w:tcW w:w="892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56D3C4F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Ki-67 index</w:t>
            </w:r>
            <w:r w:rsidRPr="001258CC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</w:tr>
      <w:tr w:rsidR="00025C89" w:rsidRPr="001258CC" w14:paraId="3215C5BF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2E59F17B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≤2%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4B91C3EA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26 (23.6)</w:t>
            </w:r>
          </w:p>
        </w:tc>
      </w:tr>
      <w:tr w:rsidR="00025C89" w:rsidRPr="001258CC" w14:paraId="6D66D761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084FECC8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</w:t>
            </w: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–</w:t>
            </w:r>
            <w:r w:rsidRPr="001258CC">
              <w:rPr>
                <w:rFonts w:ascii="Arial" w:hAnsi="Arial" w:cs="Arial"/>
                <w:sz w:val="22"/>
                <w:szCs w:val="22"/>
              </w:rPr>
              <w:t>20%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7D3B7790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73 (66.4)</w:t>
            </w:r>
          </w:p>
        </w:tc>
      </w:tr>
      <w:tr w:rsidR="00025C89" w:rsidRPr="001258CC" w14:paraId="5F6A2E56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1D619F0C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&gt;20%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451F5E1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 (2.7)</w:t>
            </w:r>
          </w:p>
        </w:tc>
      </w:tr>
      <w:tr w:rsidR="00025C89" w:rsidRPr="001258CC" w14:paraId="653033B9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0780951A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Missing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6AE4C396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8 (7.3)</w:t>
            </w:r>
          </w:p>
        </w:tc>
      </w:tr>
      <w:tr w:rsidR="00025C89" w:rsidRPr="001258CC" w14:paraId="14E0873D" w14:textId="77777777" w:rsidTr="004D63FF">
        <w:trPr>
          <w:jc w:val="center"/>
        </w:trPr>
        <w:tc>
          <w:tcPr>
            <w:tcW w:w="892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53D1F25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Site of metastasis</w:t>
            </w:r>
          </w:p>
        </w:tc>
      </w:tr>
      <w:tr w:rsidR="00025C89" w:rsidRPr="001258CC" w14:paraId="26EA9B97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04B0FCDD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Liver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14E16BA0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105 (95.5)</w:t>
            </w:r>
          </w:p>
        </w:tc>
      </w:tr>
      <w:tr w:rsidR="00025C89" w:rsidRPr="001258CC" w14:paraId="0526F32A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115FA7C1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Lymph nodes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1DB35DE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47 (42.7)</w:t>
            </w:r>
          </w:p>
        </w:tc>
      </w:tr>
      <w:tr w:rsidR="00025C89" w:rsidRPr="001258CC" w14:paraId="7730022C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424B5039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Bone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5E517CDD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32 (29.1)</w:t>
            </w:r>
          </w:p>
        </w:tc>
      </w:tr>
      <w:tr w:rsidR="00025C89" w:rsidRPr="001258CC" w14:paraId="3DF62AF4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07D054AA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Lungs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5E4CA8D7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4 (3.6)</w:t>
            </w:r>
          </w:p>
        </w:tc>
      </w:tr>
      <w:tr w:rsidR="00025C89" w:rsidRPr="001258CC" w14:paraId="0B347B11" w14:textId="77777777" w:rsidTr="004D63FF">
        <w:trPr>
          <w:jc w:val="center"/>
        </w:trPr>
        <w:tc>
          <w:tcPr>
            <w:tcW w:w="892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7DAAD3B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Liver tumour burden</w:t>
            </w:r>
          </w:p>
        </w:tc>
      </w:tr>
      <w:tr w:rsidR="00025C89" w:rsidRPr="001258CC" w14:paraId="3C6905F5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7761EB5A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Liver burden &lt;10%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028ED409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9 (8.2)</w:t>
            </w:r>
          </w:p>
        </w:tc>
      </w:tr>
      <w:tr w:rsidR="00025C89" w:rsidRPr="001258CC" w14:paraId="0342226F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241653B0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Liver burden ≥10% to ≤25%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07953C97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32 (29.1)</w:t>
            </w:r>
          </w:p>
        </w:tc>
      </w:tr>
      <w:tr w:rsidR="00025C89" w:rsidRPr="001258CC" w14:paraId="0E2221F2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1B2FAAEF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Liver burden &gt;25% or more than two liver lesions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0EBD458E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39 (35.5)</w:t>
            </w:r>
          </w:p>
        </w:tc>
      </w:tr>
      <w:tr w:rsidR="00025C89" w:rsidRPr="001258CC" w14:paraId="2A7F731F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4E7CEDB8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lastRenderedPageBreak/>
              <w:t>Missing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29B89D83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30 (27.3)</w:t>
            </w:r>
          </w:p>
        </w:tc>
      </w:tr>
      <w:tr w:rsidR="00025C89" w:rsidRPr="001258CC" w14:paraId="4B41307F" w14:textId="77777777" w:rsidTr="004D63FF">
        <w:trPr>
          <w:jc w:val="center"/>
        </w:trPr>
        <w:tc>
          <w:tcPr>
            <w:tcW w:w="892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6703F81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Tumour status</w:t>
            </w:r>
          </w:p>
        </w:tc>
      </w:tr>
      <w:tr w:rsidR="00025C89" w:rsidRPr="001258CC" w14:paraId="53B4CB3C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1EEE6310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Functional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3A5B1802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33 (30.0)</w:t>
            </w:r>
          </w:p>
        </w:tc>
      </w:tr>
      <w:tr w:rsidR="00025C89" w:rsidRPr="001258CC" w14:paraId="3131081F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59E593B6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Non-functional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5760A1EE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63 (57.3)</w:t>
            </w:r>
          </w:p>
        </w:tc>
      </w:tr>
      <w:tr w:rsidR="00025C89" w:rsidRPr="001258CC" w14:paraId="6FBDEC8E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41114CE0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Not assessed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4FBF0F61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12 (10.9)</w:t>
            </w:r>
          </w:p>
        </w:tc>
      </w:tr>
      <w:tr w:rsidR="00025C89" w:rsidRPr="001258CC" w14:paraId="1411C691" w14:textId="77777777" w:rsidTr="004D63FF">
        <w:trPr>
          <w:jc w:val="center"/>
        </w:trPr>
        <w:tc>
          <w:tcPr>
            <w:tcW w:w="6516" w:type="dxa"/>
            <w:tcBorders>
              <w:top w:val="nil"/>
            </w:tcBorders>
            <w:shd w:val="clear" w:color="auto" w:fill="auto"/>
          </w:tcPr>
          <w:p w14:paraId="6428E823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Missing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105E7DEE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2 (1.8)</w:t>
            </w:r>
          </w:p>
        </w:tc>
      </w:tr>
      <w:tr w:rsidR="00025C89" w:rsidRPr="001258CC" w14:paraId="45440D46" w14:textId="77777777" w:rsidTr="004D63FF">
        <w:trPr>
          <w:jc w:val="center"/>
        </w:trPr>
        <w:tc>
          <w:tcPr>
            <w:tcW w:w="6516" w:type="dxa"/>
            <w:tcBorders>
              <w:bottom w:val="single" w:sz="4" w:space="0" w:color="auto"/>
            </w:tcBorders>
            <w:shd w:val="clear" w:color="auto" w:fill="auto"/>
          </w:tcPr>
          <w:p w14:paraId="08FB5782" w14:textId="77777777" w:rsidR="00025C89" w:rsidRPr="001258CC" w:rsidRDefault="00025C89" w:rsidP="004D63FF">
            <w:pPr>
              <w:tabs>
                <w:tab w:val="left" w:pos="585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t>Treatment history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D58DDD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14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(%)</w:t>
            </w:r>
          </w:p>
        </w:tc>
      </w:tr>
      <w:tr w:rsidR="00025C89" w:rsidRPr="001258CC" w14:paraId="3D0A12A9" w14:textId="77777777" w:rsidTr="004D63FF">
        <w:trPr>
          <w:jc w:val="center"/>
        </w:trPr>
        <w:tc>
          <w:tcPr>
            <w:tcW w:w="8926" w:type="dxa"/>
            <w:gridSpan w:val="2"/>
            <w:tcBorders>
              <w:bottom w:val="nil"/>
            </w:tcBorders>
            <w:shd w:val="clear" w:color="auto" w:fill="auto"/>
          </w:tcPr>
          <w:p w14:paraId="5EBE13CA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Patients having previously received anticancer therapy</w:t>
            </w:r>
          </w:p>
        </w:tc>
      </w:tr>
      <w:tr w:rsidR="00025C89" w:rsidRPr="001258CC" w14:paraId="4CB2E45F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467AB4E9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6C7B2E7A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101 (91.8)</w:t>
            </w:r>
          </w:p>
        </w:tc>
      </w:tr>
      <w:tr w:rsidR="00025C89" w:rsidRPr="001258CC" w14:paraId="1A7A613C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05EFF9A4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6248B5F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9 (8.2)</w:t>
            </w:r>
          </w:p>
        </w:tc>
      </w:tr>
      <w:tr w:rsidR="00025C89" w:rsidRPr="001258CC" w14:paraId="30E87773" w14:textId="77777777" w:rsidTr="004D63FF">
        <w:trPr>
          <w:jc w:val="center"/>
        </w:trPr>
        <w:tc>
          <w:tcPr>
            <w:tcW w:w="892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3F108B8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Number of prior anticancer treatments</w:t>
            </w:r>
          </w:p>
        </w:tc>
      </w:tr>
      <w:tr w:rsidR="00025C89" w:rsidRPr="001258CC" w14:paraId="476DF91A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613B533D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3BF52A8B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37 (33.6)</w:t>
            </w:r>
          </w:p>
        </w:tc>
      </w:tr>
      <w:tr w:rsidR="00025C89" w:rsidRPr="001258CC" w14:paraId="3FD8C501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60FA35C8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79EE239A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24 (21.8)</w:t>
            </w:r>
          </w:p>
        </w:tc>
      </w:tr>
      <w:tr w:rsidR="00025C89" w:rsidRPr="001258CC" w14:paraId="0C459C9C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7A0A8D27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01D6108D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9 (8.2)</w:t>
            </w:r>
          </w:p>
        </w:tc>
      </w:tr>
      <w:tr w:rsidR="00025C89" w:rsidRPr="001258CC" w14:paraId="3EFE917C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6595C6AB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≥4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3DF36F38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31 (28.2)</w:t>
            </w:r>
          </w:p>
        </w:tc>
      </w:tr>
      <w:tr w:rsidR="00025C89" w:rsidRPr="001258CC" w14:paraId="330EE557" w14:textId="77777777" w:rsidTr="004D63FF">
        <w:trPr>
          <w:jc w:val="center"/>
        </w:trPr>
        <w:tc>
          <w:tcPr>
            <w:tcW w:w="892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720093B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Prior anticancer therapy</w:t>
            </w:r>
          </w:p>
        </w:tc>
      </w:tr>
      <w:tr w:rsidR="00025C89" w:rsidRPr="001258CC" w14:paraId="6031ED24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5D810A54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≥1 chemotherapy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3A761C8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52 (47.3)</w:t>
            </w:r>
          </w:p>
        </w:tc>
      </w:tr>
      <w:tr w:rsidR="00025C89" w:rsidRPr="001258CC" w14:paraId="626E522C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76636673" w14:textId="26724D96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 xml:space="preserve">≥1 </w:t>
            </w:r>
            <w:r w:rsidR="00103B9A">
              <w:rPr>
                <w:rFonts w:ascii="Arial" w:hAnsi="Arial" w:cs="Arial"/>
                <w:sz w:val="22"/>
                <w:szCs w:val="22"/>
              </w:rPr>
              <w:t>protein</w:t>
            </w:r>
            <w:r w:rsidR="00103B9A" w:rsidRPr="001258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58CC">
              <w:rPr>
                <w:rFonts w:ascii="Arial" w:hAnsi="Arial" w:cs="Arial"/>
                <w:sz w:val="22"/>
                <w:szCs w:val="22"/>
              </w:rPr>
              <w:t>kinase inhibitor</w:t>
            </w:r>
            <w:r w:rsidR="00103B9A" w:rsidRPr="00103B9A">
              <w:rPr>
                <w:rFonts w:ascii="Arial" w:hAnsi="Arial" w:cs="Arial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5E5E4AF4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42 (38.2)</w:t>
            </w:r>
          </w:p>
        </w:tc>
      </w:tr>
      <w:tr w:rsidR="00025C89" w:rsidRPr="001258CC" w14:paraId="30CC7BFF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29C62C29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 xml:space="preserve">≥1 </w:t>
            </w: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SSA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3298F3C4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77 (70.0)</w:t>
            </w:r>
          </w:p>
        </w:tc>
      </w:tr>
      <w:tr w:rsidR="00025C89" w:rsidRPr="001258CC" w14:paraId="692C68DD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2FBDBEA7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 xml:space="preserve">≥1 </w:t>
            </w: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other anticancer therapy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1D47DE6B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 (2.7)</w:t>
            </w:r>
          </w:p>
        </w:tc>
      </w:tr>
      <w:tr w:rsidR="00025C89" w:rsidRPr="001258CC" w14:paraId="459E763E" w14:textId="77777777" w:rsidTr="004D63FF">
        <w:trPr>
          <w:jc w:val="center"/>
        </w:trPr>
        <w:tc>
          <w:tcPr>
            <w:tcW w:w="892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7BFD6C0" w14:textId="35986041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Progression at </w:t>
            </w:r>
            <w:r w:rsidR="00103B9A"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baseline</w:t>
            </w:r>
            <w:r w:rsidR="00103B9A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c</w:t>
            </w:r>
          </w:p>
        </w:tc>
      </w:tr>
      <w:tr w:rsidR="00025C89" w:rsidRPr="001258CC" w14:paraId="5FEB1A68" w14:textId="77777777" w:rsidTr="004D63FF">
        <w:trPr>
          <w:jc w:val="center"/>
        </w:trPr>
        <w:tc>
          <w:tcPr>
            <w:tcW w:w="6516" w:type="dxa"/>
            <w:tcBorders>
              <w:top w:val="nil"/>
              <w:bottom w:val="nil"/>
            </w:tcBorders>
            <w:shd w:val="clear" w:color="auto" w:fill="auto"/>
          </w:tcPr>
          <w:p w14:paraId="6B2AF0FA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696B9975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106 (96.4)</w:t>
            </w:r>
          </w:p>
        </w:tc>
      </w:tr>
      <w:tr w:rsidR="00025C89" w:rsidRPr="001258CC" w14:paraId="4C0B6F37" w14:textId="77777777" w:rsidTr="004D63FF">
        <w:trPr>
          <w:jc w:val="center"/>
        </w:trPr>
        <w:tc>
          <w:tcPr>
            <w:tcW w:w="6516" w:type="dxa"/>
            <w:tcBorders>
              <w:top w:val="nil"/>
            </w:tcBorders>
            <w:shd w:val="clear" w:color="auto" w:fill="auto"/>
          </w:tcPr>
          <w:p w14:paraId="5961001D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794E4DCB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4 (3.6)</w:t>
            </w:r>
          </w:p>
        </w:tc>
      </w:tr>
    </w:tbl>
    <w:p w14:paraId="6DB65E3B" w14:textId="678FB7D2" w:rsidR="00025C89" w:rsidRPr="001258CC" w:rsidRDefault="00025C89" w:rsidP="00025C89">
      <w:pPr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1258CC">
        <w:rPr>
          <w:rFonts w:ascii="Arial" w:hAnsi="Arial" w:cs="Arial"/>
          <w:color w:val="000000" w:themeColor="text1"/>
          <w:sz w:val="18"/>
          <w:szCs w:val="18"/>
          <w:vertAlign w:val="superscript"/>
        </w:rPr>
        <w:t>a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Differences in Ki-67 index and WHO grade are due to the retrospective nature of the study and available data (some patients had missing Ki-67 index or WHO grade).</w:t>
      </w:r>
      <w:r w:rsidR="00103B9A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0F0BE8" w:rsidRPr="000F0BE8">
        <w:rPr>
          <w:rFonts w:ascii="Arial" w:hAnsi="Arial" w:cs="Arial"/>
          <w:color w:val="000000" w:themeColor="text1"/>
          <w:sz w:val="18"/>
          <w:szCs w:val="18"/>
          <w:vertAlign w:val="superscript"/>
        </w:rPr>
        <w:t>b</w:t>
      </w:r>
      <w:r w:rsidR="000F0BE8">
        <w:rPr>
          <w:rFonts w:ascii="Arial" w:hAnsi="Arial" w:cs="Arial"/>
          <w:color w:val="000000" w:themeColor="text1"/>
          <w:sz w:val="18"/>
          <w:szCs w:val="18"/>
        </w:rPr>
        <w:t>Protein kinase inhibitors used included everolimus, sunitinib and dactolisib</w:t>
      </w:r>
      <w:r w:rsidR="00103B9A">
        <w:rPr>
          <w:rFonts w:ascii="Arial" w:hAnsi="Arial" w:cs="Arial"/>
          <w:color w:val="000000" w:themeColor="text1"/>
          <w:sz w:val="18"/>
          <w:szCs w:val="18"/>
        </w:rPr>
        <w:t>.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103B9A">
        <w:rPr>
          <w:rFonts w:ascii="Arial" w:hAnsi="Arial" w:cs="Arial"/>
          <w:color w:val="000000" w:themeColor="text1"/>
          <w:sz w:val="18"/>
          <w:szCs w:val="18"/>
          <w:vertAlign w:val="superscript"/>
        </w:rPr>
        <w:t>c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Patients without progression at baseline were diagnosed with metastatic panNETs within 3 months of receiving the first cycle of </w:t>
      </w:r>
      <w:r>
        <w:rPr>
          <w:rFonts w:ascii="Arial" w:hAnsi="Arial" w:cs="Arial"/>
          <w:color w:val="000000" w:themeColor="text1"/>
          <w:sz w:val="18"/>
          <w:szCs w:val="18"/>
        </w:rPr>
        <w:t>[</w:t>
      </w:r>
      <w:r w:rsidRPr="001258CC">
        <w:rPr>
          <w:rFonts w:ascii="Arial" w:hAnsi="Arial" w:cs="Arial"/>
          <w:color w:val="000000" w:themeColor="text1"/>
          <w:sz w:val="18"/>
          <w:szCs w:val="18"/>
          <w:vertAlign w:val="superscript"/>
        </w:rPr>
        <w:t>177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Lu</w:t>
      </w:r>
      <w:r>
        <w:rPr>
          <w:rFonts w:ascii="Arial" w:hAnsi="Arial" w:cs="Arial"/>
          <w:color w:val="000000" w:themeColor="text1"/>
          <w:sz w:val="18"/>
          <w:szCs w:val="18"/>
        </w:rPr>
        <w:t>]Lu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-DOTA</w:t>
      </w:r>
      <w:r>
        <w:rPr>
          <w:rFonts w:ascii="Arial" w:hAnsi="Arial" w:cs="Arial"/>
          <w:color w:val="000000" w:themeColor="text1"/>
          <w:sz w:val="18"/>
          <w:szCs w:val="18"/>
        </w:rPr>
        <w:t>-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TATE</w:t>
      </w:r>
    </w:p>
    <w:p w14:paraId="0849E1B1" w14:textId="77777777" w:rsidR="00025C89" w:rsidRPr="001258CC" w:rsidRDefault="00025C89" w:rsidP="00025C89">
      <w:pPr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G1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grade 1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G2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grade 2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G3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grade 3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B5141E">
        <w:rPr>
          <w:rFonts w:ascii="Arial" w:hAnsi="Arial" w:cs="Arial"/>
          <w:i/>
          <w:iCs/>
          <w:color w:val="000000" w:themeColor="text1"/>
          <w:sz w:val="18"/>
          <w:szCs w:val="18"/>
        </w:rPr>
        <w:t>max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maximum, </w:t>
      </w:r>
      <w:r w:rsidRPr="00B5141E">
        <w:rPr>
          <w:rFonts w:ascii="Arial" w:hAnsi="Arial" w:cs="Arial"/>
          <w:i/>
          <w:iCs/>
          <w:color w:val="000000" w:themeColor="text1"/>
          <w:sz w:val="18"/>
          <w:szCs w:val="18"/>
        </w:rPr>
        <w:t>min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minimum,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mTORi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mechanistic target of rapamycin inhibitor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NET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neuroendocrine tumour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B5141E">
        <w:rPr>
          <w:rFonts w:ascii="Arial" w:hAnsi="Arial" w:cs="Arial"/>
          <w:i/>
          <w:iCs/>
          <w:color w:val="000000" w:themeColor="text1"/>
          <w:sz w:val="18"/>
          <w:szCs w:val="18"/>
        </w:rPr>
        <w:t>pan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NET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pancreatic 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neuroendocrine tumour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B5141E">
        <w:rPr>
          <w:rFonts w:ascii="Arial" w:hAnsi="Arial" w:cs="Arial"/>
          <w:i/>
          <w:iCs/>
          <w:color w:val="000000" w:themeColor="text1"/>
          <w:sz w:val="18"/>
          <w:szCs w:val="18"/>
        </w:rPr>
        <w:t>Q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quartile,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SAS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safety analysis set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B5141E">
        <w:rPr>
          <w:rFonts w:ascii="Arial" w:hAnsi="Arial" w:cs="Arial"/>
          <w:i/>
          <w:iCs/>
          <w:color w:val="000000" w:themeColor="text1"/>
          <w:sz w:val="18"/>
          <w:szCs w:val="18"/>
        </w:rPr>
        <w:t>SD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standard deviation,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SSA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258CC">
        <w:rPr>
          <w:rFonts w:ascii="Arial" w:hAnsi="Arial" w:cs="Arial"/>
          <w:sz w:val="18"/>
          <w:szCs w:val="18"/>
        </w:rPr>
        <w:t>somatostatin analogue</w:t>
      </w:r>
      <w:r>
        <w:rPr>
          <w:rFonts w:ascii="Arial" w:hAnsi="Arial" w:cs="Arial"/>
          <w:sz w:val="18"/>
          <w:szCs w:val="18"/>
        </w:rPr>
        <w:t>,</w:t>
      </w:r>
      <w:r w:rsidRPr="001258CC">
        <w:rPr>
          <w:rFonts w:ascii="Arial" w:hAnsi="Arial" w:cs="Arial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sz w:val="18"/>
          <w:szCs w:val="18"/>
        </w:rPr>
        <w:t>WHO</w:t>
      </w:r>
      <w:r w:rsidRPr="001258CC">
        <w:rPr>
          <w:rFonts w:ascii="Arial" w:hAnsi="Arial" w:cs="Arial"/>
          <w:sz w:val="18"/>
          <w:szCs w:val="18"/>
        </w:rPr>
        <w:t xml:space="preserve"> World Health Organization</w:t>
      </w:r>
    </w:p>
    <w:p w14:paraId="1563F847" w14:textId="77777777" w:rsidR="00025C89" w:rsidRPr="001258CC" w:rsidRDefault="00025C89" w:rsidP="00025C89">
      <w:pPr>
        <w:spacing w:line="360" w:lineRule="auto"/>
        <w:ind w:left="360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</w:p>
    <w:p w14:paraId="37387F61" w14:textId="77777777" w:rsidR="00025C89" w:rsidRPr="001258CC" w:rsidRDefault="00025C89" w:rsidP="00025C89">
      <w:pP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1258CC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br w:type="page"/>
      </w:r>
    </w:p>
    <w:p w14:paraId="0D7B7FF0" w14:textId="77777777" w:rsidR="00025C89" w:rsidRPr="001258CC" w:rsidRDefault="00025C89" w:rsidP="00025C89">
      <w:pPr>
        <w:pageBreakBefore/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Supplementary Table</w:t>
      </w:r>
      <w:r w:rsidRPr="001258CC">
        <w:rPr>
          <w:rFonts w:ascii="Arial" w:hAnsi="Arial" w:cs="Arial"/>
          <w:b/>
          <w:bCs/>
          <w:sz w:val="22"/>
          <w:szCs w:val="22"/>
        </w:rPr>
        <w:t xml:space="preserve"> 2 </w:t>
      </w:r>
      <w:r w:rsidRPr="001258CC">
        <w:rPr>
          <w:rFonts w:ascii="Arial" w:hAnsi="Arial" w:cs="Arial"/>
          <w:sz w:val="22"/>
          <w:szCs w:val="22"/>
        </w:rPr>
        <w:t>PRRT treatment characteristics</w:t>
      </w:r>
    </w:p>
    <w:p w14:paraId="55E7C98B" w14:textId="77777777" w:rsidR="00025C89" w:rsidRPr="001258CC" w:rsidRDefault="00025C89" w:rsidP="00025C89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25C89" w:rsidRPr="001258CC" w14:paraId="14045745" w14:textId="77777777" w:rsidTr="004D63FF">
        <w:tc>
          <w:tcPr>
            <w:tcW w:w="3005" w:type="dxa"/>
            <w:tcBorders>
              <w:bottom w:val="single" w:sz="4" w:space="0" w:color="auto"/>
            </w:tcBorders>
            <w:shd w:val="clear" w:color="auto" w:fill="auto"/>
          </w:tcPr>
          <w:p w14:paraId="382BAB8B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  <w:shd w:val="clear" w:color="auto" w:fill="auto"/>
          </w:tcPr>
          <w:p w14:paraId="7E60C95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t>Initial treatment period</w:t>
            </w: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625E5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t>=110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auto"/>
          </w:tcPr>
          <w:p w14:paraId="6219D4C4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t>Additional treatment period</w:t>
            </w: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625E5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t>=12</w:t>
            </w:r>
          </w:p>
        </w:tc>
      </w:tr>
      <w:tr w:rsidR="00025C89" w:rsidRPr="001258CC" w14:paraId="34B35F3E" w14:textId="77777777" w:rsidTr="004D63FF">
        <w:tc>
          <w:tcPr>
            <w:tcW w:w="9016" w:type="dxa"/>
            <w:gridSpan w:val="3"/>
            <w:tcBorders>
              <w:bottom w:val="nil"/>
            </w:tcBorders>
            <w:shd w:val="clear" w:color="auto" w:fill="auto"/>
          </w:tcPr>
          <w:p w14:paraId="0594B368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 xml:space="preserve">Cumulative activity (GBq), </w:t>
            </w:r>
            <w:r w:rsidRPr="00625E5D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 xml:space="preserve"> (%)</w:t>
            </w:r>
          </w:p>
        </w:tc>
      </w:tr>
      <w:tr w:rsidR="00025C89" w:rsidRPr="001258CC" w14:paraId="52EBA461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59ABC8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&lt;26.6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6B2004D3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35 (31.8)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46660571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11 (91.7)</w:t>
            </w:r>
          </w:p>
        </w:tc>
      </w:tr>
      <w:tr w:rsidR="00025C89" w:rsidRPr="001258CC" w14:paraId="4C0D757F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0DFF65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26.6–&lt;32.6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750B9D94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72 (65.5)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59A93970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 (8.3)</w:t>
            </w:r>
          </w:p>
        </w:tc>
      </w:tr>
      <w:tr w:rsidR="00025C89" w:rsidRPr="001258CC" w14:paraId="4D209883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6173FC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≥32.6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24AB6523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 (2.7)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5E53BA58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025C89" w:rsidRPr="001258CC" w14:paraId="4DCD8236" w14:textId="77777777" w:rsidTr="004D63FF">
        <w:tc>
          <w:tcPr>
            <w:tcW w:w="901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7687AB8F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 xml:space="preserve">Number of cycles by category, </w:t>
            </w:r>
            <w:r w:rsidRPr="00625E5D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 xml:space="preserve"> (%)</w:t>
            </w:r>
          </w:p>
        </w:tc>
      </w:tr>
      <w:tr w:rsidR="00025C89" w:rsidRPr="001258CC" w14:paraId="74E0B8DD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600935CB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 cycle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5C61A754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7 (6.4)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295D21A6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 (25.0)</w:t>
            </w:r>
          </w:p>
        </w:tc>
      </w:tr>
      <w:tr w:rsidR="00025C89" w:rsidRPr="001258CC" w14:paraId="6B565A27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6C20F523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2 cycles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47692D7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13 (11.8)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2902CBEF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7 (58.3)</w:t>
            </w:r>
          </w:p>
        </w:tc>
      </w:tr>
      <w:tr w:rsidR="00025C89" w:rsidRPr="001258CC" w14:paraId="12DF1CDF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6ACD6B33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 cycles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6596660E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12 (10.9)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55D621E4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 (8.3)</w:t>
            </w:r>
          </w:p>
        </w:tc>
      </w:tr>
      <w:tr w:rsidR="00025C89" w:rsidRPr="001258CC" w14:paraId="3B01DB40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14633FDA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4 cycles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3E954172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77 (70.0)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7EFC958A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 (8.3)</w:t>
            </w:r>
          </w:p>
        </w:tc>
      </w:tr>
      <w:tr w:rsidR="00025C89" w:rsidRPr="001258CC" w14:paraId="517891FC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5144F380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5 cycles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5D3E59C1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 (0.9)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3C061C4D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025C89" w:rsidRPr="001258CC" w14:paraId="29D40604" w14:textId="77777777" w:rsidTr="004D63FF">
        <w:tc>
          <w:tcPr>
            <w:tcW w:w="901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19854C7D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Average activity per cycle (GBq)</w:t>
            </w:r>
          </w:p>
        </w:tc>
      </w:tr>
      <w:tr w:rsidR="00025C89" w:rsidRPr="001258CC" w14:paraId="7DDBD809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45F7A08B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47D6CD36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7.4 (0.58)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168B6CDB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6.9 (1.3)</w:t>
            </w:r>
          </w:p>
        </w:tc>
      </w:tr>
      <w:tr w:rsidR="00025C89" w:rsidRPr="001258CC" w14:paraId="2A331617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75FBC03C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Q1–Q3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560ABE73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7.4–7.6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753916F8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7.1–7.6</w:t>
            </w:r>
          </w:p>
        </w:tc>
      </w:tr>
      <w:tr w:rsidR="00025C89" w:rsidRPr="001258CC" w14:paraId="2E225A15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04E33CB6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Median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1C9CC91E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7.4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45DC43D0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7.4</w:t>
            </w:r>
          </w:p>
        </w:tc>
      </w:tr>
      <w:tr w:rsidR="00025C89" w:rsidRPr="001258CC" w14:paraId="387ADB17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76E69119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1258CC">
              <w:rPr>
                <w:rFonts w:ascii="Arial" w:hAnsi="Arial" w:cs="Arial"/>
                <w:sz w:val="22"/>
                <w:szCs w:val="22"/>
              </w:rPr>
              <w:t>in</w:t>
            </w:r>
            <w:r>
              <w:rPr>
                <w:rFonts w:ascii="Arial" w:hAnsi="Arial" w:cs="Arial"/>
                <w:sz w:val="22"/>
                <w:szCs w:val="22"/>
              </w:rPr>
              <w:t>–m</w:t>
            </w:r>
            <w:r w:rsidRPr="001258CC">
              <w:rPr>
                <w:rFonts w:ascii="Arial" w:hAnsi="Arial" w:cs="Arial"/>
                <w:sz w:val="22"/>
                <w:szCs w:val="22"/>
              </w:rPr>
              <w:t>ax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06595223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3.7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258CC">
              <w:rPr>
                <w:rFonts w:ascii="Arial" w:hAnsi="Arial" w:cs="Arial"/>
                <w:sz w:val="22"/>
                <w:szCs w:val="22"/>
              </w:rPr>
              <w:t>8.3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2BB0CB7A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3.7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258CC">
              <w:rPr>
                <w:rFonts w:ascii="Arial" w:hAnsi="Arial" w:cs="Arial"/>
                <w:sz w:val="22"/>
                <w:szCs w:val="22"/>
              </w:rPr>
              <w:t>7.9</w:t>
            </w:r>
          </w:p>
        </w:tc>
      </w:tr>
      <w:tr w:rsidR="00025C89" w:rsidRPr="001258CC" w14:paraId="25F97B49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5C33DE0A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Missing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4CDA19E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662148FA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025C89" w:rsidRPr="001258CC" w14:paraId="3B8088BD" w14:textId="77777777" w:rsidTr="004D63FF">
        <w:tc>
          <w:tcPr>
            <w:tcW w:w="901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6EFB588A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Number of cycles</w:t>
            </w:r>
          </w:p>
        </w:tc>
      </w:tr>
      <w:tr w:rsidR="00025C89" w:rsidRPr="001258CC" w14:paraId="42DC6628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4D0A95FF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2A294196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3.5 (1.0)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0BC5EB31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2.0 (0.9)</w:t>
            </w:r>
          </w:p>
        </w:tc>
      </w:tr>
      <w:tr w:rsidR="00025C89" w:rsidRPr="001258CC" w14:paraId="0CDB5E5F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1C47DE95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Q1–Q3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0C32A9A3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3.0–4.0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0EA28BD7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1.5–2.0</w:t>
            </w:r>
          </w:p>
        </w:tc>
      </w:tr>
      <w:tr w:rsidR="00025C89" w:rsidRPr="001258CC" w14:paraId="440F2432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56C01CE1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Median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2320D0B0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4.0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3CF2A776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2.0</w:t>
            </w:r>
          </w:p>
        </w:tc>
      </w:tr>
      <w:tr w:rsidR="00025C89" w:rsidRPr="001258CC" w14:paraId="3B9D3329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13EC7333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Min</w:t>
            </w:r>
            <w:r>
              <w:rPr>
                <w:rFonts w:ascii="Arial" w:hAnsi="Arial" w:cs="Arial"/>
                <w:sz w:val="22"/>
                <w:szCs w:val="22"/>
              </w:rPr>
              <w:t>–m</w:t>
            </w:r>
            <w:r w:rsidRPr="001258CC">
              <w:rPr>
                <w:rFonts w:ascii="Arial" w:hAnsi="Arial" w:cs="Arial"/>
                <w:sz w:val="22"/>
                <w:szCs w:val="22"/>
              </w:rPr>
              <w:t>ax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710C279E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258C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7A58CC29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258C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25C89" w:rsidRPr="001258CC" w14:paraId="4AF758AD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18C085E3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Missing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2CDD0EB6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378A2D44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025C89" w:rsidRPr="001258CC" w14:paraId="5C6259DD" w14:textId="77777777" w:rsidTr="004D63FF">
        <w:tc>
          <w:tcPr>
            <w:tcW w:w="901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0E11CFEC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Total duration from first to last cycle (months)</w:t>
            </w:r>
            <w:r w:rsidRPr="001258CC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</w:p>
        </w:tc>
      </w:tr>
      <w:tr w:rsidR="00025C89" w:rsidRPr="001258CC" w14:paraId="4352DA6C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441E57EA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Mean (SD)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5B1F83A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8.8 (4.2)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630B4B41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6.4 (5.1)</w:t>
            </w:r>
          </w:p>
        </w:tc>
      </w:tr>
      <w:tr w:rsidR="00025C89" w:rsidRPr="001258CC" w14:paraId="330AA609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5C924AF5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Q1–Q3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73527E27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7.0–10.6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3EBEA69D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3.2–6.9</w:t>
            </w:r>
          </w:p>
        </w:tc>
      </w:tr>
      <w:tr w:rsidR="00025C89" w:rsidRPr="001258CC" w14:paraId="5645EE08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3A90684F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Median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50FE6BA6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8.0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4B74AE0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4.9</w:t>
            </w:r>
          </w:p>
        </w:tc>
      </w:tr>
      <w:tr w:rsidR="00025C89" w:rsidRPr="001258CC" w14:paraId="3C5DD34E" w14:textId="77777777" w:rsidTr="004D63FF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53C9836B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Min</w:t>
            </w:r>
            <w:r>
              <w:rPr>
                <w:rFonts w:ascii="Arial" w:hAnsi="Arial" w:cs="Arial"/>
                <w:sz w:val="22"/>
                <w:szCs w:val="22"/>
              </w:rPr>
              <w:t>–m</w:t>
            </w:r>
            <w:r w:rsidRPr="001258CC">
              <w:rPr>
                <w:rFonts w:ascii="Arial" w:hAnsi="Arial" w:cs="Arial"/>
                <w:sz w:val="22"/>
                <w:szCs w:val="22"/>
              </w:rPr>
              <w:t>ax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74C389E4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258CC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0C8DF0D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1258CC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025C89" w:rsidRPr="001258CC" w14:paraId="10227AFE" w14:textId="77777777" w:rsidTr="00DB7F4B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768037B1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Missing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2FE571C5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104A5EC6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B7F4B" w:rsidRPr="001258CC" w14:paraId="28DA1B1C" w14:textId="77777777" w:rsidTr="009D6524">
        <w:tc>
          <w:tcPr>
            <w:tcW w:w="901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739B535D" w14:textId="31928028" w:rsidR="00DB7F4B" w:rsidRPr="001258CC" w:rsidRDefault="00DB7F4B" w:rsidP="00DB7F4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Average duration between treatment cycles per patient (weeks)</w:t>
            </w:r>
          </w:p>
        </w:tc>
      </w:tr>
      <w:tr w:rsidR="00DB7F4B" w:rsidRPr="001258CC" w14:paraId="031B0FFD" w14:textId="77777777" w:rsidTr="00DB7F4B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799BAAFC" w14:textId="7FEA7778" w:rsidR="00DB7F4B" w:rsidRPr="001258CC" w:rsidRDefault="00DB7F4B" w:rsidP="00DB7F4B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Median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63FB702B" w14:textId="3452DB4D" w:rsidR="00DB7F4B" w:rsidRPr="001258CC" w:rsidRDefault="00DB7F4B" w:rsidP="00DB7F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10.6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400B0DBE" w14:textId="77777777" w:rsidR="00DB7F4B" w:rsidRPr="001258CC" w:rsidRDefault="00DB7F4B" w:rsidP="00DB7F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7F4B" w:rsidRPr="001258CC" w14:paraId="1803660F" w14:textId="77777777" w:rsidTr="00DB7F4B"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40A331F1" w14:textId="00C42F97" w:rsidR="00DB7F4B" w:rsidRPr="001258CC" w:rsidRDefault="00DB7F4B" w:rsidP="00DB7F4B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4F3CAD">
              <w:rPr>
                <w:rFonts w:ascii="Arial" w:hAnsi="Arial" w:cs="Arial"/>
                <w:sz w:val="22"/>
                <w:szCs w:val="22"/>
              </w:rPr>
              <w:t>Min–max</w:t>
            </w:r>
          </w:p>
        </w:tc>
        <w:tc>
          <w:tcPr>
            <w:tcW w:w="3005" w:type="dxa"/>
            <w:tcBorders>
              <w:top w:val="nil"/>
              <w:bottom w:val="nil"/>
            </w:tcBorders>
            <w:shd w:val="clear" w:color="auto" w:fill="auto"/>
          </w:tcPr>
          <w:p w14:paraId="4FBFB63A" w14:textId="639FE50B" w:rsidR="00DB7F4B" w:rsidRPr="001258CC" w:rsidRDefault="00DB7F4B" w:rsidP="00DB7F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8.4–15.0</w:t>
            </w:r>
          </w:p>
        </w:tc>
        <w:tc>
          <w:tcPr>
            <w:tcW w:w="3006" w:type="dxa"/>
            <w:tcBorders>
              <w:top w:val="nil"/>
              <w:bottom w:val="nil"/>
            </w:tcBorders>
            <w:shd w:val="clear" w:color="auto" w:fill="auto"/>
          </w:tcPr>
          <w:p w14:paraId="08BEBA72" w14:textId="77777777" w:rsidR="00DB7F4B" w:rsidRPr="001258CC" w:rsidRDefault="00DB7F4B" w:rsidP="00DB7F4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D52A6F" w14:textId="77777777" w:rsidR="00025C89" w:rsidRPr="001258CC" w:rsidRDefault="00025C89" w:rsidP="00025C89">
      <w:pPr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1258CC">
        <w:rPr>
          <w:rFonts w:ascii="Arial" w:hAnsi="Arial" w:cs="Arial"/>
          <w:color w:val="000000" w:themeColor="text1"/>
          <w:sz w:val="18"/>
          <w:szCs w:val="18"/>
          <w:vertAlign w:val="superscript"/>
        </w:rPr>
        <w:lastRenderedPageBreak/>
        <w:t>a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Duration of exposure to investigational drug (days) = (last date of exposure to </w:t>
      </w:r>
      <w:r>
        <w:rPr>
          <w:rFonts w:ascii="Arial" w:hAnsi="Arial" w:cs="Arial"/>
          <w:color w:val="000000" w:themeColor="text1"/>
          <w:sz w:val="18"/>
          <w:szCs w:val="18"/>
        </w:rPr>
        <w:t>[</w:t>
      </w:r>
      <w:r w:rsidRPr="001258CC">
        <w:rPr>
          <w:rFonts w:ascii="Arial" w:hAnsi="Arial" w:cs="Arial"/>
          <w:color w:val="000000" w:themeColor="text1"/>
          <w:sz w:val="18"/>
          <w:szCs w:val="18"/>
          <w:vertAlign w:val="superscript"/>
        </w:rPr>
        <w:t>177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Lu</w:t>
      </w:r>
      <w:r>
        <w:rPr>
          <w:rFonts w:ascii="Arial" w:hAnsi="Arial" w:cs="Arial"/>
          <w:color w:val="000000" w:themeColor="text1"/>
          <w:sz w:val="18"/>
          <w:szCs w:val="18"/>
        </w:rPr>
        <w:t>]Lu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-DOTA</w:t>
      </w:r>
      <w:r>
        <w:rPr>
          <w:rFonts w:ascii="Arial" w:hAnsi="Arial" w:cs="Arial"/>
          <w:color w:val="000000" w:themeColor="text1"/>
          <w:sz w:val="18"/>
          <w:szCs w:val="18"/>
        </w:rPr>
        <w:t>-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TATE) – (date of first administration of </w:t>
      </w:r>
      <w:r>
        <w:rPr>
          <w:rFonts w:ascii="Arial" w:hAnsi="Arial" w:cs="Arial"/>
          <w:color w:val="000000" w:themeColor="text1"/>
          <w:sz w:val="18"/>
          <w:szCs w:val="18"/>
        </w:rPr>
        <w:t>[</w:t>
      </w:r>
      <w:r w:rsidRPr="001258CC">
        <w:rPr>
          <w:rFonts w:ascii="Arial" w:hAnsi="Arial" w:cs="Arial"/>
          <w:color w:val="000000" w:themeColor="text1"/>
          <w:sz w:val="18"/>
          <w:szCs w:val="18"/>
          <w:vertAlign w:val="superscript"/>
        </w:rPr>
        <w:t>177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Lu</w:t>
      </w:r>
      <w:r>
        <w:rPr>
          <w:rFonts w:ascii="Arial" w:hAnsi="Arial" w:cs="Arial"/>
          <w:color w:val="000000" w:themeColor="text1"/>
          <w:sz w:val="18"/>
          <w:szCs w:val="18"/>
        </w:rPr>
        <w:t>]Lu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-DOTA</w:t>
      </w:r>
      <w:r>
        <w:rPr>
          <w:rFonts w:ascii="Arial" w:hAnsi="Arial" w:cs="Arial"/>
          <w:color w:val="000000" w:themeColor="text1"/>
          <w:sz w:val="18"/>
          <w:szCs w:val="18"/>
        </w:rPr>
        <w:t>-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TATE) +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1</w:t>
      </w:r>
    </w:p>
    <w:p w14:paraId="2DC994BB" w14:textId="77777777" w:rsidR="00025C89" w:rsidRPr="001258CC" w:rsidRDefault="00025C89" w:rsidP="00025C89">
      <w:pPr>
        <w:spacing w:line="360" w:lineRule="auto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max 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maximum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min 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minimum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9C11DA">
        <w:rPr>
          <w:rFonts w:ascii="Arial" w:hAnsi="Arial" w:cs="Arial"/>
          <w:i/>
          <w:iCs/>
          <w:color w:val="000000" w:themeColor="text1"/>
          <w:sz w:val="18"/>
          <w:szCs w:val="18"/>
        </w:rPr>
        <w:t>PRRT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peptide receptor radionuclide therapy,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Q 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quartile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SD </w:t>
      </w:r>
      <w:r>
        <w:rPr>
          <w:rFonts w:ascii="Arial" w:hAnsi="Arial" w:cs="Arial"/>
          <w:color w:val="000000" w:themeColor="text1"/>
          <w:sz w:val="18"/>
          <w:szCs w:val="18"/>
        </w:rPr>
        <w:t>s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tandard </w:t>
      </w:r>
      <w:r>
        <w:rPr>
          <w:rFonts w:ascii="Arial" w:hAnsi="Arial" w:cs="Arial"/>
          <w:color w:val="000000" w:themeColor="text1"/>
          <w:sz w:val="18"/>
          <w:szCs w:val="18"/>
        </w:rPr>
        <w:t>d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eviation</w:t>
      </w:r>
    </w:p>
    <w:p w14:paraId="295B8A73" w14:textId="77777777" w:rsidR="00025C89" w:rsidRPr="001258CC" w:rsidRDefault="00025C89" w:rsidP="00025C89">
      <w:pPr>
        <w:pStyle w:val="ListParagraph"/>
        <w:spacing w:line="360" w:lineRule="auto"/>
        <w:ind w:left="0"/>
        <w:rPr>
          <w:rFonts w:ascii="Arial" w:hAnsi="Arial" w:cs="Arial"/>
          <w:color w:val="FF0000"/>
          <w:sz w:val="22"/>
          <w:szCs w:val="22"/>
        </w:rPr>
      </w:pPr>
    </w:p>
    <w:p w14:paraId="37DB2051" w14:textId="77777777" w:rsidR="00025C89" w:rsidRPr="001258CC" w:rsidRDefault="00025C89" w:rsidP="008F5A6D">
      <w:pPr>
        <w:pageBreakBefore/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Supplementary Table</w:t>
      </w:r>
      <w:r w:rsidRPr="001258C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3 </w:t>
      </w:r>
      <w:r w:rsidRPr="001258CC">
        <w:rPr>
          <w:rFonts w:ascii="Arial" w:hAnsi="Arial" w:cs="Arial"/>
          <w:color w:val="000000" w:themeColor="text1"/>
          <w:sz w:val="22"/>
          <w:szCs w:val="22"/>
        </w:rPr>
        <w:t>Best tumour response</w:t>
      </w:r>
    </w:p>
    <w:p w14:paraId="6C73824A" w14:textId="77777777" w:rsidR="00025C89" w:rsidRPr="001258CC" w:rsidRDefault="00025C89" w:rsidP="00025C89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25C89" w:rsidRPr="001258CC" w14:paraId="0AEAC6DD" w14:textId="77777777" w:rsidTr="004D63FF"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</w:tcPr>
          <w:p w14:paraId="265A39EF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Tumour response</w:t>
            </w: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</w:tcPr>
          <w:p w14:paraId="6E6D52C6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RECIST v1.1, </w:t>
            </w:r>
            <w:r w:rsidRPr="0079544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=62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</w:tcPr>
          <w:p w14:paraId="730D64A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Investigator opinion 1, </w:t>
            </w:r>
            <w:r w:rsidRPr="0079544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=83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</w:tcPr>
          <w:p w14:paraId="63DC064E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Investigator opinion 2, </w:t>
            </w:r>
            <w:r w:rsidRPr="0079544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=100</w:t>
            </w:r>
          </w:p>
        </w:tc>
      </w:tr>
      <w:tr w:rsidR="00025C89" w:rsidRPr="001258CC" w14:paraId="50112638" w14:textId="77777777" w:rsidTr="004D63FF">
        <w:tc>
          <w:tcPr>
            <w:tcW w:w="2254" w:type="dxa"/>
            <w:tcBorders>
              <w:bottom w:val="nil"/>
            </w:tcBorders>
            <w:shd w:val="clear" w:color="auto" w:fill="auto"/>
          </w:tcPr>
          <w:p w14:paraId="6BDBCEAB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ORR, </w:t>
            </w:r>
            <w:r w:rsidRPr="0079544F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(%)</w:t>
            </w:r>
          </w:p>
        </w:tc>
        <w:tc>
          <w:tcPr>
            <w:tcW w:w="2254" w:type="dxa"/>
            <w:tcBorders>
              <w:bottom w:val="nil"/>
            </w:tcBorders>
            <w:shd w:val="clear" w:color="auto" w:fill="auto"/>
          </w:tcPr>
          <w:p w14:paraId="6A9473C6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25 (40.3)</w:t>
            </w:r>
          </w:p>
        </w:tc>
        <w:tc>
          <w:tcPr>
            <w:tcW w:w="2254" w:type="dxa"/>
            <w:tcBorders>
              <w:bottom w:val="nil"/>
            </w:tcBorders>
            <w:shd w:val="clear" w:color="auto" w:fill="auto"/>
          </w:tcPr>
          <w:p w14:paraId="5C2A644B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36 (43.4)</w:t>
            </w:r>
          </w:p>
        </w:tc>
        <w:tc>
          <w:tcPr>
            <w:tcW w:w="2254" w:type="dxa"/>
            <w:tcBorders>
              <w:bottom w:val="nil"/>
            </w:tcBorders>
            <w:shd w:val="clear" w:color="auto" w:fill="auto"/>
          </w:tcPr>
          <w:p w14:paraId="61568AA1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54 (54.0)</w:t>
            </w:r>
          </w:p>
        </w:tc>
      </w:tr>
      <w:tr w:rsidR="00025C89" w:rsidRPr="001258CC" w14:paraId="77D35E6B" w14:textId="77777777" w:rsidTr="004D63FF"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3CF4031E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CR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78286864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4139C402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602147FB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2 (2.0)</w:t>
            </w:r>
          </w:p>
        </w:tc>
      </w:tr>
      <w:tr w:rsidR="00025C89" w:rsidRPr="001258CC" w14:paraId="0CA3F697" w14:textId="77777777" w:rsidTr="004D63FF"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02DA20D7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PR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052A963A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25 (40.3)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4DD1D270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36 (43.4)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0582F955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52 (52.0)</w:t>
            </w:r>
          </w:p>
        </w:tc>
      </w:tr>
      <w:tr w:rsidR="00025C89" w:rsidRPr="001258CC" w14:paraId="78403ABB" w14:textId="77777777" w:rsidTr="004D63FF"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0937C7FD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SD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3BFFF32D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22 (35.5)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6520DD03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31 (37.3)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38CBA9D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34 (34.0)</w:t>
            </w:r>
          </w:p>
        </w:tc>
      </w:tr>
      <w:tr w:rsidR="00025C89" w:rsidRPr="001258CC" w14:paraId="150805C7" w14:textId="77777777" w:rsidTr="004D63FF"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531A01A8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PD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27BE6F43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13 (21.0)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4FBF2007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16 (19.3)</w:t>
            </w:r>
          </w:p>
        </w:tc>
        <w:tc>
          <w:tcPr>
            <w:tcW w:w="2254" w:type="dxa"/>
            <w:tcBorders>
              <w:top w:val="nil"/>
              <w:bottom w:val="nil"/>
            </w:tcBorders>
            <w:shd w:val="clear" w:color="auto" w:fill="auto"/>
          </w:tcPr>
          <w:p w14:paraId="723C7957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12 (12.0)</w:t>
            </w:r>
          </w:p>
        </w:tc>
      </w:tr>
      <w:tr w:rsidR="00025C89" w:rsidRPr="001258CC" w14:paraId="1E4AE098" w14:textId="77777777" w:rsidTr="004D63FF">
        <w:tc>
          <w:tcPr>
            <w:tcW w:w="2254" w:type="dxa"/>
            <w:tcBorders>
              <w:top w:val="nil"/>
            </w:tcBorders>
            <w:shd w:val="clear" w:color="auto" w:fill="auto"/>
          </w:tcPr>
          <w:p w14:paraId="6FD270D7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NE</w:t>
            </w:r>
          </w:p>
        </w:tc>
        <w:tc>
          <w:tcPr>
            <w:tcW w:w="2254" w:type="dxa"/>
            <w:tcBorders>
              <w:top w:val="nil"/>
            </w:tcBorders>
            <w:shd w:val="clear" w:color="auto" w:fill="auto"/>
          </w:tcPr>
          <w:p w14:paraId="773FE83B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2 (3.2)</w:t>
            </w:r>
          </w:p>
        </w:tc>
        <w:tc>
          <w:tcPr>
            <w:tcW w:w="2254" w:type="dxa"/>
            <w:tcBorders>
              <w:top w:val="nil"/>
            </w:tcBorders>
            <w:shd w:val="clear" w:color="auto" w:fill="auto"/>
          </w:tcPr>
          <w:p w14:paraId="69BD10A6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54" w:type="dxa"/>
            <w:tcBorders>
              <w:top w:val="nil"/>
            </w:tcBorders>
            <w:shd w:val="clear" w:color="auto" w:fill="auto"/>
          </w:tcPr>
          <w:p w14:paraId="15349BD4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3996F31F" w14:textId="77777777" w:rsidR="00025C89" w:rsidRPr="001258CC" w:rsidRDefault="00025C89" w:rsidP="00025C89">
      <w:pPr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1258CC">
        <w:rPr>
          <w:rFonts w:ascii="Arial" w:hAnsi="Arial" w:cs="Arial"/>
          <w:color w:val="000000" w:themeColor="text1"/>
          <w:sz w:val="18"/>
          <w:szCs w:val="18"/>
          <w:vertAlign w:val="superscript"/>
        </w:rPr>
        <w:t>a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Percentage is calculated relative to the number of patients with post-baseline tumour assessments </w:t>
      </w:r>
    </w:p>
    <w:p w14:paraId="6EF9C62C" w14:textId="77777777" w:rsidR="00025C89" w:rsidRDefault="00025C89" w:rsidP="00025C89">
      <w:pPr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1258CC">
        <w:rPr>
          <w:rFonts w:ascii="Arial" w:hAnsi="Arial" w:cs="Arial"/>
          <w:color w:val="000000" w:themeColor="text1"/>
          <w:sz w:val="18"/>
          <w:szCs w:val="18"/>
        </w:rPr>
        <w:t>Investigator opinion 1 = RECIST v1.1 tumour assessments and radiological assessments. Investigator opinion 2 = all assessments available (radiological, clinical, metabolic and biomarker assessments)</w:t>
      </w:r>
    </w:p>
    <w:p w14:paraId="7F3484FC" w14:textId="77777777" w:rsidR="00025C89" w:rsidRPr="001258CC" w:rsidRDefault="00025C89" w:rsidP="00025C89">
      <w:pPr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CR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complete response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NE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not evaluable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ORR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objective response rate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PD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progressive 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disease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PR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partial response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RECIST v1.1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Response Evaluation Criteria in Solid Tumors version 1.1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SD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stable disease</w:t>
      </w:r>
    </w:p>
    <w:p w14:paraId="1CDEB342" w14:textId="77777777" w:rsidR="00025C89" w:rsidRPr="001258CC" w:rsidRDefault="00025C89" w:rsidP="00025C89">
      <w:pPr>
        <w:spacing w:line="360" w:lineRule="auto"/>
        <w:ind w:left="360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</w:p>
    <w:p w14:paraId="268F9A42" w14:textId="77777777" w:rsidR="00025C89" w:rsidRPr="001258CC" w:rsidRDefault="00025C89" w:rsidP="00025C89">
      <w:pP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r w:rsidRPr="001258CC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br w:type="page"/>
      </w:r>
    </w:p>
    <w:p w14:paraId="6E1DA10D" w14:textId="77777777" w:rsidR="00025C89" w:rsidRPr="001258CC" w:rsidRDefault="00025C89" w:rsidP="00025C89">
      <w:pPr>
        <w:pageBreakBefore/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Supplementary Table</w:t>
      </w:r>
      <w:r w:rsidRPr="001258CC">
        <w:rPr>
          <w:rFonts w:ascii="Arial" w:hAnsi="Arial" w:cs="Arial"/>
          <w:b/>
          <w:bCs/>
          <w:sz w:val="22"/>
          <w:szCs w:val="22"/>
        </w:rPr>
        <w:t xml:space="preserve"> 4 </w:t>
      </w:r>
      <w:r w:rsidRPr="001258CC">
        <w:rPr>
          <w:rFonts w:ascii="Arial" w:hAnsi="Arial" w:cs="Arial"/>
          <w:sz w:val="22"/>
          <w:szCs w:val="22"/>
        </w:rPr>
        <w:t>PFS and OS by number of prior treatments</w:t>
      </w:r>
    </w:p>
    <w:p w14:paraId="01B87014" w14:textId="77777777" w:rsidR="00025C89" w:rsidRPr="001258CC" w:rsidRDefault="00025C89" w:rsidP="00025C89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06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2020"/>
        <w:gridCol w:w="2022"/>
        <w:gridCol w:w="2022"/>
        <w:gridCol w:w="2022"/>
      </w:tblGrid>
      <w:tr w:rsidR="00025C89" w:rsidRPr="001258CC" w14:paraId="7C9A5820" w14:textId="77777777" w:rsidTr="004D63FF">
        <w:trPr>
          <w:trHeight w:val="880"/>
        </w:trPr>
        <w:tc>
          <w:tcPr>
            <w:tcW w:w="2020" w:type="dxa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06897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t>Number of prior treatments</w:t>
            </w:r>
          </w:p>
        </w:tc>
        <w:tc>
          <w:tcPr>
            <w:tcW w:w="2020" w:type="dxa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91A9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t>RECIST v1.1</w:t>
            </w:r>
          </w:p>
          <w:p w14:paraId="476EB487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t>PFS, months (95% CI)</w:t>
            </w:r>
          </w:p>
        </w:tc>
        <w:tc>
          <w:tcPr>
            <w:tcW w:w="2022" w:type="dxa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0816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t>Investigator 1</w:t>
            </w:r>
          </w:p>
          <w:p w14:paraId="7D41F907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t>PFS, months (95% CI)</w:t>
            </w:r>
          </w:p>
        </w:tc>
        <w:tc>
          <w:tcPr>
            <w:tcW w:w="2022" w:type="dxa"/>
            <w:tcBorders>
              <w:bottom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B77DA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t>Investigator 2</w:t>
            </w:r>
          </w:p>
          <w:p w14:paraId="5831DF34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t>PFS, months (95% CI)</w:t>
            </w:r>
          </w:p>
        </w:tc>
        <w:tc>
          <w:tcPr>
            <w:tcW w:w="2022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0C4CB525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OS, months </w:t>
            </w:r>
          </w:p>
          <w:p w14:paraId="75CE0B74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sz w:val="22"/>
                <w:szCs w:val="22"/>
              </w:rPr>
              <w:t>(95% CI)</w:t>
            </w:r>
          </w:p>
        </w:tc>
      </w:tr>
      <w:tr w:rsidR="00025C89" w:rsidRPr="001258CC" w14:paraId="70F37B6C" w14:textId="77777777" w:rsidTr="004D63FF">
        <w:trPr>
          <w:trHeight w:val="521"/>
        </w:trPr>
        <w:tc>
          <w:tcPr>
            <w:tcW w:w="2020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33AE8C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No prior treatment</w:t>
            </w:r>
          </w:p>
        </w:tc>
        <w:tc>
          <w:tcPr>
            <w:tcW w:w="2020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C127F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38.3 (1.4–72.2)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=6)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E3940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55.3 (1.4–72.2)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=8)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71F0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38.3 (1.4–72.2)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=8)</w:t>
            </w:r>
          </w:p>
        </w:tc>
        <w:tc>
          <w:tcPr>
            <w:tcW w:w="2022" w:type="dxa"/>
            <w:tcBorders>
              <w:bottom w:val="nil"/>
            </w:tcBorders>
            <w:shd w:val="clear" w:color="auto" w:fill="auto"/>
            <w:vAlign w:val="center"/>
          </w:tcPr>
          <w:p w14:paraId="53BEF530" w14:textId="77777777" w:rsidR="00025C89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 xml:space="preserve">NR (12.8–NE) </w:t>
            </w:r>
          </w:p>
          <w:p w14:paraId="5FD10681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=9)</w:t>
            </w:r>
          </w:p>
        </w:tc>
      </w:tr>
      <w:tr w:rsidR="00025C89" w:rsidRPr="001258CC" w14:paraId="0435E8F0" w14:textId="77777777" w:rsidTr="004D63FF">
        <w:trPr>
          <w:trHeight w:val="691"/>
        </w:trPr>
        <w:tc>
          <w:tcPr>
            <w:tcW w:w="202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D2C20A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Any prior treatment</w:t>
            </w:r>
          </w:p>
        </w:tc>
        <w:tc>
          <w:tcPr>
            <w:tcW w:w="202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AD15F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23.5 (17.5–34.5)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=56)</w:t>
            </w:r>
          </w:p>
        </w:tc>
        <w:tc>
          <w:tcPr>
            <w:tcW w:w="202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F1E40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23.5 (19.1–29.7)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=75)</w:t>
            </w:r>
          </w:p>
        </w:tc>
        <w:tc>
          <w:tcPr>
            <w:tcW w:w="202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85717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23.3 (18.6–29.5)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=92)</w:t>
            </w:r>
          </w:p>
        </w:tc>
        <w:tc>
          <w:tcPr>
            <w:tcW w:w="20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E1DF07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41.4 (25.9–50.2)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=101)</w:t>
            </w:r>
          </w:p>
        </w:tc>
      </w:tr>
      <w:tr w:rsidR="00025C89" w:rsidRPr="001258CC" w14:paraId="5823F1E3" w14:textId="77777777" w:rsidTr="004D63FF">
        <w:trPr>
          <w:trHeight w:val="673"/>
        </w:trPr>
        <w:tc>
          <w:tcPr>
            <w:tcW w:w="202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35E70D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2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DA979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34.5 (21.4–72.9)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=17)</w:t>
            </w:r>
          </w:p>
        </w:tc>
        <w:tc>
          <w:tcPr>
            <w:tcW w:w="202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B794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29.7 (21.4–72.0)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=25)</w:t>
            </w:r>
          </w:p>
        </w:tc>
        <w:tc>
          <w:tcPr>
            <w:tcW w:w="202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9397E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34.5 (21.4–72.0)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=34)</w:t>
            </w:r>
          </w:p>
        </w:tc>
        <w:tc>
          <w:tcPr>
            <w:tcW w:w="20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DF6B4B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73.6 (34.5–NE)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=37)</w:t>
            </w:r>
          </w:p>
        </w:tc>
      </w:tr>
      <w:tr w:rsidR="00025C89" w:rsidRPr="001258CC" w14:paraId="65BEA1D6" w14:textId="77777777" w:rsidTr="004D63FF">
        <w:trPr>
          <w:trHeight w:val="669"/>
        </w:trPr>
        <w:tc>
          <w:tcPr>
            <w:tcW w:w="202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0382E7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 xml:space="preserve">2 </w:t>
            </w:r>
          </w:p>
        </w:tc>
        <w:tc>
          <w:tcPr>
            <w:tcW w:w="202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1D844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53.5 (9.0–61.5)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=14)</w:t>
            </w:r>
          </w:p>
        </w:tc>
        <w:tc>
          <w:tcPr>
            <w:tcW w:w="202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2AEC0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24.8 (19.8–53.5)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=20)</w:t>
            </w:r>
          </w:p>
        </w:tc>
        <w:tc>
          <w:tcPr>
            <w:tcW w:w="202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6D3F0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24.8 (10.9–53.5)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=24)</w:t>
            </w:r>
          </w:p>
        </w:tc>
        <w:tc>
          <w:tcPr>
            <w:tcW w:w="20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3D965F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41.4 (20.0–NE)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=24)</w:t>
            </w:r>
          </w:p>
        </w:tc>
      </w:tr>
      <w:tr w:rsidR="00025C89" w:rsidRPr="001258CC" w14:paraId="4951C0D6" w14:textId="77777777" w:rsidTr="004D63FF">
        <w:trPr>
          <w:trHeight w:val="680"/>
        </w:trPr>
        <w:tc>
          <w:tcPr>
            <w:tcW w:w="202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537B16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2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5EDDB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19.1 (2.5–24.8)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=7)</w:t>
            </w:r>
          </w:p>
        </w:tc>
        <w:tc>
          <w:tcPr>
            <w:tcW w:w="202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2D5D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15.3 (2.5–24.8)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=8)</w:t>
            </w:r>
          </w:p>
        </w:tc>
        <w:tc>
          <w:tcPr>
            <w:tcW w:w="2022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31098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14.8 (2.5–24.8)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=8)</w:t>
            </w:r>
          </w:p>
        </w:tc>
        <w:tc>
          <w:tcPr>
            <w:tcW w:w="20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D06F7D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23.3 (4.0–50.2)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=9)</w:t>
            </w:r>
          </w:p>
        </w:tc>
      </w:tr>
      <w:tr w:rsidR="00025C89" w:rsidRPr="001258CC" w14:paraId="2623E541" w14:textId="77777777" w:rsidTr="004D63FF">
        <w:trPr>
          <w:trHeight w:val="675"/>
        </w:trPr>
        <w:tc>
          <w:tcPr>
            <w:tcW w:w="2020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5FB4F2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≥4</w:t>
            </w:r>
          </w:p>
        </w:tc>
        <w:tc>
          <w:tcPr>
            <w:tcW w:w="2020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D94A2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13.1 (8.1–23.5)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=18)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BFA31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14.0 (8.1–27.9)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=22)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A26DA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12.7 (8.1–23.5)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=26)</w:t>
            </w:r>
          </w:p>
        </w:tc>
        <w:tc>
          <w:tcPr>
            <w:tcW w:w="2022" w:type="dxa"/>
            <w:tcBorders>
              <w:top w:val="nil"/>
            </w:tcBorders>
            <w:shd w:val="clear" w:color="auto" w:fill="auto"/>
            <w:vAlign w:val="center"/>
          </w:tcPr>
          <w:p w14:paraId="3E217F78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58CC">
              <w:rPr>
                <w:rFonts w:ascii="Arial" w:hAnsi="Arial" w:cs="Arial"/>
                <w:sz w:val="22"/>
                <w:szCs w:val="22"/>
              </w:rPr>
              <w:t>21.5 (10.7–29.2) (</w:t>
            </w:r>
            <w:r w:rsidRPr="00745CFC">
              <w:rPr>
                <w:rFonts w:ascii="Arial" w:hAnsi="Arial" w:cs="Arial"/>
                <w:i/>
                <w:iCs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sz w:val="22"/>
                <w:szCs w:val="22"/>
              </w:rPr>
              <w:t>=31)</w:t>
            </w:r>
          </w:p>
        </w:tc>
      </w:tr>
    </w:tbl>
    <w:p w14:paraId="4A1EAD1A" w14:textId="77777777" w:rsidR="00025C89" w:rsidRPr="001258CC" w:rsidRDefault="00025C89" w:rsidP="00025C89">
      <w:pPr>
        <w:spacing w:line="360" w:lineRule="auto"/>
        <w:rPr>
          <w:rFonts w:ascii="Arial" w:hAnsi="Arial" w:cs="Arial"/>
          <w:sz w:val="18"/>
          <w:szCs w:val="18"/>
        </w:rPr>
      </w:pPr>
      <w:r w:rsidRPr="001258CC">
        <w:rPr>
          <w:rFonts w:ascii="Arial" w:hAnsi="Arial" w:cs="Arial"/>
          <w:i/>
          <w:iCs/>
          <w:sz w:val="18"/>
          <w:szCs w:val="18"/>
        </w:rPr>
        <w:t>CI</w:t>
      </w:r>
      <w:r w:rsidRPr="001258CC">
        <w:rPr>
          <w:rFonts w:ascii="Arial" w:hAnsi="Arial" w:cs="Arial"/>
          <w:sz w:val="18"/>
          <w:szCs w:val="18"/>
        </w:rPr>
        <w:t xml:space="preserve"> confidence interval</w:t>
      </w:r>
      <w:r>
        <w:rPr>
          <w:rFonts w:ascii="Arial" w:hAnsi="Arial" w:cs="Arial"/>
          <w:sz w:val="18"/>
          <w:szCs w:val="18"/>
        </w:rPr>
        <w:t>,</w:t>
      </w:r>
      <w:r w:rsidRPr="001258CC">
        <w:rPr>
          <w:rFonts w:ascii="Arial" w:hAnsi="Arial" w:cs="Arial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sz w:val="18"/>
          <w:szCs w:val="18"/>
        </w:rPr>
        <w:t>NE</w:t>
      </w:r>
      <w:r w:rsidRPr="001258CC">
        <w:rPr>
          <w:rFonts w:ascii="Arial" w:hAnsi="Arial" w:cs="Arial"/>
          <w:sz w:val="18"/>
          <w:szCs w:val="18"/>
        </w:rPr>
        <w:t xml:space="preserve"> not estimable</w:t>
      </w:r>
      <w:r>
        <w:rPr>
          <w:rFonts w:ascii="Arial" w:hAnsi="Arial" w:cs="Arial"/>
          <w:sz w:val="18"/>
          <w:szCs w:val="18"/>
        </w:rPr>
        <w:t>,</w:t>
      </w:r>
      <w:r w:rsidRPr="001258CC">
        <w:rPr>
          <w:rFonts w:ascii="Arial" w:hAnsi="Arial" w:cs="Arial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sz w:val="18"/>
          <w:szCs w:val="18"/>
        </w:rPr>
        <w:t>NR</w:t>
      </w:r>
      <w:r w:rsidRPr="001258CC">
        <w:rPr>
          <w:rFonts w:ascii="Arial" w:hAnsi="Arial" w:cs="Arial"/>
          <w:sz w:val="18"/>
          <w:szCs w:val="18"/>
        </w:rPr>
        <w:t xml:space="preserve"> not reached</w:t>
      </w:r>
      <w:r>
        <w:rPr>
          <w:rFonts w:ascii="Arial" w:hAnsi="Arial" w:cs="Arial"/>
          <w:sz w:val="18"/>
          <w:szCs w:val="18"/>
        </w:rPr>
        <w:t>,</w:t>
      </w:r>
      <w:r w:rsidRPr="001258CC">
        <w:rPr>
          <w:rFonts w:ascii="Arial" w:hAnsi="Arial" w:cs="Arial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sz w:val="18"/>
          <w:szCs w:val="18"/>
        </w:rPr>
        <w:t>OS</w:t>
      </w:r>
      <w:r w:rsidRPr="001258CC">
        <w:rPr>
          <w:rFonts w:ascii="Arial" w:hAnsi="Arial" w:cs="Arial"/>
          <w:sz w:val="18"/>
          <w:szCs w:val="18"/>
        </w:rPr>
        <w:t xml:space="preserve"> overall survival</w:t>
      </w:r>
      <w:r>
        <w:rPr>
          <w:rFonts w:ascii="Arial" w:hAnsi="Arial" w:cs="Arial"/>
          <w:sz w:val="18"/>
          <w:szCs w:val="18"/>
        </w:rPr>
        <w:t>,</w:t>
      </w:r>
      <w:r w:rsidRPr="001258CC">
        <w:rPr>
          <w:rFonts w:ascii="Arial" w:hAnsi="Arial" w:cs="Arial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sz w:val="18"/>
          <w:szCs w:val="18"/>
        </w:rPr>
        <w:t>PFS</w:t>
      </w:r>
      <w:r w:rsidRPr="001258CC">
        <w:rPr>
          <w:rFonts w:ascii="Arial" w:hAnsi="Arial" w:cs="Arial"/>
          <w:sz w:val="18"/>
          <w:szCs w:val="18"/>
        </w:rPr>
        <w:t xml:space="preserve"> progression-free survival</w:t>
      </w:r>
      <w:r>
        <w:rPr>
          <w:rFonts w:ascii="Arial" w:hAnsi="Arial" w:cs="Arial"/>
          <w:sz w:val="18"/>
          <w:szCs w:val="18"/>
        </w:rPr>
        <w:t>,</w:t>
      </w:r>
      <w:r w:rsidRPr="001258CC">
        <w:rPr>
          <w:rFonts w:ascii="Arial" w:hAnsi="Arial" w:cs="Arial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sz w:val="18"/>
          <w:szCs w:val="18"/>
        </w:rPr>
        <w:t>RECIST v1.1</w:t>
      </w:r>
      <w:r w:rsidRPr="001258CC">
        <w:rPr>
          <w:rFonts w:ascii="Arial" w:hAnsi="Arial" w:cs="Arial"/>
          <w:sz w:val="18"/>
          <w:szCs w:val="18"/>
        </w:rPr>
        <w:t xml:space="preserve"> Response Evaluation Criteria in Solid Tumors version 1.1</w:t>
      </w:r>
    </w:p>
    <w:p w14:paraId="15E3AB05" w14:textId="77777777" w:rsidR="00025C89" w:rsidRPr="001258CC" w:rsidRDefault="00025C89" w:rsidP="00025C89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A2499DC" w14:textId="77777777" w:rsidR="00025C89" w:rsidRPr="001258CC" w:rsidRDefault="00025C89" w:rsidP="00025C89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258CC"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492F6BDB" w14:textId="77777777" w:rsidR="00025C89" w:rsidRPr="001258CC" w:rsidRDefault="00025C89" w:rsidP="00025C89">
      <w:pPr>
        <w:pageBreakBefore/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Supplementary Table</w:t>
      </w:r>
      <w:r w:rsidRPr="001258C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5 </w:t>
      </w:r>
      <w:r w:rsidRPr="001258CC">
        <w:rPr>
          <w:rFonts w:ascii="Arial" w:hAnsi="Arial" w:cs="Arial"/>
          <w:color w:val="000000" w:themeColor="text1"/>
          <w:sz w:val="22"/>
          <w:szCs w:val="22"/>
        </w:rPr>
        <w:t xml:space="preserve">TEAEs (SAS, </w:t>
      </w:r>
      <w:r w:rsidRPr="00D07552">
        <w:rPr>
          <w:rFonts w:ascii="Arial" w:hAnsi="Arial" w:cs="Arial"/>
          <w:i/>
          <w:iCs/>
          <w:color w:val="000000" w:themeColor="text1"/>
          <w:sz w:val="22"/>
          <w:szCs w:val="22"/>
        </w:rPr>
        <w:t>n</w:t>
      </w:r>
      <w:r w:rsidRPr="001258CC">
        <w:rPr>
          <w:rFonts w:ascii="Arial" w:hAnsi="Arial" w:cs="Arial"/>
          <w:color w:val="000000" w:themeColor="text1"/>
          <w:sz w:val="22"/>
          <w:szCs w:val="22"/>
        </w:rPr>
        <w:t xml:space="preserve">=110) </w:t>
      </w:r>
    </w:p>
    <w:p w14:paraId="3B498FB8" w14:textId="77777777" w:rsidR="00025C89" w:rsidRPr="001258CC" w:rsidRDefault="00025C89" w:rsidP="00025C89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6"/>
        <w:gridCol w:w="3000"/>
      </w:tblGrid>
      <w:tr w:rsidR="00025C89" w:rsidRPr="001258CC" w14:paraId="36F8DDFD" w14:textId="77777777" w:rsidTr="004D63FF">
        <w:trPr>
          <w:trHeight w:val="253"/>
          <w:jc w:val="center"/>
        </w:trPr>
        <w:tc>
          <w:tcPr>
            <w:tcW w:w="3338" w:type="pct"/>
            <w:tcBorders>
              <w:bottom w:val="single" w:sz="4" w:space="0" w:color="auto"/>
            </w:tcBorders>
            <w:shd w:val="clear" w:color="auto" w:fill="auto"/>
          </w:tcPr>
          <w:p w14:paraId="101B538C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TEAEs</w:t>
            </w:r>
          </w:p>
        </w:tc>
        <w:tc>
          <w:tcPr>
            <w:tcW w:w="1662" w:type="pct"/>
            <w:tcBorders>
              <w:bottom w:val="single" w:sz="4" w:space="0" w:color="auto"/>
            </w:tcBorders>
            <w:shd w:val="clear" w:color="auto" w:fill="auto"/>
          </w:tcPr>
          <w:p w14:paraId="0360E333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07552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(%)</w:t>
            </w:r>
          </w:p>
        </w:tc>
      </w:tr>
      <w:tr w:rsidR="00025C89" w:rsidRPr="001258CC" w14:paraId="0833B72D" w14:textId="77777777" w:rsidTr="004D63FF">
        <w:trPr>
          <w:trHeight w:val="253"/>
          <w:jc w:val="center"/>
        </w:trPr>
        <w:tc>
          <w:tcPr>
            <w:tcW w:w="3338" w:type="pct"/>
            <w:tcBorders>
              <w:bottom w:val="nil"/>
            </w:tcBorders>
            <w:shd w:val="clear" w:color="auto" w:fill="auto"/>
          </w:tcPr>
          <w:p w14:paraId="0469112D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Subjects with at least one TEAE</w:t>
            </w: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662" w:type="pct"/>
            <w:tcBorders>
              <w:bottom w:val="nil"/>
            </w:tcBorders>
            <w:shd w:val="clear" w:color="auto" w:fill="auto"/>
          </w:tcPr>
          <w:p w14:paraId="4DC48BCB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79 (71.8)</w:t>
            </w:r>
          </w:p>
        </w:tc>
      </w:tr>
      <w:tr w:rsidR="00025C89" w:rsidRPr="001258CC" w14:paraId="320B2E3C" w14:textId="77777777" w:rsidTr="004D63FF">
        <w:trPr>
          <w:trHeight w:val="253"/>
          <w:jc w:val="center"/>
        </w:trPr>
        <w:tc>
          <w:tcPr>
            <w:tcW w:w="3338" w:type="pct"/>
            <w:tcBorders>
              <w:top w:val="nil"/>
              <w:bottom w:val="nil"/>
            </w:tcBorders>
            <w:shd w:val="clear" w:color="auto" w:fill="auto"/>
          </w:tcPr>
          <w:p w14:paraId="4306F750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Subjects with at least one TEAE leading to study discontinuation</w:t>
            </w:r>
          </w:p>
        </w:tc>
        <w:tc>
          <w:tcPr>
            <w:tcW w:w="1662" w:type="pct"/>
            <w:tcBorders>
              <w:top w:val="nil"/>
              <w:bottom w:val="nil"/>
            </w:tcBorders>
            <w:shd w:val="clear" w:color="auto" w:fill="auto"/>
          </w:tcPr>
          <w:p w14:paraId="7D4A9A37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</w:tr>
      <w:tr w:rsidR="00025C89" w:rsidRPr="001258CC" w14:paraId="114D2924" w14:textId="77777777" w:rsidTr="004D63FF">
        <w:trPr>
          <w:trHeight w:val="253"/>
          <w:jc w:val="center"/>
        </w:trPr>
        <w:tc>
          <w:tcPr>
            <w:tcW w:w="3338" w:type="pct"/>
            <w:tcBorders>
              <w:top w:val="nil"/>
              <w:bottom w:val="nil"/>
            </w:tcBorders>
            <w:shd w:val="clear" w:color="auto" w:fill="auto"/>
          </w:tcPr>
          <w:p w14:paraId="71F9902E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Subjects with treatment modification</w:t>
            </w:r>
          </w:p>
        </w:tc>
        <w:tc>
          <w:tcPr>
            <w:tcW w:w="1662" w:type="pct"/>
            <w:tcBorders>
              <w:top w:val="nil"/>
              <w:bottom w:val="nil"/>
            </w:tcBorders>
            <w:shd w:val="clear" w:color="auto" w:fill="auto"/>
          </w:tcPr>
          <w:p w14:paraId="0E1D337E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10 (9.1)</w:t>
            </w:r>
          </w:p>
        </w:tc>
      </w:tr>
      <w:tr w:rsidR="00025C89" w:rsidRPr="001258CC" w14:paraId="444A2051" w14:textId="77777777" w:rsidTr="004D63FF">
        <w:trPr>
          <w:trHeight w:val="253"/>
          <w:jc w:val="center"/>
        </w:trPr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582FFEAD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Subjects with at least one grade </w:t>
            </w:r>
            <w:r w:rsidRPr="00917291">
              <w:rPr>
                <w:rFonts w:ascii="Arial" w:hAnsi="Arial" w:cs="Arial"/>
                <w:color w:val="000000" w:themeColor="text1"/>
                <w:sz w:val="22"/>
                <w:szCs w:val="22"/>
              </w:rPr>
              <w:t>≥</w:t>
            </w: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3 TEAE</w:t>
            </w:r>
          </w:p>
        </w:tc>
      </w:tr>
      <w:tr w:rsidR="00025C89" w:rsidRPr="001258CC" w14:paraId="1AB3103D" w14:textId="77777777" w:rsidTr="004D63FF">
        <w:trPr>
          <w:trHeight w:val="253"/>
          <w:jc w:val="center"/>
        </w:trPr>
        <w:tc>
          <w:tcPr>
            <w:tcW w:w="3338" w:type="pct"/>
            <w:tcBorders>
              <w:top w:val="nil"/>
              <w:bottom w:val="nil"/>
            </w:tcBorders>
            <w:shd w:val="clear" w:color="auto" w:fill="auto"/>
          </w:tcPr>
          <w:p w14:paraId="6AC6ABB9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Grade 3</w:t>
            </w:r>
          </w:p>
        </w:tc>
        <w:tc>
          <w:tcPr>
            <w:tcW w:w="1662" w:type="pct"/>
            <w:tcBorders>
              <w:top w:val="nil"/>
              <w:bottom w:val="nil"/>
            </w:tcBorders>
            <w:shd w:val="clear" w:color="auto" w:fill="auto"/>
          </w:tcPr>
          <w:p w14:paraId="62B6D26A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25 (22.7)</w:t>
            </w:r>
          </w:p>
        </w:tc>
      </w:tr>
      <w:tr w:rsidR="00025C89" w:rsidRPr="001258CC" w14:paraId="53563E1A" w14:textId="77777777" w:rsidTr="004D63FF">
        <w:trPr>
          <w:trHeight w:val="253"/>
          <w:jc w:val="center"/>
        </w:trPr>
        <w:tc>
          <w:tcPr>
            <w:tcW w:w="3338" w:type="pct"/>
            <w:tcBorders>
              <w:top w:val="nil"/>
              <w:bottom w:val="nil"/>
            </w:tcBorders>
            <w:shd w:val="clear" w:color="auto" w:fill="auto"/>
          </w:tcPr>
          <w:p w14:paraId="6282C4EE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Grade 4</w:t>
            </w:r>
          </w:p>
        </w:tc>
        <w:tc>
          <w:tcPr>
            <w:tcW w:w="1662" w:type="pct"/>
            <w:tcBorders>
              <w:top w:val="nil"/>
              <w:bottom w:val="nil"/>
            </w:tcBorders>
            <w:shd w:val="clear" w:color="auto" w:fill="auto"/>
          </w:tcPr>
          <w:p w14:paraId="4DC9D752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5 (4.5)</w:t>
            </w:r>
          </w:p>
        </w:tc>
      </w:tr>
      <w:tr w:rsidR="00025C89" w:rsidRPr="001258CC" w14:paraId="6B670B53" w14:textId="77777777" w:rsidTr="004D63FF">
        <w:trPr>
          <w:trHeight w:val="253"/>
          <w:jc w:val="center"/>
        </w:trPr>
        <w:tc>
          <w:tcPr>
            <w:tcW w:w="3338" w:type="pct"/>
            <w:tcBorders>
              <w:top w:val="nil"/>
              <w:bottom w:val="nil"/>
            </w:tcBorders>
            <w:shd w:val="clear" w:color="auto" w:fill="auto"/>
          </w:tcPr>
          <w:p w14:paraId="2E995911" w14:textId="77777777" w:rsidR="00025C89" w:rsidRPr="001258CC" w:rsidRDefault="00025C89" w:rsidP="004D63FF">
            <w:pPr>
              <w:spacing w:line="360" w:lineRule="auto"/>
              <w:ind w:left="7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Grade 5</w:t>
            </w:r>
          </w:p>
        </w:tc>
        <w:tc>
          <w:tcPr>
            <w:tcW w:w="1662" w:type="pct"/>
            <w:tcBorders>
              <w:top w:val="nil"/>
              <w:bottom w:val="nil"/>
            </w:tcBorders>
            <w:shd w:val="clear" w:color="auto" w:fill="auto"/>
          </w:tcPr>
          <w:p w14:paraId="4BFAB10D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3 (2.7)</w:t>
            </w:r>
          </w:p>
        </w:tc>
      </w:tr>
      <w:tr w:rsidR="00025C89" w:rsidRPr="001258CC" w14:paraId="51D457B6" w14:textId="77777777" w:rsidTr="004D63FF">
        <w:trPr>
          <w:trHeight w:val="253"/>
          <w:jc w:val="center"/>
        </w:trPr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6B2A538E" w14:textId="77777777" w:rsidR="00025C89" w:rsidRPr="001258CC" w:rsidRDefault="00025C89" w:rsidP="004D63FF">
            <w:pPr>
              <w:spacing w:line="360" w:lineRule="auto"/>
              <w:ind w:left="14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Grade 5 TEAEs</w:t>
            </w:r>
          </w:p>
        </w:tc>
      </w:tr>
      <w:tr w:rsidR="00025C89" w:rsidRPr="001258CC" w14:paraId="24D520FC" w14:textId="77777777" w:rsidTr="004D63FF">
        <w:trPr>
          <w:trHeight w:val="253"/>
          <w:jc w:val="center"/>
        </w:trPr>
        <w:tc>
          <w:tcPr>
            <w:tcW w:w="3338" w:type="pct"/>
            <w:tcBorders>
              <w:top w:val="nil"/>
              <w:bottom w:val="nil"/>
            </w:tcBorders>
            <w:shd w:val="clear" w:color="auto" w:fill="auto"/>
          </w:tcPr>
          <w:p w14:paraId="5A35B4F6" w14:textId="77777777" w:rsidR="00025C89" w:rsidRPr="001258CC" w:rsidRDefault="00025C89" w:rsidP="004D63FF">
            <w:pPr>
              <w:spacing w:line="360" w:lineRule="auto"/>
              <w:ind w:left="14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Abdominal abscess</w:t>
            </w:r>
          </w:p>
        </w:tc>
        <w:tc>
          <w:tcPr>
            <w:tcW w:w="1662" w:type="pct"/>
            <w:tcBorders>
              <w:top w:val="nil"/>
              <w:bottom w:val="nil"/>
            </w:tcBorders>
            <w:shd w:val="clear" w:color="auto" w:fill="auto"/>
          </w:tcPr>
          <w:p w14:paraId="596C2505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1 (0.9)</w:t>
            </w:r>
          </w:p>
        </w:tc>
      </w:tr>
      <w:tr w:rsidR="00025C89" w:rsidRPr="001258CC" w14:paraId="7DF70D4D" w14:textId="77777777" w:rsidTr="004D63FF">
        <w:trPr>
          <w:trHeight w:val="253"/>
          <w:jc w:val="center"/>
        </w:trPr>
        <w:tc>
          <w:tcPr>
            <w:tcW w:w="3338" w:type="pct"/>
            <w:tcBorders>
              <w:top w:val="nil"/>
              <w:bottom w:val="nil"/>
            </w:tcBorders>
            <w:shd w:val="clear" w:color="auto" w:fill="auto"/>
          </w:tcPr>
          <w:p w14:paraId="1F5F3A2B" w14:textId="77777777" w:rsidR="00025C89" w:rsidRPr="001258CC" w:rsidRDefault="00025C89" w:rsidP="004D63FF">
            <w:pPr>
              <w:spacing w:line="360" w:lineRule="auto"/>
              <w:ind w:left="14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Metabolic encephalopathy</w:t>
            </w:r>
          </w:p>
        </w:tc>
        <w:tc>
          <w:tcPr>
            <w:tcW w:w="1662" w:type="pct"/>
            <w:tcBorders>
              <w:top w:val="nil"/>
              <w:bottom w:val="nil"/>
            </w:tcBorders>
            <w:shd w:val="clear" w:color="auto" w:fill="auto"/>
          </w:tcPr>
          <w:p w14:paraId="23473633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1 (0.9)</w:t>
            </w:r>
          </w:p>
        </w:tc>
      </w:tr>
      <w:tr w:rsidR="00025C89" w:rsidRPr="001258CC" w14:paraId="0CBC208E" w14:textId="77777777" w:rsidTr="004D63FF">
        <w:trPr>
          <w:trHeight w:val="253"/>
          <w:jc w:val="center"/>
        </w:trPr>
        <w:tc>
          <w:tcPr>
            <w:tcW w:w="3338" w:type="pct"/>
            <w:tcBorders>
              <w:top w:val="nil"/>
            </w:tcBorders>
            <w:shd w:val="clear" w:color="auto" w:fill="auto"/>
          </w:tcPr>
          <w:p w14:paraId="09C64DD2" w14:textId="77777777" w:rsidR="00025C89" w:rsidRPr="001258CC" w:rsidRDefault="00025C89" w:rsidP="004D63FF">
            <w:pPr>
              <w:spacing w:line="360" w:lineRule="auto"/>
              <w:ind w:left="144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Pulmonary embolism</w:t>
            </w:r>
          </w:p>
        </w:tc>
        <w:tc>
          <w:tcPr>
            <w:tcW w:w="1662" w:type="pct"/>
            <w:tcBorders>
              <w:top w:val="nil"/>
            </w:tcBorders>
            <w:shd w:val="clear" w:color="auto" w:fill="auto"/>
          </w:tcPr>
          <w:p w14:paraId="17A414B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1 (0.9)</w:t>
            </w:r>
          </w:p>
        </w:tc>
      </w:tr>
    </w:tbl>
    <w:p w14:paraId="28399A2A" w14:textId="77777777" w:rsidR="00025C89" w:rsidRPr="001258CC" w:rsidRDefault="00025C89" w:rsidP="00025C89">
      <w:pPr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1258CC">
        <w:rPr>
          <w:rFonts w:ascii="Arial" w:hAnsi="Arial" w:cs="Arial"/>
          <w:color w:val="000000" w:themeColor="text1"/>
          <w:sz w:val="18"/>
          <w:szCs w:val="18"/>
          <w:vertAlign w:val="superscript"/>
        </w:rPr>
        <w:t>a</w:t>
      </w:r>
      <w:r w:rsidRPr="001258CC">
        <w:rPr>
          <w:rFonts w:ascii="Arial" w:hAnsi="Arial" w:cs="Arial"/>
          <w:sz w:val="18"/>
          <w:szCs w:val="18"/>
        </w:rPr>
        <w:t>D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efined as any AE starting after or on the day of the administration of </w:t>
      </w:r>
      <w:r>
        <w:rPr>
          <w:rFonts w:ascii="Arial" w:hAnsi="Arial" w:cs="Arial"/>
          <w:color w:val="000000" w:themeColor="text1"/>
          <w:sz w:val="18"/>
          <w:szCs w:val="18"/>
        </w:rPr>
        <w:t>[</w:t>
      </w:r>
      <w:r w:rsidRPr="001258CC">
        <w:rPr>
          <w:rFonts w:ascii="Arial" w:hAnsi="Arial" w:cs="Arial"/>
          <w:color w:val="000000" w:themeColor="text1"/>
          <w:sz w:val="18"/>
          <w:szCs w:val="18"/>
          <w:vertAlign w:val="superscript"/>
        </w:rPr>
        <w:t>177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Lu</w:t>
      </w:r>
      <w:r>
        <w:rPr>
          <w:rFonts w:ascii="Arial" w:hAnsi="Arial" w:cs="Arial"/>
          <w:color w:val="000000" w:themeColor="text1"/>
          <w:sz w:val="18"/>
          <w:szCs w:val="18"/>
        </w:rPr>
        <w:t>]Lu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-DOTA</w:t>
      </w:r>
      <w:r>
        <w:rPr>
          <w:rFonts w:ascii="Arial" w:hAnsi="Arial" w:cs="Arial"/>
          <w:color w:val="000000" w:themeColor="text1"/>
          <w:sz w:val="18"/>
          <w:szCs w:val="18"/>
        </w:rPr>
        <w:t>-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>TATE. AEs are coded using MedDRA version 21.1. Toxicity grade: 3=severe, 4=threatening/disabling, 5=death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br/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AE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adverse event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MedDRA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Medical Dictionary for Regulatory Activities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SAS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safety analysis set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TEAE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treatment-emergent adverse event</w:t>
      </w:r>
    </w:p>
    <w:p w14:paraId="44DC0809" w14:textId="77777777" w:rsidR="00025C89" w:rsidRPr="001258CC" w:rsidRDefault="00025C89" w:rsidP="00025C89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258CC"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482D25C0" w14:textId="77777777" w:rsidR="00025C89" w:rsidRPr="001258CC" w:rsidRDefault="00025C89" w:rsidP="00025C89">
      <w:pPr>
        <w:pageBreakBefore/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Supplementary Table</w:t>
      </w:r>
      <w:r w:rsidRPr="001258C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6 </w:t>
      </w:r>
      <w:r w:rsidRPr="001258CC">
        <w:rPr>
          <w:rFonts w:ascii="Arial" w:hAnsi="Arial" w:cs="Arial"/>
          <w:color w:val="000000" w:themeColor="text1"/>
          <w:sz w:val="22"/>
          <w:szCs w:val="22"/>
        </w:rPr>
        <w:t xml:space="preserve">Grade ≥3 haematological TEAEs (SAS, </w:t>
      </w:r>
      <w:r w:rsidRPr="00511A83">
        <w:rPr>
          <w:rFonts w:ascii="Arial" w:hAnsi="Arial" w:cs="Arial"/>
          <w:i/>
          <w:iCs/>
          <w:color w:val="000000" w:themeColor="text1"/>
          <w:sz w:val="22"/>
          <w:szCs w:val="22"/>
        </w:rPr>
        <w:t>n</w:t>
      </w:r>
      <w:r w:rsidRPr="001258CC">
        <w:rPr>
          <w:rFonts w:ascii="Arial" w:hAnsi="Arial" w:cs="Arial"/>
          <w:color w:val="000000" w:themeColor="text1"/>
          <w:sz w:val="22"/>
          <w:szCs w:val="22"/>
        </w:rPr>
        <w:t>=110)</w:t>
      </w:r>
    </w:p>
    <w:p w14:paraId="070E007C" w14:textId="77777777" w:rsidR="00025C89" w:rsidRPr="001258CC" w:rsidRDefault="00025C89" w:rsidP="00025C89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13"/>
        <w:gridCol w:w="1708"/>
        <w:gridCol w:w="2258"/>
        <w:gridCol w:w="1704"/>
      </w:tblGrid>
      <w:tr w:rsidR="00025C89" w:rsidRPr="001258CC" w14:paraId="5F03009D" w14:textId="77777777" w:rsidTr="004D63FF"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</w:tcPr>
          <w:p w14:paraId="3F353E55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Haematological toxicity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shd w:val="clear" w:color="auto" w:fill="auto"/>
          </w:tcPr>
          <w:p w14:paraId="78A51FF0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Anaemia, </w:t>
            </w:r>
          </w:p>
          <w:p w14:paraId="71C72AF4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11A83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(%)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14:paraId="00C7BAB8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Lymphopenia, </w:t>
            </w:r>
            <w:r w:rsidRPr="00511A83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(%)</w:t>
            </w:r>
          </w:p>
        </w:tc>
        <w:tc>
          <w:tcPr>
            <w:tcW w:w="2039" w:type="dxa"/>
            <w:tcBorders>
              <w:bottom w:val="single" w:sz="4" w:space="0" w:color="auto"/>
            </w:tcBorders>
            <w:shd w:val="clear" w:color="auto" w:fill="auto"/>
          </w:tcPr>
          <w:p w14:paraId="0952E3DD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Thrombocytopenia, </w:t>
            </w:r>
            <w:r w:rsidRPr="00511A83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(%)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shd w:val="clear" w:color="auto" w:fill="auto"/>
          </w:tcPr>
          <w:p w14:paraId="4BFC3F8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Neutropenia, </w:t>
            </w:r>
          </w:p>
          <w:p w14:paraId="271EADE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511A83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n</w:t>
            </w:r>
            <w:r w:rsidRPr="001258C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(%)</w:t>
            </w:r>
          </w:p>
        </w:tc>
      </w:tr>
      <w:tr w:rsidR="00025C89" w:rsidRPr="001258CC" w14:paraId="48B235B4" w14:textId="77777777" w:rsidTr="004D63FF">
        <w:tc>
          <w:tcPr>
            <w:tcW w:w="1844" w:type="dxa"/>
            <w:tcBorders>
              <w:bottom w:val="nil"/>
            </w:tcBorders>
            <w:shd w:val="clear" w:color="auto" w:fill="auto"/>
          </w:tcPr>
          <w:p w14:paraId="113B64A0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Grade 3</w:t>
            </w:r>
          </w:p>
        </w:tc>
        <w:tc>
          <w:tcPr>
            <w:tcW w:w="1698" w:type="dxa"/>
            <w:tcBorders>
              <w:bottom w:val="nil"/>
            </w:tcBorders>
            <w:shd w:val="clear" w:color="auto" w:fill="auto"/>
          </w:tcPr>
          <w:p w14:paraId="2E8FFC95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1 (0.9)</w:t>
            </w:r>
          </w:p>
        </w:tc>
        <w:tc>
          <w:tcPr>
            <w:tcW w:w="1648" w:type="dxa"/>
            <w:tcBorders>
              <w:bottom w:val="nil"/>
            </w:tcBorders>
            <w:shd w:val="clear" w:color="auto" w:fill="auto"/>
          </w:tcPr>
          <w:p w14:paraId="64D9AB48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6 (5.4)</w:t>
            </w:r>
          </w:p>
        </w:tc>
        <w:tc>
          <w:tcPr>
            <w:tcW w:w="2039" w:type="dxa"/>
            <w:tcBorders>
              <w:bottom w:val="nil"/>
            </w:tcBorders>
            <w:shd w:val="clear" w:color="auto" w:fill="auto"/>
          </w:tcPr>
          <w:p w14:paraId="0D8CCA1E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1 (0.9)</w:t>
            </w:r>
          </w:p>
        </w:tc>
        <w:tc>
          <w:tcPr>
            <w:tcW w:w="1787" w:type="dxa"/>
            <w:tcBorders>
              <w:bottom w:val="nil"/>
            </w:tcBorders>
            <w:shd w:val="clear" w:color="auto" w:fill="auto"/>
          </w:tcPr>
          <w:p w14:paraId="6D329605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</w:tr>
      <w:tr w:rsidR="00025C89" w:rsidRPr="001258CC" w14:paraId="74D735BC" w14:textId="77777777" w:rsidTr="004D63FF">
        <w:tc>
          <w:tcPr>
            <w:tcW w:w="1844" w:type="dxa"/>
            <w:tcBorders>
              <w:top w:val="nil"/>
              <w:bottom w:val="nil"/>
            </w:tcBorders>
            <w:shd w:val="clear" w:color="auto" w:fill="auto"/>
          </w:tcPr>
          <w:p w14:paraId="77C305D7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Grade 4</w:t>
            </w:r>
          </w:p>
        </w:tc>
        <w:tc>
          <w:tcPr>
            <w:tcW w:w="1698" w:type="dxa"/>
            <w:tcBorders>
              <w:top w:val="nil"/>
              <w:bottom w:val="nil"/>
            </w:tcBorders>
            <w:shd w:val="clear" w:color="auto" w:fill="auto"/>
          </w:tcPr>
          <w:p w14:paraId="0FC405F0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auto"/>
          </w:tcPr>
          <w:p w14:paraId="6E249357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top w:val="nil"/>
              <w:bottom w:val="nil"/>
            </w:tcBorders>
            <w:shd w:val="clear" w:color="auto" w:fill="auto"/>
          </w:tcPr>
          <w:p w14:paraId="0C355191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87" w:type="dxa"/>
            <w:tcBorders>
              <w:top w:val="nil"/>
              <w:bottom w:val="nil"/>
            </w:tcBorders>
            <w:shd w:val="clear" w:color="auto" w:fill="auto"/>
          </w:tcPr>
          <w:p w14:paraId="7486DCF2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</w:tr>
      <w:tr w:rsidR="00025C89" w:rsidRPr="001258CC" w14:paraId="7D531424" w14:textId="77777777" w:rsidTr="004D63FF">
        <w:tc>
          <w:tcPr>
            <w:tcW w:w="1844" w:type="dxa"/>
            <w:tcBorders>
              <w:top w:val="nil"/>
            </w:tcBorders>
            <w:shd w:val="clear" w:color="auto" w:fill="auto"/>
          </w:tcPr>
          <w:p w14:paraId="7F355704" w14:textId="77777777" w:rsidR="00025C89" w:rsidRPr="001258CC" w:rsidRDefault="00025C89" w:rsidP="004D63FF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Grade 5</w:t>
            </w:r>
          </w:p>
        </w:tc>
        <w:tc>
          <w:tcPr>
            <w:tcW w:w="1698" w:type="dxa"/>
            <w:tcBorders>
              <w:top w:val="nil"/>
            </w:tcBorders>
            <w:shd w:val="clear" w:color="auto" w:fill="auto"/>
          </w:tcPr>
          <w:p w14:paraId="3C58400C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648" w:type="dxa"/>
            <w:tcBorders>
              <w:top w:val="nil"/>
            </w:tcBorders>
            <w:shd w:val="clear" w:color="auto" w:fill="auto"/>
          </w:tcPr>
          <w:p w14:paraId="209DCF1F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top w:val="nil"/>
            </w:tcBorders>
            <w:shd w:val="clear" w:color="auto" w:fill="auto"/>
          </w:tcPr>
          <w:p w14:paraId="611FAC08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87" w:type="dxa"/>
            <w:tcBorders>
              <w:top w:val="nil"/>
            </w:tcBorders>
            <w:shd w:val="clear" w:color="auto" w:fill="auto"/>
          </w:tcPr>
          <w:p w14:paraId="17178B98" w14:textId="77777777" w:rsidR="00025C89" w:rsidRPr="001258CC" w:rsidRDefault="00025C89" w:rsidP="004D63F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258CC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7738A5AE" w14:textId="77777777" w:rsidR="00025C89" w:rsidRPr="001258CC" w:rsidRDefault="00025C89" w:rsidP="00025C89">
      <w:pPr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AEs are coded using MedDRA version 21.1. Toxicity grade: 3=severe, 4=threatening/disabling, 5=death 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br/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AE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adverse event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MedDRA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Medical Dictionary for Regulatory Activities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SAS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safety analysis set</w:t>
      </w:r>
      <w:r>
        <w:rPr>
          <w:rFonts w:ascii="Arial" w:hAnsi="Arial" w:cs="Arial"/>
          <w:color w:val="000000" w:themeColor="text1"/>
          <w:sz w:val="18"/>
          <w:szCs w:val="18"/>
        </w:rPr>
        <w:t>,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1258CC">
        <w:rPr>
          <w:rFonts w:ascii="Arial" w:hAnsi="Arial" w:cs="Arial"/>
          <w:i/>
          <w:iCs/>
          <w:color w:val="000000" w:themeColor="text1"/>
          <w:sz w:val="18"/>
          <w:szCs w:val="18"/>
        </w:rPr>
        <w:t>TEAE</w:t>
      </w:r>
      <w:r w:rsidRPr="001258CC">
        <w:rPr>
          <w:rFonts w:ascii="Arial" w:hAnsi="Arial" w:cs="Arial"/>
          <w:color w:val="000000" w:themeColor="text1"/>
          <w:sz w:val="18"/>
          <w:szCs w:val="18"/>
        </w:rPr>
        <w:t xml:space="preserve"> treatment-emergent adverse event</w:t>
      </w:r>
    </w:p>
    <w:p w14:paraId="5339071C" w14:textId="77777777" w:rsidR="00025C89" w:rsidRPr="001258CC" w:rsidRDefault="00025C89" w:rsidP="00025C89">
      <w:pPr>
        <w:spacing w:line="360" w:lineRule="auto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</w:p>
    <w:p w14:paraId="39C6B7F9" w14:textId="77777777" w:rsidR="000F51AC" w:rsidRDefault="000F51AC"/>
    <w:sectPr w:rsidR="000F51AC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FBFD7" w14:textId="77777777" w:rsidR="003A3B74" w:rsidRDefault="003A3B74">
      <w:r>
        <w:separator/>
      </w:r>
    </w:p>
  </w:endnote>
  <w:endnote w:type="continuationSeparator" w:id="0">
    <w:p w14:paraId="5B248422" w14:textId="77777777" w:rsidR="003A3B74" w:rsidRDefault="003A3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82445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0AF52B" w14:textId="77777777" w:rsidR="00E40264" w:rsidRDefault="00025C89" w:rsidP="00805CF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D6C4199" w14:textId="77777777" w:rsidR="00E40264" w:rsidRDefault="003A3B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  <w:sz w:val="22"/>
        <w:szCs w:val="22"/>
      </w:rPr>
      <w:id w:val="9667767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BEA31AD" w14:textId="77777777" w:rsidR="00E40264" w:rsidRPr="001258CC" w:rsidRDefault="00025C89" w:rsidP="00805CF2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  <w:sz w:val="22"/>
            <w:szCs w:val="22"/>
          </w:rPr>
        </w:pPr>
        <w:r w:rsidRPr="001258CC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001258CC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001258CC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Pr="001258CC">
          <w:rPr>
            <w:rStyle w:val="PageNumber"/>
            <w:rFonts w:ascii="Arial" w:hAnsi="Arial" w:cs="Arial"/>
            <w:noProof/>
            <w:sz w:val="22"/>
            <w:szCs w:val="22"/>
          </w:rPr>
          <w:t>28</w:t>
        </w:r>
        <w:r w:rsidRPr="001258CC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14:paraId="328078F0" w14:textId="77777777" w:rsidR="00E40264" w:rsidRPr="001258CC" w:rsidRDefault="003A3B74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3DB4A" w14:textId="77777777" w:rsidR="003A3B74" w:rsidRDefault="003A3B74">
      <w:r>
        <w:separator/>
      </w:r>
    </w:p>
  </w:footnote>
  <w:footnote w:type="continuationSeparator" w:id="0">
    <w:p w14:paraId="756EC283" w14:textId="77777777" w:rsidR="003A3B74" w:rsidRDefault="003A3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DF610" w14:textId="03B06275" w:rsidR="00E40264" w:rsidRPr="00EA0440" w:rsidRDefault="00025C89">
    <w:pPr>
      <w:pStyle w:val="Header"/>
      <w:rPr>
        <w:rFonts w:ascii="Arial" w:hAnsi="Arial" w:cs="Arial"/>
        <w:sz w:val="22"/>
        <w:szCs w:val="22"/>
      </w:rPr>
    </w:pPr>
    <w:r w:rsidRPr="00EA0440">
      <w:rPr>
        <w:rFonts w:ascii="Arial" w:hAnsi="Arial" w:cs="Arial"/>
        <w:sz w:val="22"/>
        <w:szCs w:val="22"/>
      </w:rPr>
      <w:ptab w:relativeTo="margin" w:alignment="center" w:leader="none"/>
    </w:r>
    <w:r w:rsidRPr="00EA0440">
      <w:rPr>
        <w:rFonts w:ascii="Arial" w:hAnsi="Arial" w:cs="Arial"/>
        <w:sz w:val="22"/>
        <w:szCs w:val="22"/>
      </w:rPr>
      <w:ptab w:relativeTo="margin" w:alignment="right" w:leader="none"/>
    </w:r>
    <w:r w:rsidR="00EF0026">
      <w:rPr>
        <w:rFonts w:ascii="Arial" w:hAnsi="Arial" w:cs="Arial"/>
        <w:sz w:val="22"/>
        <w:szCs w:val="22"/>
      </w:rPr>
      <w:t>2</w:t>
    </w:r>
    <w:r w:rsidR="00F61BD1">
      <w:rPr>
        <w:rFonts w:ascii="Arial" w:hAnsi="Arial" w:cs="Arial"/>
        <w:sz w:val="22"/>
        <w:szCs w:val="22"/>
      </w:rPr>
      <w:t xml:space="preserve"> </w:t>
    </w:r>
    <w:r w:rsidR="00C71E25">
      <w:rPr>
        <w:rFonts w:ascii="Arial" w:hAnsi="Arial" w:cs="Arial"/>
        <w:sz w:val="22"/>
        <w:szCs w:val="22"/>
      </w:rPr>
      <w:t>February</w:t>
    </w:r>
    <w:r w:rsidR="00F61BD1">
      <w:rPr>
        <w:rFonts w:ascii="Arial" w:hAnsi="Arial" w:cs="Arial"/>
        <w:sz w:val="22"/>
        <w:szCs w:val="22"/>
      </w:rPr>
      <w:t xml:space="preserve">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26424"/>
    <w:multiLevelType w:val="multilevel"/>
    <w:tmpl w:val="FCB2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89"/>
    <w:rsid w:val="00025C89"/>
    <w:rsid w:val="000F0BE8"/>
    <w:rsid w:val="000F36A2"/>
    <w:rsid w:val="000F51AC"/>
    <w:rsid w:val="00103B9A"/>
    <w:rsid w:val="001723CC"/>
    <w:rsid w:val="003A3B74"/>
    <w:rsid w:val="004024BF"/>
    <w:rsid w:val="00466DF0"/>
    <w:rsid w:val="004B7532"/>
    <w:rsid w:val="00716F88"/>
    <w:rsid w:val="00752436"/>
    <w:rsid w:val="008F5A6D"/>
    <w:rsid w:val="009C0334"/>
    <w:rsid w:val="00A17AC8"/>
    <w:rsid w:val="00BC1478"/>
    <w:rsid w:val="00C71E25"/>
    <w:rsid w:val="00D37218"/>
    <w:rsid w:val="00DB7F4B"/>
    <w:rsid w:val="00EF0026"/>
    <w:rsid w:val="00F61BD1"/>
    <w:rsid w:val="00FD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162429"/>
  <w15:chartTrackingRefBased/>
  <w15:docId w15:val="{F105BA8D-CD66-9740-B76F-F5D4B7F5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C89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25C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C89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025C89"/>
  </w:style>
  <w:style w:type="paragraph" w:styleId="ListParagraph">
    <w:name w:val="List Paragraph"/>
    <w:basedOn w:val="Normal"/>
    <w:uiPriority w:val="34"/>
    <w:qFormat/>
    <w:rsid w:val="00025C89"/>
    <w:pPr>
      <w:ind w:left="720"/>
      <w:contextualSpacing/>
    </w:pPr>
  </w:style>
  <w:style w:type="table" w:styleId="TableGrid">
    <w:name w:val="Table Grid"/>
    <w:basedOn w:val="TableNormal"/>
    <w:uiPriority w:val="39"/>
    <w:rsid w:val="00025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25C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5C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5C8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25C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C89"/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DB7F4B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1006</Words>
  <Characters>5736</Characters>
  <Application>Microsoft Office Word</Application>
  <DocSecurity>0</DocSecurity>
  <Lines>47</Lines>
  <Paragraphs>13</Paragraphs>
  <ScaleCrop>false</ScaleCrop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De Backer</dc:creator>
  <cp:keywords/>
  <dc:description/>
  <cp:lastModifiedBy>Ivan De Backer</cp:lastModifiedBy>
  <cp:revision>13</cp:revision>
  <dcterms:created xsi:type="dcterms:W3CDTF">2021-10-20T15:01:00Z</dcterms:created>
  <dcterms:modified xsi:type="dcterms:W3CDTF">2022-02-02T16:09:00Z</dcterms:modified>
</cp:coreProperties>
</file>