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A3" w:rsidRPr="004E0B81" w:rsidRDefault="004E0B81" w:rsidP="004E0B81">
      <w:pPr>
        <w:pStyle w:val="Geenafstand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0B81">
        <w:rPr>
          <w:rFonts w:ascii="Times New Roman" w:hAnsi="Times New Roman" w:cs="Times New Roman"/>
          <w:b/>
          <w:sz w:val="20"/>
          <w:szCs w:val="20"/>
          <w:lang w:val="en-US"/>
        </w:rPr>
        <w:t>Supplementary information</w:t>
      </w:r>
    </w:p>
    <w:p w:rsidR="004E0B81" w:rsidRPr="004874EC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  <w:r w:rsidRPr="004E0B81">
        <w:rPr>
          <w:rFonts w:ascii="Times New Roman" w:hAnsi="Times New Roman" w:cs="Times New Roman"/>
          <w:b/>
          <w:sz w:val="20"/>
          <w:szCs w:val="20"/>
          <w:lang w:val="en-US"/>
        </w:rPr>
        <w:t>Article title:</w:t>
      </w:r>
      <w:r w:rsidR="004874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4874EC">
        <w:rPr>
          <w:rFonts w:ascii="Times New Roman" w:hAnsi="Times New Roman" w:cs="Times New Roman"/>
          <w:sz w:val="20"/>
          <w:szCs w:val="20"/>
          <w:lang w:val="en-US"/>
        </w:rPr>
        <w:t>[</w:t>
      </w:r>
      <w:r w:rsidR="004874EC" w:rsidRPr="004874EC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18</w:t>
      </w:r>
      <w:r w:rsidR="004874EC">
        <w:rPr>
          <w:rFonts w:ascii="Times New Roman" w:hAnsi="Times New Roman" w:cs="Times New Roman"/>
          <w:sz w:val="20"/>
          <w:szCs w:val="20"/>
          <w:lang w:val="en-US"/>
        </w:rPr>
        <w:t>F]Fluoride PET-CT visualizes both axial and peripheral new bone formation in psoriatic arthritis</w:t>
      </w:r>
    </w:p>
    <w:p w:rsidR="004E0B81" w:rsidRPr="004874EC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  <w:r w:rsidRPr="004E0B81">
        <w:rPr>
          <w:rFonts w:ascii="Times New Roman" w:hAnsi="Times New Roman" w:cs="Times New Roman"/>
          <w:b/>
          <w:sz w:val="20"/>
          <w:szCs w:val="20"/>
          <w:lang w:val="en-US"/>
        </w:rPr>
        <w:t>Journal name:</w:t>
      </w:r>
      <w:r w:rsidR="004874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4874EC">
        <w:rPr>
          <w:rFonts w:ascii="Times New Roman" w:hAnsi="Times New Roman" w:cs="Times New Roman"/>
          <w:sz w:val="20"/>
          <w:szCs w:val="20"/>
          <w:lang w:val="en-US"/>
        </w:rPr>
        <w:t>European Journal of Nuclear Medicine and Molecular Imaging</w:t>
      </w:r>
    </w:p>
    <w:p w:rsidR="004E0B81" w:rsidRPr="00B340C0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</w:rPr>
      </w:pPr>
      <w:r w:rsidRPr="00B340C0">
        <w:rPr>
          <w:rFonts w:ascii="Times New Roman" w:hAnsi="Times New Roman" w:cs="Times New Roman"/>
          <w:b/>
          <w:sz w:val="20"/>
          <w:szCs w:val="20"/>
        </w:rPr>
        <w:t>Author names:</w:t>
      </w:r>
      <w:r w:rsidR="004874EC" w:rsidRPr="00B340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874EC" w:rsidRPr="00B340C0">
        <w:rPr>
          <w:rFonts w:ascii="Times New Roman" w:hAnsi="Times New Roman" w:cs="Times New Roman"/>
          <w:sz w:val="20"/>
          <w:szCs w:val="20"/>
        </w:rPr>
        <w:t xml:space="preserve">J. de Jongh, </w:t>
      </w:r>
      <w:r w:rsidR="00B340C0">
        <w:rPr>
          <w:rFonts w:ascii="Times New Roman" w:hAnsi="Times New Roman" w:cs="Times New Roman"/>
          <w:sz w:val="20"/>
          <w:szCs w:val="20"/>
        </w:rPr>
        <w:t>R. Hemke, G.J.C. Zwezerijnen, M. Yaqub, I.E. van der Horst-Bruinsma, M.G.H. van de Sande, A.W.R. van Kuijk, A.E. Voskuyl, C.J. van der Laken</w:t>
      </w:r>
    </w:p>
    <w:p w:rsid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  <w:r w:rsidRPr="004E0B81">
        <w:rPr>
          <w:rFonts w:ascii="Times New Roman" w:hAnsi="Times New Roman" w:cs="Times New Roman"/>
          <w:b/>
          <w:sz w:val="20"/>
          <w:szCs w:val="20"/>
          <w:lang w:val="en-US"/>
        </w:rPr>
        <w:t>Affiliation and e-mail address of the corresponding author:</w:t>
      </w:r>
      <w:r w:rsidR="004874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B340C0">
        <w:rPr>
          <w:rFonts w:ascii="Times New Roman" w:hAnsi="Times New Roman" w:cs="Times New Roman"/>
          <w:sz w:val="20"/>
          <w:szCs w:val="20"/>
          <w:lang w:val="en-US"/>
        </w:rPr>
        <w:t>Amsterdam UMC, Vrije Universiteit Amsterdam, Department of Rheumatology and Clinical Immunology, De Boelelaa</w:t>
      </w:r>
      <w:r w:rsidR="000E3A8F"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B340C0">
        <w:rPr>
          <w:rFonts w:ascii="Times New Roman" w:hAnsi="Times New Roman" w:cs="Times New Roman"/>
          <w:sz w:val="20"/>
          <w:szCs w:val="20"/>
          <w:lang w:val="en-US"/>
        </w:rPr>
        <w:t xml:space="preserve"> 1117, Amsterdam, Netherlands, e-mail: </w:t>
      </w:r>
      <w:hyperlink r:id="rId4" w:history="1">
        <w:r w:rsidR="00B340C0" w:rsidRPr="009B6E1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j.dejongh2@amsterdamumc.nl</w:t>
        </w:r>
      </w:hyperlink>
      <w:r w:rsidR="00B340C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0E3A8F" w:rsidRDefault="000E3A8F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0E3A8F" w:rsidRPr="00B340C0" w:rsidRDefault="000E3A8F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4E0B81" w:rsidRP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  <w:r w:rsidRPr="004E0B81">
        <w:rPr>
          <w:rFonts w:ascii="Times New Roman" w:hAnsi="Times New Roman" w:cs="Times New Roman"/>
          <w:sz w:val="20"/>
          <w:szCs w:val="20"/>
          <w:lang w:val="en-US"/>
        </w:rPr>
        <w:t>Supplementary T</w:t>
      </w:r>
      <w:r>
        <w:rPr>
          <w:rFonts w:ascii="Times New Roman" w:hAnsi="Times New Roman" w:cs="Times New Roman"/>
          <w:sz w:val="20"/>
          <w:szCs w:val="20"/>
          <w:lang w:val="en-US"/>
        </w:rPr>
        <w:t>able 1.</w:t>
      </w:r>
      <w:r w:rsidRPr="004E0B81">
        <w:rPr>
          <w:rFonts w:ascii="Times New Roman" w:hAnsi="Times New Roman" w:cs="Times New Roman"/>
          <w:sz w:val="20"/>
          <w:szCs w:val="20"/>
          <w:lang w:val="en-US"/>
        </w:rPr>
        <w:t xml:space="preserve"> Detailed comparison between PET enhancement and clinical data per peripheral joint</w:t>
      </w:r>
    </w:p>
    <w:p w:rsidR="004E0B81" w:rsidRP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1812"/>
        <w:gridCol w:w="2294"/>
        <w:gridCol w:w="1652"/>
        <w:gridCol w:w="1652"/>
        <w:gridCol w:w="1652"/>
      </w:tblGrid>
      <w:tr w:rsidR="004E0B81" w:rsidRPr="004E0B81" w:rsidTr="008344B9">
        <w:tc>
          <w:tcPr>
            <w:tcW w:w="181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Joint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Visual PET-positive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Visual PET-negative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Sternoclavicular joint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rPr>
          <w:trHeight w:val="20"/>
        </w:trPr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Acromioclavicular joint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Shoulders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Elbows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Wrists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MCP1 joints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MCP 2 – 5 joints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PIP joints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</w:tr>
      <w:tr w:rsidR="004E0B81" w:rsidRPr="004E0B81" w:rsidTr="008344B9">
        <w:tc>
          <w:tcPr>
            <w:tcW w:w="9062" w:type="dxa"/>
            <w:gridSpan w:val="5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Knees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Ankles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MTP 1 joints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MTP 2 – 5 joints</w:t>
            </w: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Non tender or swollen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94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6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</w:tr>
    </w:tbl>
    <w:p w:rsidR="004E0B81" w:rsidRP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4E0B81" w:rsidRDefault="004E0B81" w:rsidP="004E0B81">
      <w:pPr>
        <w:pStyle w:val="Geenafstand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>Abbreviations: MCP:</w:t>
      </w:r>
      <w:r w:rsidR="000E3A8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metacarpophalangeal,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PIP:</w:t>
      </w:r>
      <w:r w:rsidR="000E3A8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proximal interphalangeal,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MTP:</w:t>
      </w:r>
      <w:r w:rsidR="000E3A8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metatarsophalangeal</w:t>
      </w:r>
    </w:p>
    <w:p w:rsidR="004E0B81" w:rsidRDefault="004E0B81" w:rsidP="004E0B81">
      <w:pPr>
        <w:pStyle w:val="Geenafstand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4E0B81" w:rsidRDefault="004E0B81" w:rsidP="004E0B81">
      <w:pPr>
        <w:pStyle w:val="Geenafstand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4E0B81" w:rsidRPr="004E0B81" w:rsidRDefault="004E0B81" w:rsidP="004E0B81">
      <w:pPr>
        <w:pStyle w:val="Geenafstand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5D6433" w:rsidRDefault="005D6433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5D6433" w:rsidRDefault="005D6433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  <w:r w:rsidRPr="004E0B81">
        <w:rPr>
          <w:rFonts w:ascii="Times New Roman" w:hAnsi="Times New Roman" w:cs="Times New Roman"/>
          <w:sz w:val="20"/>
          <w:szCs w:val="20"/>
          <w:lang w:val="en-US"/>
        </w:rPr>
        <w:t xml:space="preserve">Supplementary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4E0B81">
        <w:rPr>
          <w:rFonts w:ascii="Times New Roman" w:hAnsi="Times New Roman" w:cs="Times New Roman"/>
          <w:sz w:val="20"/>
          <w:szCs w:val="20"/>
          <w:lang w:val="en-US"/>
        </w:rPr>
        <w:t xml:space="preserve">able </w:t>
      </w:r>
      <w:r>
        <w:rPr>
          <w:rFonts w:ascii="Times New Roman" w:hAnsi="Times New Roman" w:cs="Times New Roman"/>
          <w:sz w:val="20"/>
          <w:szCs w:val="20"/>
          <w:lang w:val="en-US"/>
        </w:rPr>
        <w:t>2.</w:t>
      </w:r>
      <w:r w:rsidRPr="004E0B81">
        <w:rPr>
          <w:rFonts w:ascii="Times New Roman" w:hAnsi="Times New Roman" w:cs="Times New Roman"/>
          <w:sz w:val="20"/>
          <w:szCs w:val="20"/>
          <w:lang w:val="en-US"/>
        </w:rPr>
        <w:t xml:space="preserve"> Detailed comparison between PET enhancement and clinical data per entheses site</w:t>
      </w:r>
    </w:p>
    <w:p w:rsidR="004E0B81" w:rsidRP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1812"/>
        <w:gridCol w:w="2152"/>
        <w:gridCol w:w="1699"/>
        <w:gridCol w:w="1699"/>
        <w:gridCol w:w="1700"/>
      </w:tblGrid>
      <w:tr w:rsidR="004E0B81" w:rsidRPr="004E0B81" w:rsidTr="008344B9">
        <w:tc>
          <w:tcPr>
            <w:tcW w:w="181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Enthesis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Visual PET-positive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Visual PET-negative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4E0B81" w:rsidRPr="004E0B81" w:rsidTr="008344B9">
        <w:trPr>
          <w:trHeight w:val="269"/>
        </w:trPr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Supraspinatus insertion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4E0B81" w:rsidRPr="004E0B81" w:rsidTr="008344B9">
        <w:trPr>
          <w:trHeight w:val="269"/>
        </w:trPr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4E0B81" w:rsidRPr="004E0B81" w:rsidTr="008344B9">
        <w:trPr>
          <w:trHeight w:val="269"/>
        </w:trPr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rPr>
          <w:trHeight w:val="20"/>
        </w:trPr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Lateral epicondyle humerus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Medial epicondyle humerus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Trochanter major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Quadriceps insertion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Patella tendon insertion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Achilles tendon insertion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Fascia plantaris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1st costochondral joint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0B81" w:rsidRPr="004E0B81" w:rsidTr="008344B9">
        <w:tc>
          <w:tcPr>
            <w:tcW w:w="1812" w:type="dxa"/>
            <w:vMerge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7th costochondral joint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rPr>
          <w:trHeight w:val="96"/>
        </w:trPr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Spina iliaca posterior superior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Spina iliaca anterior posterior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Crista iliaca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4E0B81" w:rsidRPr="004E0B81" w:rsidTr="008344B9">
        <w:tc>
          <w:tcPr>
            <w:tcW w:w="9062" w:type="dxa"/>
            <w:gridSpan w:val="5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B81" w:rsidRPr="004E0B81" w:rsidTr="008344B9">
        <w:tc>
          <w:tcPr>
            <w:tcW w:w="1812" w:type="dxa"/>
            <w:vMerge w:val="restart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Processus spinosus L5</w:t>
            </w: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No clinical enthesitis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4E0B81" w:rsidRPr="004E0B81" w:rsidTr="008344B9">
        <w:tc>
          <w:tcPr>
            <w:tcW w:w="1812" w:type="dxa"/>
            <w:vMerge/>
          </w:tcPr>
          <w:p w:rsidR="004E0B81" w:rsidRPr="004E0B81" w:rsidRDefault="004E0B81" w:rsidP="004E0B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9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0" w:type="dxa"/>
            <w:vAlign w:val="center"/>
          </w:tcPr>
          <w:p w:rsidR="004E0B81" w:rsidRPr="004E0B81" w:rsidRDefault="004E0B81" w:rsidP="004E0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B8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</w:tbl>
    <w:p w:rsidR="004E0B81" w:rsidRDefault="004E0B81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9C21C8" w:rsidRDefault="009C21C8" w:rsidP="009C21C8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9C21C8" w:rsidRDefault="009C21C8" w:rsidP="009C21C8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p w:rsidR="009C21C8" w:rsidRDefault="009C21C8" w:rsidP="009C21C8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  <w:r w:rsidRPr="004E0B81">
        <w:rPr>
          <w:rFonts w:ascii="Times New Roman" w:hAnsi="Times New Roman" w:cs="Times New Roman"/>
          <w:sz w:val="20"/>
          <w:szCs w:val="20"/>
          <w:lang w:val="en-US"/>
        </w:rPr>
        <w:t xml:space="preserve">Supplementary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4E0B81">
        <w:rPr>
          <w:rFonts w:ascii="Times New Roman" w:hAnsi="Times New Roman" w:cs="Times New Roman"/>
          <w:sz w:val="20"/>
          <w:szCs w:val="20"/>
          <w:lang w:val="en-US"/>
        </w:rPr>
        <w:t xml:space="preserve">able </w:t>
      </w:r>
      <w:r>
        <w:rPr>
          <w:rFonts w:ascii="Times New Roman" w:hAnsi="Times New Roman" w:cs="Times New Roman"/>
          <w:sz w:val="20"/>
          <w:szCs w:val="20"/>
          <w:lang w:val="en-US"/>
        </w:rPr>
        <w:t>3. Overview of visual PET-positive axial lesions</w:t>
      </w:r>
    </w:p>
    <w:p w:rsidR="009C21C8" w:rsidRDefault="009C21C8" w:rsidP="009C21C8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689"/>
        <w:gridCol w:w="2126"/>
        <w:gridCol w:w="1984"/>
        <w:gridCol w:w="2263"/>
      </w:tblGrid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Spine location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Frequency of visual PET-positive, n (% of total)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Likely PsA related, n (% of total lesions at that location)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Likely degenerative related, n (% of total lesions at that location)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Processus spinosus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Costovertebral joint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(2.0)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(100)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Facet joint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23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45.1</w:t>
            </w: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 (17.4)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19 (82.6)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Anterior side vertebra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14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27.4</w:t>
            </w: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3 (21.4)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11 (78.6)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Posterior side vertebra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(2.0)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(100)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Inferior endplate vertebra</w:t>
            </w:r>
          </w:p>
        </w:tc>
        <w:tc>
          <w:tcPr>
            <w:tcW w:w="2126" w:type="dxa"/>
          </w:tcPr>
          <w:p w:rsidR="009C21C8" w:rsidRPr="008C1CFE" w:rsidDel="000B0B8D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(2.0)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(100)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Superior endplate vertebra</w:t>
            </w:r>
          </w:p>
        </w:tc>
        <w:tc>
          <w:tcPr>
            <w:tcW w:w="2126" w:type="dxa"/>
          </w:tcPr>
          <w:p w:rsidR="009C21C8" w:rsidRPr="008C1CFE" w:rsidDel="000B0B8D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(2.0)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 (100)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Other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8</w:t>
            </w: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15.6</w:t>
            </w:r>
            <w:r w:rsidRPr="008C1CFE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)</w:t>
            </w:r>
          </w:p>
        </w:tc>
        <w:tc>
          <w:tcPr>
            <w:tcW w:w="1984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 (0)</w:t>
            </w:r>
          </w:p>
        </w:tc>
        <w:tc>
          <w:tcPr>
            <w:tcW w:w="2263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8 (100)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Sacro-iliac joint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 (3.9)</w:t>
            </w:r>
          </w:p>
        </w:tc>
        <w:tc>
          <w:tcPr>
            <w:tcW w:w="1984" w:type="dxa"/>
          </w:tcPr>
          <w:p w:rsidR="009C21C8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 (100)</w:t>
            </w:r>
          </w:p>
        </w:tc>
        <w:tc>
          <w:tcPr>
            <w:tcW w:w="2263" w:type="dxa"/>
          </w:tcPr>
          <w:p w:rsidR="009C21C8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0</w:t>
            </w:r>
          </w:p>
        </w:tc>
      </w:tr>
      <w:tr w:rsidR="009C21C8" w:rsidRPr="008C1CFE" w:rsidTr="00AA4B4E">
        <w:tc>
          <w:tcPr>
            <w:tcW w:w="2689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 w:rsidRPr="008C1CFE"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Total</w:t>
            </w:r>
          </w:p>
        </w:tc>
        <w:tc>
          <w:tcPr>
            <w:tcW w:w="2126" w:type="dxa"/>
          </w:tcPr>
          <w:p w:rsidR="009C21C8" w:rsidRPr="008C1CFE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51</w:t>
            </w:r>
            <w:r w:rsidRPr="008C1CFE"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 xml:space="preserve"> (100)</w:t>
            </w:r>
          </w:p>
        </w:tc>
        <w:tc>
          <w:tcPr>
            <w:tcW w:w="1984" w:type="dxa"/>
          </w:tcPr>
          <w:p w:rsidR="009C21C8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11 (21.6)</w:t>
            </w:r>
          </w:p>
        </w:tc>
        <w:tc>
          <w:tcPr>
            <w:tcW w:w="2263" w:type="dxa"/>
          </w:tcPr>
          <w:p w:rsidR="009C21C8" w:rsidRDefault="009C21C8" w:rsidP="00AA4B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 w:eastAsia="nl-NL"/>
              </w:rPr>
              <w:t>40 (78.4)</w:t>
            </w:r>
          </w:p>
        </w:tc>
      </w:tr>
    </w:tbl>
    <w:p w:rsidR="009C21C8" w:rsidRPr="004E0B81" w:rsidRDefault="009C21C8" w:rsidP="004E0B81">
      <w:pPr>
        <w:pStyle w:val="Geenafstand"/>
        <w:rPr>
          <w:rFonts w:ascii="Times New Roman" w:hAnsi="Times New Roman" w:cs="Times New Roman"/>
          <w:sz w:val="20"/>
          <w:szCs w:val="20"/>
          <w:lang w:val="en-US"/>
        </w:rPr>
      </w:pPr>
    </w:p>
    <w:sectPr w:rsidR="009C21C8" w:rsidRPr="004E0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B81"/>
    <w:rsid w:val="000330A3"/>
    <w:rsid w:val="000E3A8F"/>
    <w:rsid w:val="004874EC"/>
    <w:rsid w:val="004E0B81"/>
    <w:rsid w:val="005D6433"/>
    <w:rsid w:val="009C21C8"/>
    <w:rsid w:val="00B3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5DF950"/>
  <w15:chartTrackingRefBased/>
  <w15:docId w15:val="{30FAE9BF-DB63-43E0-A24D-F1F538E1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E0B81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E0B81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4E0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340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dejongh2@amsterdamumc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661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Jongh, J. de (Jerney)</dc:creator>
  <cp:keywords/>
  <dc:description/>
  <cp:lastModifiedBy>Jongh, J. de (Jerney)</cp:lastModifiedBy>
  <cp:revision>6</cp:revision>
  <dcterms:created xsi:type="dcterms:W3CDTF">2022-06-09T12:03:00Z</dcterms:created>
  <dcterms:modified xsi:type="dcterms:W3CDTF">2022-08-19T12:52:00Z</dcterms:modified>
</cp:coreProperties>
</file>