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1E04D" w14:textId="57661E57" w:rsidR="009D7F14" w:rsidRPr="00F04677" w:rsidRDefault="009D7F14" w:rsidP="009D7F14">
      <w:pPr>
        <w:spacing w:after="120"/>
        <w:rPr>
          <w:rFonts w:ascii="Times New Roman" w:hAnsi="Times New Roman" w:cs="Times New Roman"/>
          <w:b/>
          <w:bCs/>
          <w:color w:val="000000" w:themeColor="text1"/>
          <w:highlight w:val="yellow"/>
          <w:lang w:val="en-US"/>
        </w:rPr>
      </w:pPr>
      <w:bookmarkStart w:id="0" w:name="_Hlk123255031"/>
      <w:bookmarkStart w:id="1" w:name="_Hlk76983763"/>
      <w:r w:rsidRPr="00F04677">
        <w:rPr>
          <w:rFonts w:ascii="Times New Roman" w:hAnsi="Times New Roman" w:cs="Times New Roman"/>
          <w:b/>
          <w:bCs/>
          <w:color w:val="000000" w:themeColor="text1"/>
          <w:lang w:val="en-US"/>
        </w:rPr>
        <w:t>Fibroblast activation protein targeted radiotherapy induces an immunogenic tumor microenvironment and enhances the efficacy of PD-1 immune checkpoint inhibition</w:t>
      </w:r>
    </w:p>
    <w:bookmarkEnd w:id="0"/>
    <w:p w14:paraId="28380BD3" w14:textId="77777777" w:rsidR="009D7F14" w:rsidRDefault="009D7F14" w:rsidP="008F4DFA">
      <w:pPr>
        <w:spacing w:line="240" w:lineRule="auto"/>
        <w:rPr>
          <w:rFonts w:ascii="Times New Roman" w:hAnsi="Times New Roman" w:cs="Times New Roman"/>
          <w:lang w:val="en-US"/>
        </w:rPr>
      </w:pPr>
    </w:p>
    <w:p w14:paraId="12D3CD4D" w14:textId="328B61EA" w:rsidR="00E01388" w:rsidRDefault="00D76263" w:rsidP="008F4DFA">
      <w:pPr>
        <w:spacing w:line="240" w:lineRule="auto"/>
        <w:rPr>
          <w:rFonts w:ascii="Times New Roman" w:hAnsi="Times New Roman" w:cs="Times New Roman"/>
          <w:vertAlign w:val="superscript"/>
          <w:lang w:val="en-US"/>
        </w:rPr>
      </w:pPr>
      <w:r w:rsidRPr="005A5E6E">
        <w:rPr>
          <w:rFonts w:ascii="Times New Roman" w:hAnsi="Times New Roman" w:cs="Times New Roman"/>
          <w:lang w:val="en-US"/>
        </w:rPr>
        <w:t>Dirk Zboralski</w:t>
      </w:r>
      <w:r w:rsidRPr="005A5E6E">
        <w:rPr>
          <w:rFonts w:ascii="Times New Roman" w:hAnsi="Times New Roman" w:cs="Times New Roman"/>
          <w:vertAlign w:val="superscript"/>
          <w:lang w:val="en-US"/>
        </w:rPr>
        <w:t>1</w:t>
      </w:r>
      <w:r w:rsidR="003A274F" w:rsidRPr="005A5E6E">
        <w:rPr>
          <w:rFonts w:ascii="Times New Roman" w:hAnsi="Times New Roman" w:cs="Times New Roman"/>
          <w:lang w:val="en-US"/>
        </w:rPr>
        <w:t xml:space="preserve">, </w:t>
      </w:r>
      <w:bookmarkEnd w:id="1"/>
      <w:r w:rsidR="00952863">
        <w:rPr>
          <w:rFonts w:ascii="Times New Roman" w:hAnsi="Times New Roman" w:cs="Times New Roman"/>
          <w:lang w:val="en-US"/>
        </w:rPr>
        <w:t>et al</w:t>
      </w:r>
    </w:p>
    <w:p w14:paraId="133EED85" w14:textId="50625B92" w:rsidR="003E6D53" w:rsidRPr="00F04677" w:rsidRDefault="00952863" w:rsidP="00952863">
      <w:pPr>
        <w:spacing w:after="120"/>
        <w:rPr>
          <w:rFonts w:ascii="Times New Roman" w:hAnsi="Times New Roman" w:cs="Times New Roman"/>
          <w:color w:val="000000" w:themeColor="text1"/>
          <w:lang w:val="en-US"/>
        </w:rPr>
      </w:pPr>
      <w:r w:rsidRPr="00F04677">
        <w:rPr>
          <w:rFonts w:ascii="Times New Roman" w:hAnsi="Times New Roman" w:cs="Times New Roman"/>
          <w:color w:val="000000" w:themeColor="text1"/>
          <w:vertAlign w:val="superscript"/>
          <w:lang w:val="en-US"/>
        </w:rPr>
        <w:t>1</w:t>
      </w:r>
      <w:r w:rsidRPr="00F04677">
        <w:rPr>
          <w:rFonts w:ascii="Times New Roman" w:hAnsi="Times New Roman" w:cs="Times New Roman"/>
          <w:color w:val="000000" w:themeColor="text1"/>
          <w:lang w:val="en-US"/>
        </w:rPr>
        <w:t>3B Pharmaceuticals GmbH, Berlin, Germany;</w:t>
      </w:r>
      <w:r w:rsidRPr="00F04677">
        <w:rPr>
          <w:color w:val="000000" w:themeColor="text1"/>
          <w:sz w:val="24"/>
          <w:szCs w:val="24"/>
          <w:lang w:val="en-US"/>
        </w:rPr>
        <w:t xml:space="preserve"> </w:t>
      </w:r>
      <w:r w:rsidRPr="00F04677">
        <w:rPr>
          <w:rFonts w:ascii="Times New Roman" w:hAnsi="Times New Roman" w:cs="Times New Roman"/>
          <w:color w:val="000000" w:themeColor="text1"/>
          <w:vertAlign w:val="superscript"/>
          <w:lang w:val="en-US"/>
        </w:rPr>
        <w:t>2</w:t>
      </w:r>
      <w:r w:rsidRPr="00F04677">
        <w:rPr>
          <w:rFonts w:ascii="Times New Roman" w:hAnsi="Times New Roman" w:cs="Times New Roman"/>
          <w:color w:val="000000" w:themeColor="text1"/>
          <w:lang w:val="en-US"/>
        </w:rPr>
        <w:t>Minerva Imaging</w:t>
      </w:r>
      <w:r w:rsidR="0096710A">
        <w:rPr>
          <w:rFonts w:ascii="Times New Roman" w:hAnsi="Times New Roman" w:cs="Times New Roman"/>
          <w:color w:val="000000" w:themeColor="text1"/>
          <w:lang w:val="en-US"/>
        </w:rPr>
        <w:t xml:space="preserve"> Ap</w:t>
      </w:r>
      <w:r w:rsidR="008C3D67">
        <w:rPr>
          <w:rFonts w:ascii="Times New Roman" w:hAnsi="Times New Roman" w:cs="Times New Roman"/>
          <w:color w:val="000000" w:themeColor="text1"/>
          <w:lang w:val="en-US"/>
        </w:rPr>
        <w:t>S</w:t>
      </w:r>
      <w:r w:rsidRPr="00F04677">
        <w:rPr>
          <w:rFonts w:ascii="Times New Roman" w:hAnsi="Times New Roman" w:cs="Times New Roman"/>
          <w:color w:val="000000" w:themeColor="text1"/>
          <w:lang w:val="en-US"/>
        </w:rPr>
        <w:t xml:space="preserve">, Ølstykke, Denmark; </w:t>
      </w:r>
      <w:r w:rsidRPr="00F04677">
        <w:rPr>
          <w:rFonts w:ascii="Times New Roman" w:hAnsi="Times New Roman" w:cs="Times New Roman"/>
          <w:color w:val="000000" w:themeColor="text1"/>
          <w:vertAlign w:val="superscript"/>
          <w:lang w:val="en-US"/>
        </w:rPr>
        <w:t>3</w:t>
      </w:r>
      <w:r w:rsidRPr="00F04677">
        <w:rPr>
          <w:rFonts w:ascii="Times New Roman" w:hAnsi="Times New Roman" w:cs="Times New Roman"/>
          <w:color w:val="000000" w:themeColor="text1"/>
          <w:lang w:val="en-US"/>
        </w:rPr>
        <w:t>Clovis Oncology, Inc., Boulder, Colorado, USA</w:t>
      </w:r>
    </w:p>
    <w:p w14:paraId="6AE50EA7" w14:textId="3029AC48" w:rsidR="00333A8B" w:rsidRDefault="00D76263" w:rsidP="008F4DFA">
      <w:pPr>
        <w:spacing w:line="240" w:lineRule="auto"/>
        <w:rPr>
          <w:rFonts w:ascii="Times New Roman" w:hAnsi="Times New Roman" w:cs="Times New Roman"/>
          <w:lang w:val="en-US"/>
        </w:rPr>
      </w:pPr>
      <w:r w:rsidRPr="005A5E6E">
        <w:rPr>
          <w:rFonts w:ascii="Times New Roman" w:hAnsi="Times New Roman" w:cs="Times New Roman"/>
          <w:b/>
          <w:bCs/>
          <w:lang w:val="en-US"/>
        </w:rPr>
        <w:t>Corresponding Author:</w:t>
      </w:r>
      <w:r w:rsidR="00DA60CA" w:rsidRPr="005A5E6E">
        <w:rPr>
          <w:rFonts w:ascii="Times New Roman" w:hAnsi="Times New Roman" w:cs="Times New Roman"/>
          <w:b/>
          <w:bCs/>
          <w:lang w:val="en-US"/>
        </w:rPr>
        <w:t xml:space="preserve"> </w:t>
      </w:r>
      <w:r w:rsidR="00F958D5" w:rsidRPr="005A5E6E">
        <w:rPr>
          <w:rFonts w:ascii="Times New Roman" w:hAnsi="Times New Roman" w:cs="Times New Roman"/>
          <w:lang w:val="en-US"/>
        </w:rPr>
        <w:t>Dirk Zboralski,</w:t>
      </w:r>
      <w:r w:rsidR="00F958D5" w:rsidRPr="005A5E6E">
        <w:rPr>
          <w:rFonts w:ascii="Times New Roman" w:hAnsi="Times New Roman" w:cs="Times New Roman"/>
          <w:b/>
          <w:bCs/>
          <w:lang w:val="en-US"/>
        </w:rPr>
        <w:t xml:space="preserve"> </w:t>
      </w:r>
      <w:r w:rsidR="005B1BA5" w:rsidRPr="005A5E6E">
        <w:rPr>
          <w:rFonts w:ascii="Times New Roman" w:hAnsi="Times New Roman" w:cs="Times New Roman"/>
          <w:lang w:val="en-US"/>
        </w:rPr>
        <w:t>3B Pharmaceuticals GmbH, Magnusstraße 11, D-12489 Berlin</w:t>
      </w:r>
      <w:r w:rsidR="00A5475C" w:rsidRPr="005A5E6E">
        <w:rPr>
          <w:rFonts w:ascii="Times New Roman" w:hAnsi="Times New Roman" w:cs="Times New Roman"/>
          <w:lang w:val="en-US"/>
        </w:rPr>
        <w:t>, Germany; Phone:</w:t>
      </w:r>
      <w:r w:rsidR="007951AE" w:rsidRPr="005A5E6E">
        <w:rPr>
          <w:rFonts w:ascii="Times New Roman" w:hAnsi="Times New Roman" w:cs="Times New Roman"/>
          <w:lang w:val="en-US"/>
        </w:rPr>
        <w:t xml:space="preserve"> +49-30-63924317</w:t>
      </w:r>
      <w:r w:rsidR="00A5475C" w:rsidRPr="005A5E6E">
        <w:rPr>
          <w:rFonts w:ascii="Times New Roman" w:hAnsi="Times New Roman" w:cs="Times New Roman"/>
          <w:lang w:val="en-US"/>
        </w:rPr>
        <w:t>; E-mail:</w:t>
      </w:r>
      <w:r w:rsidR="007951AE" w:rsidRPr="005A5E6E">
        <w:rPr>
          <w:rFonts w:ascii="Times New Roman" w:hAnsi="Times New Roman" w:cs="Times New Roman"/>
          <w:lang w:val="en-US"/>
        </w:rPr>
        <w:t xml:space="preserve"> </w:t>
      </w:r>
      <w:r w:rsidR="00923C0B">
        <w:rPr>
          <w:rFonts w:ascii="Times New Roman" w:hAnsi="Times New Roman" w:cs="Times New Roman"/>
          <w:lang w:val="en-US"/>
        </w:rPr>
        <w:t>dirk.zboralski@3b-pharma.com</w:t>
      </w:r>
      <w:bookmarkStart w:id="2" w:name="_Hlk94695126"/>
      <w:bookmarkStart w:id="3" w:name="_Hlk75249152"/>
      <w:r w:rsidR="008952A5" w:rsidRPr="008341AA">
        <w:rPr>
          <w:lang w:val="en-US"/>
        </w:rPr>
        <w:br w:type="page"/>
      </w:r>
      <w:bookmarkEnd w:id="2"/>
      <w:bookmarkEnd w:id="3"/>
    </w:p>
    <w:p w14:paraId="2EF31D73" w14:textId="77777777" w:rsidR="00135900" w:rsidRPr="005A5E6E" w:rsidRDefault="00135900" w:rsidP="00A763C6">
      <w:pPr>
        <w:pStyle w:val="berschrift1"/>
        <w:spacing w:line="360" w:lineRule="auto"/>
        <w:rPr>
          <w:sz w:val="22"/>
          <w:szCs w:val="22"/>
        </w:rPr>
      </w:pPr>
      <w:r w:rsidRPr="005A5E6E">
        <w:rPr>
          <w:sz w:val="22"/>
          <w:szCs w:val="22"/>
        </w:rPr>
        <w:lastRenderedPageBreak/>
        <w:t>Supplementary Materials and Methods</w:t>
      </w:r>
    </w:p>
    <w:p w14:paraId="684167A8" w14:textId="54DD9782" w:rsidR="00135900" w:rsidRDefault="00135900" w:rsidP="004E2B16">
      <w:pPr>
        <w:spacing w:line="360" w:lineRule="auto"/>
        <w:ind w:left="1440" w:hanging="1440"/>
        <w:rPr>
          <w:rFonts w:ascii="Times New Roman" w:hAnsi="Times New Roman" w:cs="Times New Roman"/>
          <w:b/>
          <w:lang w:val="en-US"/>
        </w:rPr>
      </w:pPr>
      <w:bookmarkStart w:id="4" w:name="_Hlk92207137"/>
      <w:r w:rsidRPr="00D85E87">
        <w:rPr>
          <w:rFonts w:ascii="Times New Roman" w:hAnsi="Times New Roman" w:cs="Times New Roman"/>
          <w:b/>
          <w:lang w:val="en-US"/>
        </w:rPr>
        <w:t xml:space="preserve">Synthesis </w:t>
      </w:r>
      <w:bookmarkEnd w:id="4"/>
      <w:r w:rsidRPr="00D85E87">
        <w:rPr>
          <w:rFonts w:ascii="Times New Roman" w:hAnsi="Times New Roman" w:cs="Times New Roman"/>
          <w:b/>
          <w:lang w:val="en-US"/>
        </w:rPr>
        <w:t>of FAP-228</w:t>
      </w:r>
      <w:r w:rsidR="00B36739">
        <w:rPr>
          <w:rFonts w:ascii="Times New Roman" w:hAnsi="Times New Roman" w:cs="Times New Roman"/>
          <w:b/>
          <w:lang w:val="en-US"/>
        </w:rPr>
        <w:t>7</w:t>
      </w:r>
      <w:r w:rsidRPr="00D85E87">
        <w:rPr>
          <w:rFonts w:ascii="Times New Roman" w:hAnsi="Times New Roman" w:cs="Times New Roman"/>
          <w:b/>
          <w:lang w:val="en-US"/>
        </w:rPr>
        <w:t xml:space="preserve"> </w:t>
      </w:r>
    </w:p>
    <w:p w14:paraId="540A32D6" w14:textId="1F70A7E1" w:rsidR="00B36739" w:rsidRPr="00F04677" w:rsidRDefault="00B36739" w:rsidP="004C64AF">
      <w:pPr>
        <w:autoSpaceDE w:val="0"/>
        <w:autoSpaceDN w:val="0"/>
        <w:adjustRightInd w:val="0"/>
        <w:spacing w:after="120"/>
        <w:rPr>
          <w:rFonts w:ascii="Times New Roman" w:hAnsi="Times New Roman" w:cs="Times New Roman"/>
          <w:color w:val="000000" w:themeColor="text1"/>
          <w:lang w:val="en-US"/>
        </w:rPr>
      </w:pPr>
      <w:r w:rsidRPr="00F04677">
        <w:rPr>
          <w:rStyle w:val="Hervorhebung"/>
          <w:rFonts w:ascii="Times New Roman" w:hAnsi="Times New Roman" w:cs="Times New Roman"/>
          <w:bCs/>
          <w:i w:val="0"/>
          <w:iCs w:val="0"/>
          <w:color w:val="000000" w:themeColor="text1"/>
          <w:shd w:val="clear" w:color="auto" w:fill="FFFFFF"/>
          <w:lang w:val="en-US"/>
        </w:rPr>
        <w:t>To generate FAP-2287, the peptide H-Cys-Pro-Pro-Thr-Gln-Phe-Cys-Asp-NH2 was assembled according to the 'General procedures for Automated/Semi-automated Solid-Phase Synthesis' in a 50 umol scale on a Rink amide resin. The lyophilized linear peptide was dissolved in 60 ml of a 1:1 mixture of ammonium bicarbonate solution (50 mM, pH = 8.5) and acetonitrile. To this mixture a solution of 26.8 mg 1,3,5-tris(bromomethyl)benzene (75 mmol, 1.5 eq compared to initial resin loading) in 0.5 ml acetonitrile was added. After stirring the solution for 1 hour 43 mg piperazine (500 mmol, 10 eq compared to initial resin loading) were added. After 2 hours 50 ml TFA were added and the solvent removed by lyophilization. The remainder was subjected to HPLC purification (15 to 45% B in 30 min - Kinetex) to yield 9.15 mg (7.4 mmol) of the peptide intermediate Hex-[Cys(tMeBn(H-PP))-Pro-Pro-Thr-Gln-Phe-Cys]-Asp-NH2 (14.7%). To the solution of the latter in 150 ml DMSO 2.5 ml DIPEA were added to adjust the pH value to approximately 7.5 - 8. Then 8.4 mg of DOTA-NHS (11 mmol, 1.5 eq compared to the peptide intermediate) in 100 ml DMSO were added. During the course of the LC/TOF-MS monitored reaction 2.5 ml DIPEA was added 3 times to re-adjust the pH value to the starting value. After reaction completion the solution was subjected to HPLC purification (15 to 45% B in 30 min - Kinetex) to yield 7.09 mg of the pure title compound (8.7% overall yield). HPLC: tR = 6.0 min. LC/TOF-MS: exact mass 1628.706 (calculated 1628.704).</w:t>
      </w:r>
    </w:p>
    <w:p w14:paraId="0EC65F86" w14:textId="77777777" w:rsidR="00135900" w:rsidRPr="00D85E87" w:rsidRDefault="00135900" w:rsidP="00D85E87">
      <w:pPr>
        <w:spacing w:line="240" w:lineRule="auto"/>
        <w:rPr>
          <w:rFonts w:ascii="Times New Roman" w:hAnsi="Times New Roman" w:cs="Times New Roman"/>
          <w:b/>
          <w:bCs/>
          <w:lang w:val="en-US"/>
        </w:rPr>
      </w:pPr>
      <w:r w:rsidRPr="00D85E87">
        <w:rPr>
          <w:rFonts w:ascii="Times New Roman" w:hAnsi="Times New Roman" w:cs="Times New Roman"/>
          <w:b/>
          <w:bCs/>
          <w:lang w:val="en-US"/>
        </w:rPr>
        <w:t>Immunohistochemistry</w:t>
      </w:r>
    </w:p>
    <w:p w14:paraId="40DD02BB" w14:textId="75C0B26A" w:rsidR="00135900" w:rsidRPr="00D85E87" w:rsidRDefault="00B94D09" w:rsidP="00D85E87">
      <w:pPr>
        <w:spacing w:line="240" w:lineRule="auto"/>
        <w:rPr>
          <w:rFonts w:ascii="Times New Roman" w:hAnsi="Times New Roman" w:cs="Times New Roman"/>
          <w:b/>
          <w:bCs/>
          <w:u w:val="single"/>
          <w:lang w:val="en-US"/>
        </w:rPr>
      </w:pPr>
      <w:bookmarkStart w:id="5" w:name="_Hlk92811460"/>
      <w:r w:rsidRPr="00D85E87">
        <w:rPr>
          <w:rFonts w:ascii="Times New Roman" w:hAnsi="Times New Roman" w:cs="Times New Roman"/>
          <w:lang w:val="en-US"/>
        </w:rPr>
        <w:t>A tissue slide containing both intrinsic positive staining structures</w:t>
      </w:r>
      <w:r w:rsidRPr="404ADA2C">
        <w:rPr>
          <w:rFonts w:ascii="Times New Roman" w:hAnsi="Times New Roman" w:cs="Times New Roman"/>
          <w:lang w:val="en-US"/>
        </w:rPr>
        <w:t xml:space="preserve"> </w:t>
      </w:r>
      <w:r w:rsidR="5260A1A0" w:rsidRPr="404ADA2C">
        <w:rPr>
          <w:rFonts w:ascii="Times New Roman" w:hAnsi="Times New Roman" w:cs="Times New Roman"/>
          <w:lang w:val="en-US"/>
        </w:rPr>
        <w:t>wa</w:t>
      </w:r>
      <w:r w:rsidRPr="00D85E87">
        <w:rPr>
          <w:rFonts w:ascii="Times New Roman" w:hAnsi="Times New Roman" w:cs="Times New Roman"/>
          <w:lang w:val="en-US"/>
        </w:rPr>
        <w:t xml:space="preserve">s included in every staining run. </w:t>
      </w:r>
      <w:bookmarkEnd w:id="5"/>
      <w:r w:rsidR="00135900" w:rsidRPr="00D85E87">
        <w:rPr>
          <w:rFonts w:ascii="Times New Roman" w:hAnsi="Times New Roman" w:cs="Times New Roman"/>
          <w:lang w:val="en-US"/>
        </w:rPr>
        <w:t xml:space="preserve">For </w:t>
      </w:r>
      <w:r w:rsidR="00F465FE">
        <w:rPr>
          <w:rFonts w:ascii="Times New Roman" w:hAnsi="Times New Roman" w:cs="Times New Roman"/>
          <w:lang w:val="en-US"/>
        </w:rPr>
        <w:t xml:space="preserve">FAP </w:t>
      </w:r>
      <w:r w:rsidR="00135900" w:rsidRPr="00D85E87">
        <w:rPr>
          <w:rFonts w:ascii="Times New Roman" w:hAnsi="Times New Roman" w:cs="Times New Roman"/>
          <w:lang w:val="en-US"/>
        </w:rPr>
        <w:t>H-score assessment, the staining intensity was scored as 0, 1, 2, or 3 corresponding to the presence of negative, weak, intermediate, and strong brown staining, respectively. The average percentage positive was calculated for each intensity category and the following calculation was applied: H-score = (% of cells stained at intensity category 1 x 1) + (% of cells stained at intensity category 2 x 2) + (% of cells stained at intensity category 3 x 3). Image analysis scoring was previously validated against scoring performed by a pathologist.</w:t>
      </w:r>
      <w:r w:rsidR="00A77B29">
        <w:rPr>
          <w:rFonts w:ascii="Times New Roman" w:hAnsi="Times New Roman" w:cs="Times New Roman"/>
          <w:lang w:val="en-US"/>
        </w:rPr>
        <w:t xml:space="preserve"> </w:t>
      </w:r>
      <w:r w:rsidR="00A77B29" w:rsidRPr="00D85E87">
        <w:rPr>
          <w:rFonts w:ascii="Times New Roman" w:hAnsi="Times New Roman" w:cs="Times New Roman"/>
          <w:lang w:val="en-US"/>
        </w:rPr>
        <w:t xml:space="preserve">For </w:t>
      </w:r>
      <w:r w:rsidR="00A77B29">
        <w:rPr>
          <w:rFonts w:ascii="Times New Roman" w:hAnsi="Times New Roman" w:cs="Times New Roman"/>
          <w:lang w:val="en-US"/>
        </w:rPr>
        <w:t>CD4 and CD8 percentage</w:t>
      </w:r>
      <w:r w:rsidR="00A77B29" w:rsidRPr="00D85E87">
        <w:rPr>
          <w:rFonts w:ascii="Times New Roman" w:hAnsi="Times New Roman" w:cs="Times New Roman"/>
          <w:lang w:val="en-US"/>
        </w:rPr>
        <w:t xml:space="preserve"> assessment</w:t>
      </w:r>
      <w:r w:rsidR="00C53A02">
        <w:rPr>
          <w:rFonts w:ascii="Times New Roman" w:hAnsi="Times New Roman" w:cs="Times New Roman"/>
          <w:lang w:val="en-US"/>
        </w:rPr>
        <w:t xml:space="preserve">, QuPath </w:t>
      </w:r>
      <w:r w:rsidR="00C53A02" w:rsidRPr="00C53A02">
        <w:rPr>
          <w:rFonts w:ascii="Times New Roman" w:hAnsi="Times New Roman" w:cs="Times New Roman"/>
          <w:lang w:val="en-US"/>
        </w:rPr>
        <w:t>positive cell detection</w:t>
      </w:r>
      <w:r w:rsidR="00C53A02">
        <w:rPr>
          <w:rFonts w:ascii="Times New Roman" w:hAnsi="Times New Roman" w:cs="Times New Roman"/>
          <w:lang w:val="en-US"/>
        </w:rPr>
        <w:t xml:space="preserve"> function was used.</w:t>
      </w:r>
    </w:p>
    <w:p w14:paraId="79BEA1DD" w14:textId="77777777" w:rsidR="00135900" w:rsidRPr="00D85E87" w:rsidRDefault="00135900" w:rsidP="00D85E87">
      <w:pPr>
        <w:spacing w:line="240" w:lineRule="auto"/>
        <w:rPr>
          <w:rFonts w:ascii="Times New Roman" w:hAnsi="Times New Roman" w:cs="Times New Roman"/>
          <w:b/>
          <w:bCs/>
          <w:lang w:val="en-US"/>
        </w:rPr>
      </w:pPr>
      <w:r w:rsidRPr="00D85E87">
        <w:rPr>
          <w:rFonts w:ascii="Times New Roman" w:hAnsi="Times New Roman" w:cs="Times New Roman"/>
          <w:b/>
          <w:bCs/>
          <w:lang w:val="en-US"/>
        </w:rPr>
        <w:t>Autoradiography</w:t>
      </w:r>
    </w:p>
    <w:p w14:paraId="427123AD" w14:textId="7C8986A3" w:rsidR="00135900" w:rsidRPr="00582C26"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 xml:space="preserve">Autoradiographic evaluation was performed on 20 µm thick sections attached to chrome-gelatin coated slides. </w:t>
      </w:r>
      <w:r w:rsidRPr="00D85E87">
        <w:rPr>
          <w:rFonts w:ascii="Times New Roman" w:hAnsi="Times New Roman" w:cs="Times New Roman"/>
          <w:vertAlign w:val="superscript"/>
          <w:lang w:val="en-US"/>
        </w:rPr>
        <w:t>111</w:t>
      </w:r>
      <w:r w:rsidRPr="00D85E87">
        <w:rPr>
          <w:rFonts w:ascii="Times New Roman" w:hAnsi="Times New Roman" w:cs="Times New Roman"/>
          <w:lang w:val="en-US"/>
        </w:rPr>
        <w:t>In-labeled FAP-228</w:t>
      </w:r>
      <w:r w:rsidR="00C617A9">
        <w:rPr>
          <w:rFonts w:ascii="Times New Roman" w:hAnsi="Times New Roman" w:cs="Times New Roman"/>
          <w:lang w:val="en-US"/>
        </w:rPr>
        <w:t>7</w:t>
      </w:r>
      <w:r w:rsidRPr="00D85E87">
        <w:rPr>
          <w:rFonts w:ascii="Times New Roman" w:hAnsi="Times New Roman" w:cs="Times New Roman"/>
          <w:lang w:val="en-US"/>
        </w:rPr>
        <w:t xml:space="preserve"> was diluted in incubation buffer (0.17 M Tris, pH 8.2, 1% bovine serum albumin [BSA]) to the desired radioactivity concentration (2 × 10</w:t>
      </w:r>
      <w:r w:rsidRPr="00D85E87">
        <w:rPr>
          <w:rFonts w:ascii="Times New Roman" w:hAnsi="Times New Roman" w:cs="Times New Roman"/>
          <w:vertAlign w:val="superscript"/>
          <w:lang w:val="en-US"/>
        </w:rPr>
        <w:t>5</w:t>
      </w:r>
      <w:r w:rsidRPr="00D85E87">
        <w:rPr>
          <w:rFonts w:ascii="Times New Roman" w:hAnsi="Times New Roman" w:cs="Times New Roman"/>
          <w:lang w:val="en-US"/>
        </w:rPr>
        <w:t xml:space="preserve"> counts per minute [CPM]/mL), which was verified via gamma counting. In order to assess nonspecific binding, an adjacent slide was incubated in tracer solution admixed with 1 µM of unlabeled FAP-228</w:t>
      </w:r>
      <w:r w:rsidR="00C617A9">
        <w:rPr>
          <w:rFonts w:ascii="Times New Roman" w:hAnsi="Times New Roman" w:cs="Times New Roman"/>
          <w:lang w:val="en-US"/>
        </w:rPr>
        <w:t>7</w:t>
      </w:r>
      <w:r w:rsidRPr="00D85E87">
        <w:rPr>
          <w:rFonts w:ascii="Times New Roman" w:hAnsi="Times New Roman" w:cs="Times New Roman"/>
          <w:lang w:val="en-US"/>
        </w:rPr>
        <w:t xml:space="preserve">–related blocking peptide. After 2-hour incubation at room temperature, the slides were washed 4 times for 5 minutes in precooled wash buffer 1 (0.17 M Tris, pH 8.2, 0.25 % BSA) and 2 times in wash buffer 2 (0.17 M Tris, pH 8.2), before drying the sections for at least 30 minutes. Protein-specific binding was </w:t>
      </w:r>
      <w:r w:rsidRPr="00582C26">
        <w:rPr>
          <w:rFonts w:ascii="Times New Roman" w:hAnsi="Times New Roman" w:cs="Times New Roman"/>
          <w:lang w:val="en"/>
        </w:rPr>
        <w:t>analyzed with a CCD camera system and the corresponding MCID analysis software (Interfocus</w:t>
      </w:r>
      <w:r w:rsidR="00582C26">
        <w:rPr>
          <w:rFonts w:ascii="Times New Roman" w:hAnsi="Times New Roman" w:cs="Times New Roman"/>
          <w:lang w:val="en"/>
        </w:rPr>
        <w:t>, RRID:</w:t>
      </w:r>
      <w:r w:rsidR="00582C26" w:rsidRPr="00582C26">
        <w:rPr>
          <w:rFonts w:ascii="Times New Roman" w:hAnsi="Times New Roman" w:cs="Times New Roman"/>
          <w:lang w:val="en"/>
        </w:rPr>
        <w:t>SCR_014278</w:t>
      </w:r>
      <w:r w:rsidRPr="00582C26">
        <w:rPr>
          <w:rFonts w:ascii="Times New Roman" w:hAnsi="Times New Roman" w:cs="Times New Roman"/>
          <w:lang w:val="en"/>
        </w:rPr>
        <w:t>)</w:t>
      </w:r>
      <w:r w:rsidRPr="00582C26">
        <w:rPr>
          <w:rFonts w:ascii="Times New Roman" w:hAnsi="Times New Roman" w:cs="Times New Roman"/>
          <w:lang w:val="en-US"/>
        </w:rPr>
        <w:t>.</w:t>
      </w:r>
      <w:r w:rsidRPr="00582C26">
        <w:rPr>
          <w:rFonts w:ascii="Times New Roman" w:hAnsi="Times New Roman" w:cs="Times New Roman"/>
          <w:lang w:val="en-GB"/>
        </w:rPr>
        <w:t xml:space="preserve"> </w:t>
      </w:r>
      <w:r w:rsidRPr="00582C26">
        <w:rPr>
          <w:rFonts w:ascii="Times New Roman" w:hAnsi="Times New Roman" w:cs="Times New Roman"/>
          <w:lang w:val="en-US"/>
        </w:rPr>
        <w:t>Signal strength was measured once on the tissue with total tracer binding and once in the same region of interest on the sample for nonspecific binding. For the evaluation of every experiment, a separate standard curve (100–100,000 CPM) was recorded and tissue-bound radioactivity was calculated based on the resulting power equation using GraphPad Prism 8.4</w:t>
      </w:r>
      <w:r w:rsidR="008952A5" w:rsidRPr="00582C26">
        <w:rPr>
          <w:rFonts w:ascii="Times New Roman" w:hAnsi="Times New Roman" w:cs="Times New Roman"/>
          <w:lang w:val="en-US"/>
        </w:rPr>
        <w:t xml:space="preserve"> (RRID:SCR_002798)</w:t>
      </w:r>
      <w:r w:rsidRPr="00582C26">
        <w:rPr>
          <w:rFonts w:ascii="Times New Roman" w:hAnsi="Times New Roman" w:cs="Times New Roman"/>
          <w:lang w:val="en-US"/>
        </w:rPr>
        <w:t>.</w:t>
      </w:r>
    </w:p>
    <w:p w14:paraId="0972821C" w14:textId="77777777" w:rsidR="00135900" w:rsidRPr="00D85E87" w:rsidRDefault="00135900" w:rsidP="00D85E87">
      <w:pPr>
        <w:spacing w:line="240" w:lineRule="auto"/>
        <w:rPr>
          <w:rFonts w:ascii="Times New Roman" w:eastAsia="Calibri" w:hAnsi="Times New Roman" w:cs="Times New Roman"/>
          <w:b/>
          <w:lang w:val="en-US"/>
        </w:rPr>
      </w:pPr>
      <w:r w:rsidRPr="00D85E87">
        <w:rPr>
          <w:rFonts w:ascii="Times New Roman" w:eastAsia="Calibri" w:hAnsi="Times New Roman" w:cs="Times New Roman"/>
          <w:b/>
          <w:lang w:val="en-US"/>
        </w:rPr>
        <w:t>Biacore assay</w:t>
      </w:r>
    </w:p>
    <w:p w14:paraId="08F632FC" w14:textId="77777777" w:rsidR="00135900" w:rsidRPr="00D85E87" w:rsidRDefault="00135900" w:rsidP="00D85E87">
      <w:pPr>
        <w:spacing w:line="240" w:lineRule="auto"/>
        <w:rPr>
          <w:rFonts w:ascii="Times New Roman" w:hAnsi="Times New Roman" w:cs="Times New Roman"/>
          <w:lang w:val="en-GB"/>
        </w:rPr>
      </w:pPr>
      <w:r w:rsidRPr="00D85E87">
        <w:rPr>
          <w:rFonts w:ascii="Times New Roman" w:hAnsi="Times New Roman" w:cs="Times New Roman"/>
          <w:lang w:val="en-GB"/>
        </w:rPr>
        <w:t xml:space="preserve">Biacore CM5 sensor chips (GE Healthcare Life Sciences) were used for surface plasmon resonance (SPR) studies. Human FAP antibody (MAB3715, R&amp;D systems) or mouse FAP antibody (MAB97271, R&amp;D systems) was diluted in 10 mM acetate buffer, pH 4.5, to a final concentration of 50 µg/mL. Antibodies were directly immobilized onto the flow cells at 25°C using the Amine Coupling Kit Reagent solutions (GE Healthcare Life Sciences), according to the manufacturer’s </w:t>
      </w:r>
      <w:r w:rsidRPr="00D85E87">
        <w:rPr>
          <w:rFonts w:ascii="Times New Roman" w:hAnsi="Times New Roman" w:cs="Times New Roman"/>
          <w:lang w:val="en-GB"/>
        </w:rPr>
        <w:lastRenderedPageBreak/>
        <w:t xml:space="preserve">recommendations. A preinstalled program for immobilization was used with an immobilization level of 7000 RU, flow rate of 10 µL/minute. </w:t>
      </w:r>
    </w:p>
    <w:p w14:paraId="680E939C" w14:textId="77777777" w:rsidR="00135900" w:rsidRPr="00D85E87" w:rsidRDefault="00135900" w:rsidP="00D85E87">
      <w:pPr>
        <w:spacing w:line="240" w:lineRule="auto"/>
        <w:rPr>
          <w:rFonts w:ascii="Times New Roman" w:hAnsi="Times New Roman" w:cs="Times New Roman"/>
          <w:lang w:val="en-GB"/>
        </w:rPr>
      </w:pPr>
      <w:r w:rsidRPr="00D85E87">
        <w:rPr>
          <w:rFonts w:ascii="Times New Roman" w:hAnsi="Times New Roman" w:cs="Times New Roman"/>
          <w:lang w:val="en-GB"/>
        </w:rPr>
        <w:t>Recombinant human FAP (rhFAP; Sino Biological) and mouse FAP (rmFAP; R&amp;D systems) were diluted in Running Buffer (150 mM NaCl, 10 mM HEPES, 0.005% TWEEN-20, pH 7.4; HBST) to a final concentration of 20 and 4 µg/mL, respectively. A five-fold dilution series of test compounds with concentrations ranging from 50 nM to 0.19 nM was injected over the sensor surface for 120 seconds at a flow rate of 30 µl/minute. The dissociation was monitored for 1800 seconds and the surface was regenerated with 10 mM glycine pH 2. SPR binding analyses for binary complexes were performed in single cycle kinetics (SCK) mode at 25°C. Following 3 SCK measurements, a baseline drift was assessed by injecting running buffer through a flow cell, with the antibody and FAP immobilized to the sensor surface.</w:t>
      </w:r>
    </w:p>
    <w:p w14:paraId="7C705E27" w14:textId="3D77D5B1"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GB"/>
        </w:rPr>
        <w:t>For each test compound, SPR raw data in the form of resonance units (RU) were plotted as sensorgrams using the Biacore T200 control software</w:t>
      </w:r>
      <w:r w:rsidR="008952A5" w:rsidRPr="008952A5">
        <w:rPr>
          <w:lang w:val="en-US"/>
        </w:rPr>
        <w:t xml:space="preserve"> </w:t>
      </w:r>
      <w:r w:rsidR="008952A5">
        <w:rPr>
          <w:lang w:val="en-US"/>
        </w:rPr>
        <w:t>(</w:t>
      </w:r>
      <w:r w:rsidR="008952A5" w:rsidRPr="008952A5">
        <w:rPr>
          <w:rFonts w:ascii="Times New Roman" w:hAnsi="Times New Roman" w:cs="Times New Roman"/>
          <w:lang w:val="en-GB"/>
        </w:rPr>
        <w:t>RRID:SCR_019718</w:t>
      </w:r>
      <w:r w:rsidR="008952A5">
        <w:rPr>
          <w:rFonts w:ascii="Times New Roman" w:hAnsi="Times New Roman" w:cs="Times New Roman"/>
          <w:lang w:val="en-GB"/>
        </w:rPr>
        <w:t>)</w:t>
      </w:r>
      <w:r w:rsidRPr="00D85E87">
        <w:rPr>
          <w:rFonts w:ascii="Times New Roman" w:hAnsi="Times New Roman" w:cs="Times New Roman"/>
          <w:lang w:val="en-GB"/>
        </w:rPr>
        <w:t>. The signal from the blank sensorgram was subtracted from that of the test compound sensorgram (blank corrected). The blank corrected sensorgram was corrected for baseline drift by subtracting the sensorgram of a SCK run without the test compound (running buffer only). The association rate (k</w:t>
      </w:r>
      <w:r w:rsidRPr="00D85E87">
        <w:rPr>
          <w:rFonts w:ascii="Times New Roman" w:hAnsi="Times New Roman" w:cs="Times New Roman"/>
          <w:vertAlign w:val="subscript"/>
          <w:lang w:val="en-GB"/>
        </w:rPr>
        <w:t>on</w:t>
      </w:r>
      <w:r w:rsidRPr="00D85E87">
        <w:rPr>
          <w:rFonts w:ascii="Times New Roman" w:hAnsi="Times New Roman" w:cs="Times New Roman"/>
          <w:lang w:val="en-GB"/>
        </w:rPr>
        <w:t>), dissociation rate (k</w:t>
      </w:r>
      <w:r w:rsidRPr="00D85E87">
        <w:rPr>
          <w:rFonts w:ascii="Times New Roman" w:hAnsi="Times New Roman" w:cs="Times New Roman"/>
          <w:vertAlign w:val="subscript"/>
          <w:lang w:val="en-GB"/>
        </w:rPr>
        <w:t>off</w:t>
      </w:r>
      <w:r w:rsidRPr="00D85E87">
        <w:rPr>
          <w:rFonts w:ascii="Times New Roman" w:hAnsi="Times New Roman" w:cs="Times New Roman"/>
          <w:lang w:val="en-GB"/>
        </w:rPr>
        <w:t>), dissociation constant (K</w:t>
      </w:r>
      <w:r w:rsidRPr="00D85E87">
        <w:rPr>
          <w:rFonts w:ascii="Times New Roman" w:hAnsi="Times New Roman" w:cs="Times New Roman"/>
          <w:vertAlign w:val="subscript"/>
          <w:lang w:val="en-GB"/>
        </w:rPr>
        <w:t>D</w:t>
      </w:r>
      <w:r w:rsidRPr="00D85E87">
        <w:rPr>
          <w:rFonts w:ascii="Times New Roman" w:hAnsi="Times New Roman" w:cs="Times New Roman"/>
          <w:lang w:val="en-GB"/>
        </w:rPr>
        <w:t>), and t</w:t>
      </w:r>
      <w:r w:rsidRPr="00D85E87">
        <w:rPr>
          <w:rFonts w:ascii="Times New Roman" w:hAnsi="Times New Roman" w:cs="Times New Roman"/>
          <w:vertAlign w:val="subscript"/>
          <w:lang w:val="en-GB"/>
        </w:rPr>
        <w:t>1/2</w:t>
      </w:r>
      <w:r w:rsidRPr="00D85E87">
        <w:rPr>
          <w:rFonts w:ascii="Times New Roman" w:hAnsi="Times New Roman" w:cs="Times New Roman"/>
          <w:lang w:val="en-GB"/>
        </w:rPr>
        <w:t xml:space="preserve"> were calculated from Blank-normalized SPR data using the 1:1 Langmuir binding model from the Biacore T200 evaluation software (GE Healthcare Life Sciences).</w:t>
      </w:r>
    </w:p>
    <w:p w14:paraId="7DD8FC6B" w14:textId="77777777" w:rsidR="00135900" w:rsidRPr="00D85E87" w:rsidRDefault="00135900" w:rsidP="00D85E87">
      <w:pPr>
        <w:spacing w:line="240" w:lineRule="auto"/>
        <w:rPr>
          <w:rFonts w:ascii="Times New Roman" w:hAnsi="Times New Roman" w:cs="Times New Roman"/>
          <w:b/>
          <w:bCs/>
          <w:lang w:val="en-US"/>
        </w:rPr>
      </w:pPr>
      <w:r w:rsidRPr="00D85E87">
        <w:rPr>
          <w:rFonts w:ascii="Times New Roman" w:hAnsi="Times New Roman" w:cs="Times New Roman"/>
          <w:b/>
          <w:bCs/>
          <w:lang w:val="en-US"/>
        </w:rPr>
        <w:t>Cell-based binding assay</w:t>
      </w:r>
    </w:p>
    <w:p w14:paraId="085897A0" w14:textId="0D0D0E88"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In order to determine binding of FAP-228</w:t>
      </w:r>
      <w:r w:rsidR="004C64AF">
        <w:rPr>
          <w:rFonts w:ascii="Times New Roman" w:hAnsi="Times New Roman" w:cs="Times New Roman"/>
          <w:lang w:val="en-US"/>
        </w:rPr>
        <w:t>7</w:t>
      </w:r>
      <w:r w:rsidRPr="00D85E87">
        <w:rPr>
          <w:rFonts w:ascii="Times New Roman" w:hAnsi="Times New Roman" w:cs="Times New Roman"/>
          <w:lang w:val="en-US"/>
        </w:rPr>
        <w:t xml:space="preserve"> and metal-chelates to FAP-expressing cells, a competitive fluorescence-activated cell sorting (FACS) binding assay was established. FAP-expressing human WI-38 fibroblasts (obtained from the European Collection of Authenticated Cell Cultures, ECACC</w:t>
      </w:r>
      <w:r w:rsidR="007B7AD5">
        <w:rPr>
          <w:rFonts w:ascii="Times New Roman" w:hAnsi="Times New Roman" w:cs="Times New Roman"/>
          <w:lang w:val="en-US"/>
        </w:rPr>
        <w:t xml:space="preserve">, </w:t>
      </w:r>
      <w:r w:rsidR="007B7AD5" w:rsidRPr="007B7AD5">
        <w:rPr>
          <w:rFonts w:ascii="Times New Roman" w:hAnsi="Times New Roman" w:cs="Times New Roman"/>
          <w:lang w:val="en-US"/>
        </w:rPr>
        <w:t>RRID:CVCL_0579</w:t>
      </w:r>
      <w:r w:rsidRPr="00D85E87">
        <w:rPr>
          <w:rFonts w:ascii="Times New Roman" w:hAnsi="Times New Roman" w:cs="Times New Roman"/>
          <w:lang w:val="en-US"/>
        </w:rPr>
        <w:t xml:space="preserve">) were cultured in Eagle’s Minimum Essential Medium (EMEM) including 15% fetal bovine serum, 2 mM L-Glutamine, and 1% nonessential amino acids and used within 20 passages. WI-38 cells were tested negative for mycoplasma contamination (Minerva Analytix GmbH) and were authenticated by ATCC cell line authentication service in July 2021. Cells were detached with Accutase (Biolegend, #BLD-423201) and washed in FACS buffer (PBS including 1% FBS). Cells were diluted in FACS buffer to a final concentration of 100,000 cells/mL and 200 </w:t>
      </w:r>
      <w:r w:rsidRPr="00D85E87">
        <w:rPr>
          <w:rFonts w:ascii="Times New Roman" w:eastAsia="Calibri" w:hAnsi="Times New Roman" w:cs="Times New Roman"/>
          <w:color w:val="000000"/>
          <w:lang w:val="en-US"/>
        </w:rPr>
        <w:t>µL</w:t>
      </w:r>
      <w:r w:rsidRPr="00D85E87">
        <w:rPr>
          <w:rFonts w:ascii="Times New Roman" w:hAnsi="Times New Roman" w:cs="Times New Roman"/>
          <w:lang w:val="en-US"/>
        </w:rPr>
        <w:t xml:space="preserve"> of the cell suspension were transferred to a U-shaped bottom, polypropylene 96-well plate (Greiner). Cells were washed in ice-cold FACS buffer and incubated with 3 nM of FAP-228</w:t>
      </w:r>
      <w:r w:rsidR="004C64AF">
        <w:rPr>
          <w:rFonts w:ascii="Times New Roman" w:hAnsi="Times New Roman" w:cs="Times New Roman"/>
          <w:lang w:val="en-US"/>
        </w:rPr>
        <w:t>7</w:t>
      </w:r>
      <w:r w:rsidRPr="00D85E87">
        <w:rPr>
          <w:rFonts w:ascii="Times New Roman" w:hAnsi="Times New Roman" w:cs="Times New Roman"/>
          <w:lang w:val="en-US"/>
        </w:rPr>
        <w:t>-related C-terminally Cy5-labeled competitor peptide in the presence of various concentrations of FAP-228</w:t>
      </w:r>
      <w:r w:rsidR="004C64AF">
        <w:rPr>
          <w:rFonts w:ascii="Times New Roman" w:hAnsi="Times New Roman" w:cs="Times New Roman"/>
          <w:lang w:val="en-US"/>
        </w:rPr>
        <w:t>7</w:t>
      </w:r>
      <w:r w:rsidRPr="00D85E87">
        <w:rPr>
          <w:rFonts w:ascii="Times New Roman" w:hAnsi="Times New Roman" w:cs="Times New Roman"/>
          <w:lang w:val="en-US"/>
        </w:rPr>
        <w:t xml:space="preserve"> and its metal chelates at 4°C for 1 hour. Cells were washed twice with FACS buffer and resuspended in 200 </w:t>
      </w:r>
      <w:r w:rsidRPr="00D85E87">
        <w:rPr>
          <w:rFonts w:ascii="Times New Roman" w:eastAsia="Calibri" w:hAnsi="Times New Roman" w:cs="Times New Roman"/>
          <w:color w:val="000000"/>
          <w:lang w:val="en-US"/>
        </w:rPr>
        <w:t>µL</w:t>
      </w:r>
      <w:r w:rsidRPr="00D85E87">
        <w:rPr>
          <w:rFonts w:ascii="Times New Roman" w:hAnsi="Times New Roman" w:cs="Times New Roman"/>
          <w:lang w:val="en-US"/>
        </w:rPr>
        <w:t xml:space="preserve"> FACS buffer. Cells were analyzed in an Attune NxT flow cytometer (Thermo Fisher Scientific). Median fluorescence intensities (Cy5 channel) were calculated by Attune NxT software </w:t>
      </w:r>
      <w:r w:rsidR="00001281">
        <w:rPr>
          <w:rFonts w:ascii="Times New Roman" w:hAnsi="Times New Roman" w:cs="Times New Roman"/>
          <w:lang w:val="en-US"/>
        </w:rPr>
        <w:t>(</w:t>
      </w:r>
      <w:r w:rsidR="00001281" w:rsidRPr="00001281">
        <w:rPr>
          <w:rFonts w:ascii="Times New Roman" w:hAnsi="Times New Roman" w:cs="Times New Roman"/>
          <w:lang w:val="en-US"/>
        </w:rPr>
        <w:t>RRID:SCR_019590</w:t>
      </w:r>
      <w:r w:rsidR="00001281">
        <w:rPr>
          <w:rFonts w:ascii="Times New Roman" w:hAnsi="Times New Roman" w:cs="Times New Roman"/>
          <w:lang w:val="en-US"/>
        </w:rPr>
        <w:t>)</w:t>
      </w:r>
      <w:r w:rsidR="00001281" w:rsidRPr="00001281">
        <w:rPr>
          <w:rFonts w:ascii="Times New Roman" w:hAnsi="Times New Roman" w:cs="Times New Roman"/>
          <w:lang w:val="en-US"/>
        </w:rPr>
        <w:t xml:space="preserve"> </w:t>
      </w:r>
      <w:r w:rsidRPr="00D85E87">
        <w:rPr>
          <w:rFonts w:ascii="Times New Roman" w:hAnsi="Times New Roman" w:cs="Times New Roman"/>
          <w:lang w:val="en-US"/>
        </w:rPr>
        <w:t>and plotted against peptide concentrations. Four parameter logistic (4PL) curve fitting and IC</w:t>
      </w:r>
      <w:r w:rsidRPr="00D85E87">
        <w:rPr>
          <w:rFonts w:ascii="Times New Roman" w:hAnsi="Times New Roman" w:cs="Times New Roman"/>
          <w:vertAlign w:val="subscript"/>
          <w:lang w:val="en-US"/>
        </w:rPr>
        <w:t>50</w:t>
      </w:r>
      <w:r w:rsidRPr="00D85E87">
        <w:rPr>
          <w:rFonts w:ascii="Times New Roman" w:hAnsi="Times New Roman" w:cs="Times New Roman"/>
          <w:lang w:val="en-US"/>
        </w:rPr>
        <w:t>/pIC</w:t>
      </w:r>
      <w:r w:rsidRPr="00D85E87">
        <w:rPr>
          <w:rFonts w:ascii="Times New Roman" w:hAnsi="Times New Roman" w:cs="Times New Roman"/>
          <w:vertAlign w:val="subscript"/>
          <w:lang w:val="en-US"/>
        </w:rPr>
        <w:t>50</w:t>
      </w:r>
      <w:r w:rsidRPr="00D85E87">
        <w:rPr>
          <w:rFonts w:ascii="Times New Roman" w:hAnsi="Times New Roman" w:cs="Times New Roman"/>
          <w:lang w:val="en-US"/>
        </w:rPr>
        <w:t xml:space="preserve"> calculations were performed using ActivityBase software (IDBS</w:t>
      </w:r>
      <w:r w:rsidR="00001281">
        <w:rPr>
          <w:rFonts w:ascii="Times New Roman" w:hAnsi="Times New Roman" w:cs="Times New Roman"/>
          <w:lang w:val="en-US"/>
        </w:rPr>
        <w:t xml:space="preserve">, </w:t>
      </w:r>
      <w:r w:rsidR="00001281" w:rsidRPr="00001281">
        <w:rPr>
          <w:rFonts w:ascii="Times New Roman" w:hAnsi="Times New Roman" w:cs="Times New Roman"/>
          <w:lang w:val="en-US"/>
        </w:rPr>
        <w:t>RRID:SCR_004077</w:t>
      </w:r>
      <w:r w:rsidRPr="00D85E87">
        <w:rPr>
          <w:rFonts w:ascii="Times New Roman" w:hAnsi="Times New Roman" w:cs="Times New Roman"/>
          <w:lang w:val="en-US"/>
        </w:rPr>
        <w:t>).</w:t>
      </w:r>
    </w:p>
    <w:p w14:paraId="06FA8FF3" w14:textId="77777777" w:rsidR="00135900" w:rsidRPr="00D85E87" w:rsidRDefault="00135900" w:rsidP="00D85E87">
      <w:pPr>
        <w:spacing w:line="240" w:lineRule="auto"/>
        <w:rPr>
          <w:rFonts w:ascii="Times New Roman" w:hAnsi="Times New Roman" w:cs="Times New Roman"/>
          <w:b/>
          <w:bCs/>
          <w:lang w:val="en-US"/>
        </w:rPr>
      </w:pPr>
      <w:r w:rsidRPr="00D85E87">
        <w:rPr>
          <w:rFonts w:ascii="Times New Roman" w:hAnsi="Times New Roman" w:cs="Times New Roman"/>
          <w:b/>
          <w:bCs/>
          <w:lang w:val="en-US"/>
        </w:rPr>
        <w:t>Protease activity assay</w:t>
      </w:r>
    </w:p>
    <w:p w14:paraId="55710DC1" w14:textId="4389F31C"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 xml:space="preserve">Recombinant human FAP (R&amp;D Systems, # 3715-SE) or mouse FAP (R&amp;D Systems, # 8647-SE) was diluted in assay buffer (50 mM Tris, 1 M NaCl, 1 mg/mL BSA, pH 7.5) to a concentration of 3.6 nM. 25 </w:t>
      </w:r>
      <w:r w:rsidRPr="00D85E87">
        <w:rPr>
          <w:rFonts w:ascii="Times New Roman" w:eastAsia="Calibri" w:hAnsi="Times New Roman" w:cs="Times New Roman"/>
          <w:color w:val="000000"/>
          <w:lang w:val="en-US"/>
        </w:rPr>
        <w:t>µL</w:t>
      </w:r>
      <w:r w:rsidRPr="00D85E87">
        <w:rPr>
          <w:rFonts w:ascii="Times New Roman" w:hAnsi="Times New Roman" w:cs="Times New Roman"/>
          <w:lang w:val="en-US"/>
        </w:rPr>
        <w:t xml:space="preserve"> of the FAP solution was mixed with 25 </w:t>
      </w:r>
      <w:r w:rsidRPr="00D85E87">
        <w:rPr>
          <w:rFonts w:ascii="Times New Roman" w:eastAsia="Calibri" w:hAnsi="Times New Roman" w:cs="Times New Roman"/>
          <w:color w:val="000000"/>
          <w:lang w:val="en-US"/>
        </w:rPr>
        <w:t>µL</w:t>
      </w:r>
      <w:r w:rsidRPr="00D85E87">
        <w:rPr>
          <w:rFonts w:ascii="Times New Roman" w:hAnsi="Times New Roman" w:cs="Times New Roman"/>
          <w:lang w:val="en-US"/>
        </w:rPr>
        <w:t xml:space="preserve"> of a 3-fold serial dilution of the test compounds and incubated for 5 minutes in a white 96-well ProxiPlate (Perkin Elmer). As the specific FAP substrate, the FRET-peptide HiLyteFluor 488 - VS(D-)P SQG K(QXL 520) - NH2 was used (Eurogentec, Bainbridge, et al., Sci Rep, 2017, 7: 12524). 25 </w:t>
      </w:r>
      <w:r w:rsidRPr="00D85E87">
        <w:rPr>
          <w:rFonts w:ascii="Times New Roman" w:eastAsia="Calibri" w:hAnsi="Times New Roman" w:cs="Times New Roman"/>
          <w:color w:val="000000"/>
          <w:lang w:val="en-US"/>
        </w:rPr>
        <w:t>µL</w:t>
      </w:r>
      <w:r w:rsidRPr="00D85E87">
        <w:rPr>
          <w:rFonts w:ascii="Times New Roman" w:hAnsi="Times New Roman" w:cs="Times New Roman"/>
          <w:lang w:val="en-US"/>
        </w:rPr>
        <w:t xml:space="preserve"> of a 30 µM substrate solution, diluted in assay buffer, was added. All solutions were equilibrated at 37°C prior to use. Substrate cleavage and increase in fluorescence (excitation at 485 nm and emission at 538 nm) was measured in a kinetic mode for 5 minutes at 37°C in a SpectraMax M5 plate reader (Molecular Devices). RFU/sec was calculated by SoftMax Pro software </w:t>
      </w:r>
      <w:r w:rsidR="00582C26">
        <w:rPr>
          <w:rFonts w:ascii="Times New Roman" w:hAnsi="Times New Roman" w:cs="Times New Roman"/>
          <w:lang w:val="en-US"/>
        </w:rPr>
        <w:t>(</w:t>
      </w:r>
      <w:r w:rsidR="00582C26" w:rsidRPr="00582C26">
        <w:rPr>
          <w:rFonts w:ascii="Times New Roman" w:hAnsi="Times New Roman" w:cs="Times New Roman"/>
          <w:lang w:val="en-US"/>
        </w:rPr>
        <w:t>RRID:SCR_014240</w:t>
      </w:r>
      <w:r w:rsidR="00582C26">
        <w:rPr>
          <w:rFonts w:ascii="Times New Roman" w:hAnsi="Times New Roman" w:cs="Times New Roman"/>
          <w:lang w:val="en-US"/>
        </w:rPr>
        <w:t>)</w:t>
      </w:r>
      <w:r w:rsidR="00582C26" w:rsidRPr="00582C26">
        <w:rPr>
          <w:rFonts w:ascii="Times New Roman" w:hAnsi="Times New Roman" w:cs="Times New Roman"/>
          <w:lang w:val="en-US"/>
        </w:rPr>
        <w:t xml:space="preserve"> </w:t>
      </w:r>
      <w:r w:rsidRPr="00D85E87">
        <w:rPr>
          <w:rFonts w:ascii="Times New Roman" w:hAnsi="Times New Roman" w:cs="Times New Roman"/>
          <w:lang w:val="en-US"/>
        </w:rPr>
        <w:t>and plotted against peptide concentration. 4PL curve fitting and IC</w:t>
      </w:r>
      <w:r w:rsidRPr="00D85E87">
        <w:rPr>
          <w:rFonts w:ascii="Times New Roman" w:hAnsi="Times New Roman" w:cs="Times New Roman"/>
          <w:vertAlign w:val="subscript"/>
          <w:lang w:val="en-US"/>
        </w:rPr>
        <w:t>50</w:t>
      </w:r>
      <w:r w:rsidRPr="00D85E87">
        <w:rPr>
          <w:rFonts w:ascii="Times New Roman" w:hAnsi="Times New Roman" w:cs="Times New Roman"/>
          <w:lang w:val="en-US"/>
        </w:rPr>
        <w:t>/pIC</w:t>
      </w:r>
      <w:r w:rsidRPr="00D85E87">
        <w:rPr>
          <w:rFonts w:ascii="Times New Roman" w:hAnsi="Times New Roman" w:cs="Times New Roman"/>
          <w:vertAlign w:val="subscript"/>
          <w:lang w:val="en-US"/>
        </w:rPr>
        <w:t>50</w:t>
      </w:r>
      <w:r w:rsidRPr="00D85E87">
        <w:rPr>
          <w:rFonts w:ascii="Times New Roman" w:hAnsi="Times New Roman" w:cs="Times New Roman"/>
          <w:lang w:val="en-US"/>
        </w:rPr>
        <w:t xml:space="preserve"> calculations were performed using ActivityBase software (IDBS). </w:t>
      </w:r>
    </w:p>
    <w:p w14:paraId="6EF7A5C8" w14:textId="600A93A3" w:rsidR="00135900" w:rsidRPr="00D85E87" w:rsidRDefault="00135900" w:rsidP="00D85E87">
      <w:pPr>
        <w:spacing w:line="240" w:lineRule="auto"/>
        <w:rPr>
          <w:rFonts w:ascii="Times New Roman" w:hAnsi="Times New Roman" w:cs="Times New Roman"/>
          <w:b/>
          <w:bCs/>
          <w:u w:val="single"/>
          <w:lang w:val="en-US"/>
        </w:rPr>
      </w:pPr>
      <w:r w:rsidRPr="00D85E87">
        <w:rPr>
          <w:rFonts w:ascii="Times New Roman" w:hAnsi="Times New Roman" w:cs="Times New Roman"/>
          <w:lang w:val="en-US"/>
        </w:rPr>
        <w:t xml:space="preserve">To test selectivity of FAP binding peptides toward both PREP and DPP4, protease activity assays were performed similarly to the FAP activity assay with following exceptions. PREP activity was measured </w:t>
      </w:r>
      <w:r w:rsidRPr="00D85E87">
        <w:rPr>
          <w:rFonts w:ascii="Times New Roman" w:hAnsi="Times New Roman" w:cs="Times New Roman"/>
          <w:lang w:val="en-US"/>
        </w:rPr>
        <w:lastRenderedPageBreak/>
        <w:t>with recombinant human PREP (R&amp;D Systems, #4308-SE). As substrate 50 µM Z-GP-AMC (Bachem, # 4002518) was used. The DPP4 activity assay was performed in DPP assay buffer (25 mM Tris, pH 8.0), with recombinant human DPP4 (R&amp;D Systems, #9168-SE). 20 µM of GP-AMC (Santa Cruz Biotechnology, #115035-46-6) was used as substrate. Fluorescence of AMC (excitation at 380 nm and emission at 460 nm) after cleavage was measured in a kinetic mode for 5 minutes at 37°C in a SpectraMax M5 plate reader (Molecular Devices).</w:t>
      </w:r>
    </w:p>
    <w:p w14:paraId="2D9FCF56" w14:textId="77777777" w:rsidR="00135900" w:rsidRPr="00D85E87" w:rsidRDefault="00135900" w:rsidP="00D85E87">
      <w:pPr>
        <w:spacing w:line="240" w:lineRule="auto"/>
        <w:rPr>
          <w:rFonts w:ascii="Times New Roman" w:hAnsi="Times New Roman" w:cs="Times New Roman"/>
          <w:b/>
          <w:bCs/>
          <w:lang w:val="en-US"/>
        </w:rPr>
      </w:pPr>
      <w:r w:rsidRPr="00D85E87">
        <w:rPr>
          <w:rFonts w:ascii="Times New Roman" w:hAnsi="Times New Roman" w:cs="Times New Roman"/>
          <w:b/>
          <w:bCs/>
          <w:lang w:val="en-US"/>
        </w:rPr>
        <w:t>Plasma stability</w:t>
      </w:r>
    </w:p>
    <w:p w14:paraId="66E1DC73" w14:textId="600036B1"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FAP-228</w:t>
      </w:r>
      <w:r w:rsidR="004C64AF">
        <w:rPr>
          <w:rFonts w:ascii="Times New Roman" w:hAnsi="Times New Roman" w:cs="Times New Roman"/>
          <w:lang w:val="en-US"/>
        </w:rPr>
        <w:t>7</w:t>
      </w:r>
      <w:r w:rsidRPr="00D85E87">
        <w:rPr>
          <w:rFonts w:ascii="Times New Roman" w:hAnsi="Times New Roman" w:cs="Times New Roman"/>
          <w:lang w:val="en-US"/>
        </w:rPr>
        <w:t xml:space="preserve"> was incubated in 50 </w:t>
      </w:r>
      <w:r w:rsidRPr="00F04677">
        <w:rPr>
          <w:rFonts w:ascii="Times New Roman" w:hAnsi="Times New Roman"/>
          <w:color w:val="000000" w:themeColor="text1"/>
          <w:lang w:val="en-US"/>
        </w:rPr>
        <w:t>µL</w:t>
      </w:r>
      <w:r w:rsidRPr="00D85E87">
        <w:rPr>
          <w:rFonts w:ascii="Times New Roman" w:hAnsi="Times New Roman" w:cs="Times New Roman"/>
          <w:lang w:val="en-US"/>
        </w:rPr>
        <w:t xml:space="preserve"> of plasma with 3.8% sodium citrate as anticoagulant at a concentration of 10 µM. After </w:t>
      </w:r>
      <w:r w:rsidR="00123AD7" w:rsidRPr="00D85E87">
        <w:rPr>
          <w:rFonts w:ascii="Times New Roman" w:hAnsi="Times New Roman" w:cs="Times New Roman"/>
          <w:lang w:val="en-US"/>
        </w:rPr>
        <w:t xml:space="preserve">1, 2, 4, and </w:t>
      </w:r>
      <w:r w:rsidRPr="00D85E87">
        <w:rPr>
          <w:rFonts w:ascii="Times New Roman" w:hAnsi="Times New Roman" w:cs="Times New Roman"/>
          <w:lang w:val="en-US"/>
        </w:rPr>
        <w:t>24 hours incubation at 37°C a suitable internal standard was added. FAP-228</w:t>
      </w:r>
      <w:r w:rsidR="004C64AF">
        <w:rPr>
          <w:rFonts w:ascii="Times New Roman" w:hAnsi="Times New Roman" w:cs="Times New Roman"/>
          <w:lang w:val="en-US"/>
        </w:rPr>
        <w:t>7</w:t>
      </w:r>
      <w:r w:rsidRPr="00D85E87">
        <w:rPr>
          <w:rFonts w:ascii="Times New Roman" w:hAnsi="Times New Roman" w:cs="Times New Roman"/>
          <w:lang w:val="en-US"/>
        </w:rPr>
        <w:t xml:space="preserve"> with plasma proteins were precipitated using </w:t>
      </w:r>
      <w:r w:rsidR="08451418" w:rsidRPr="406A2760">
        <w:rPr>
          <w:rFonts w:ascii="Times New Roman" w:hAnsi="Times New Roman" w:cs="Times New Roman"/>
          <w:lang w:val="en-US"/>
        </w:rPr>
        <w:t>2</w:t>
      </w:r>
      <w:r w:rsidRPr="406A2760">
        <w:rPr>
          <w:rFonts w:ascii="Times New Roman" w:hAnsi="Times New Roman" w:cs="Times New Roman"/>
          <w:lang w:val="en-US"/>
        </w:rPr>
        <w:t>50</w:t>
      </w:r>
      <w:r w:rsidRPr="00D85E87">
        <w:rPr>
          <w:rFonts w:ascii="Times New Roman" w:hAnsi="Times New Roman" w:cs="Times New Roman"/>
          <w:lang w:val="en-US"/>
        </w:rPr>
        <w:t xml:space="preserve"> µL of a precipitation agent consisting of </w:t>
      </w:r>
      <w:r w:rsidR="423FDF1D" w:rsidRPr="406A2760">
        <w:rPr>
          <w:rFonts w:ascii="Times New Roman" w:hAnsi="Times New Roman" w:cs="Times New Roman"/>
          <w:lang w:val="en-US"/>
        </w:rPr>
        <w:t>1% trifluoroacetic acid in</w:t>
      </w:r>
      <w:r w:rsidRPr="00D85E87">
        <w:rPr>
          <w:rFonts w:ascii="Times New Roman" w:hAnsi="Times New Roman" w:cs="Times New Roman"/>
          <w:lang w:val="en-US"/>
        </w:rPr>
        <w:t xml:space="preserve"> acetonitrile. Precipitation was carried out </w:t>
      </w:r>
      <w:r w:rsidR="30AEFAB9" w:rsidRPr="406A2760">
        <w:rPr>
          <w:rFonts w:ascii="Times New Roman" w:hAnsi="Times New Roman" w:cs="Times New Roman"/>
          <w:lang w:val="en-US"/>
        </w:rPr>
        <w:t>at room temperature</w:t>
      </w:r>
      <w:r w:rsidRPr="00D85E87">
        <w:rPr>
          <w:rFonts w:ascii="Times New Roman" w:hAnsi="Times New Roman" w:cs="Times New Roman"/>
          <w:lang w:val="en-US"/>
        </w:rPr>
        <w:t xml:space="preserve"> for 30 minutes. After centrifugation at 18,200 relative centrifugal force (rcf) for 5 minutes, 100 µL of the supernatant was mixed with </w:t>
      </w:r>
      <w:r w:rsidRPr="406A2760">
        <w:rPr>
          <w:rFonts w:ascii="Times New Roman" w:hAnsi="Times New Roman" w:cs="Times New Roman"/>
          <w:lang w:val="en-US"/>
        </w:rPr>
        <w:t>1</w:t>
      </w:r>
      <w:r w:rsidR="60381DD2" w:rsidRPr="406A2760">
        <w:rPr>
          <w:rFonts w:ascii="Times New Roman" w:hAnsi="Times New Roman" w:cs="Times New Roman"/>
          <w:lang w:val="en-US"/>
        </w:rPr>
        <w:t>0</w:t>
      </w:r>
      <w:r w:rsidRPr="406A2760">
        <w:rPr>
          <w:rFonts w:ascii="Times New Roman" w:hAnsi="Times New Roman" w:cs="Times New Roman"/>
          <w:lang w:val="en-US"/>
        </w:rPr>
        <w:t>0</w:t>
      </w:r>
      <w:r w:rsidRPr="00D85E87">
        <w:rPr>
          <w:rFonts w:ascii="Times New Roman" w:hAnsi="Times New Roman" w:cs="Times New Roman"/>
          <w:lang w:val="en-US"/>
        </w:rPr>
        <w:t xml:space="preserve"> µL of 1% formic acid. </w:t>
      </w:r>
    </w:p>
    <w:p w14:paraId="01D30930" w14:textId="77777777"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 xml:space="preserve">A nonincubated plasma sample spiked with 10 µM sample concentration was prepared in the same way and was used as the reference. A pure plasma sample was incubated for 24 hours as a blank sample. A further pure plasma sample was incubated for 24 hours, processed as described above and spiked directly before analysis to determine the recovery. The samples were analyzed using an Agilent 1290 UHPLC system coupled to an Agilent 6530 QTOF mass spectrometer. </w:t>
      </w:r>
    </w:p>
    <w:p w14:paraId="18142F03" w14:textId="77777777"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Chromatographic separation was carried out on a Phenomenex Aeris Peptide XB-C18 stationary phase (50 × 2.1 mm, 1.7-µm particle size) using a linear gradient from 2% B to 41% B in 7 minutes with 0.1% formic acid as eluent A and acetonitrile as eluent B. Flow rate was 0.8 mL/min and the column was heated to 40°C. Mass spectrometry detection was performed in positive ion mode. Complete mass spectra were collected for the whole chromatographic in a range between m/z 100 and 300 with a sampling rate of 3 spectra/second.</w:t>
      </w:r>
    </w:p>
    <w:p w14:paraId="42E56F2B" w14:textId="033F05C9" w:rsidR="00135900" w:rsidRPr="009D7F14"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 xml:space="preserve">For the quantitative data analysis, the Agilent Quantitative Analysis B.08.00 software </w:t>
      </w:r>
      <w:r w:rsidR="005261E2">
        <w:rPr>
          <w:rFonts w:ascii="Times New Roman" w:hAnsi="Times New Roman" w:cs="Times New Roman"/>
          <w:lang w:val="en-US"/>
        </w:rPr>
        <w:t>(</w:t>
      </w:r>
      <w:r w:rsidR="005261E2" w:rsidRPr="005261E2">
        <w:rPr>
          <w:rFonts w:ascii="Times New Roman" w:hAnsi="Times New Roman" w:cs="Times New Roman"/>
          <w:lang w:val="en-US"/>
        </w:rPr>
        <w:t>RRID:SCR_015040</w:t>
      </w:r>
      <w:r w:rsidR="005261E2">
        <w:rPr>
          <w:rFonts w:ascii="Times New Roman" w:hAnsi="Times New Roman" w:cs="Times New Roman"/>
          <w:lang w:val="en-US"/>
        </w:rPr>
        <w:t xml:space="preserve">) </w:t>
      </w:r>
      <w:r w:rsidRPr="00D85E87">
        <w:rPr>
          <w:rFonts w:ascii="Times New Roman" w:hAnsi="Times New Roman" w:cs="Times New Roman"/>
          <w:lang w:val="en-US"/>
        </w:rPr>
        <w:t xml:space="preserve">was used. The ion currents of the </w:t>
      </w:r>
      <w:r w:rsidR="3118A6C5" w:rsidRPr="406A2760">
        <w:rPr>
          <w:rFonts w:ascii="Times New Roman" w:hAnsi="Times New Roman" w:cs="Times New Roman"/>
          <w:lang w:val="en-US"/>
        </w:rPr>
        <w:t>triply</w:t>
      </w:r>
      <w:r w:rsidRPr="00D85E87">
        <w:rPr>
          <w:rFonts w:ascii="Times New Roman" w:hAnsi="Times New Roman" w:cs="Times New Roman"/>
          <w:lang w:val="en-US"/>
        </w:rPr>
        <w:t xml:space="preserve"> charged proton adducts of the compounds were extracted with a mass window of ±50 parts per million and the chromatographic peak was integrated. The concentration of the compound was determined by external matrix calibration </w:t>
      </w:r>
      <w:r w:rsidR="04221EB8" w:rsidRPr="406A2760">
        <w:rPr>
          <w:rFonts w:ascii="Times New Roman" w:hAnsi="Times New Roman" w:cs="Times New Roman"/>
          <w:lang w:val="en-US"/>
        </w:rPr>
        <w:t xml:space="preserve">with internal standard </w:t>
      </w:r>
      <w:r w:rsidRPr="00D85E87">
        <w:rPr>
          <w:rFonts w:ascii="Times New Roman" w:hAnsi="Times New Roman" w:cs="Times New Roman"/>
          <w:lang w:val="en-US"/>
        </w:rPr>
        <w:t xml:space="preserve">using 6 calibration samples (1, 2.5, 5, 7.5, 10, and 12.5 µM). A quadratic regression was performed. Carryover was determined by analyzing the blank sample directly after the highest calibration sample and comparing the determined peak areas. Recovery was calculated as the ratio between the spiked </w:t>
      </w:r>
      <w:r w:rsidRPr="009D7F14">
        <w:rPr>
          <w:rFonts w:ascii="Times New Roman" w:hAnsi="Times New Roman" w:cs="Times New Roman"/>
          <w:lang w:val="en-US"/>
        </w:rPr>
        <w:t>concentration of the recovery sample and the concentration calculated from the peak area of this sample.</w:t>
      </w:r>
    </w:p>
    <w:p w14:paraId="76E6A341" w14:textId="7E87EE84" w:rsidR="00135900" w:rsidRPr="009D7F14" w:rsidRDefault="00135900" w:rsidP="00D85E87">
      <w:pPr>
        <w:tabs>
          <w:tab w:val="left" w:pos="709"/>
        </w:tabs>
        <w:spacing w:line="240" w:lineRule="auto"/>
        <w:rPr>
          <w:rFonts w:ascii="Times New Roman" w:eastAsia="Times New Roman" w:hAnsi="Times New Roman" w:cs="Times New Roman"/>
          <w:b/>
          <w:bCs/>
          <w:lang w:val="en-US" w:eastAsia="de-DE"/>
        </w:rPr>
      </w:pPr>
      <w:r w:rsidRPr="009D7F14">
        <w:rPr>
          <w:rFonts w:ascii="Times New Roman" w:eastAsia="Times New Roman" w:hAnsi="Times New Roman" w:cs="Times New Roman"/>
          <w:b/>
          <w:bCs/>
          <w:vertAlign w:val="superscript"/>
          <w:lang w:val="en-GB" w:eastAsia="de-DE"/>
        </w:rPr>
        <w:t>177</w:t>
      </w:r>
      <w:r w:rsidRPr="009D7F14">
        <w:rPr>
          <w:rFonts w:ascii="Times New Roman" w:eastAsia="Times New Roman" w:hAnsi="Times New Roman" w:cs="Times New Roman"/>
          <w:b/>
          <w:bCs/>
          <w:lang w:val="en-GB" w:eastAsia="de-DE"/>
        </w:rPr>
        <w:t>Lu</w:t>
      </w:r>
      <w:r w:rsidR="004C64AF" w:rsidRPr="009D7F14">
        <w:rPr>
          <w:rFonts w:ascii="Times New Roman" w:eastAsia="Times New Roman" w:hAnsi="Times New Roman" w:cs="Times New Roman"/>
          <w:b/>
          <w:bCs/>
          <w:lang w:val="en-GB" w:eastAsia="de-DE"/>
        </w:rPr>
        <w:t xml:space="preserve"> radio</w:t>
      </w:r>
      <w:r w:rsidR="00485ADD" w:rsidRPr="009D7F14">
        <w:rPr>
          <w:rFonts w:ascii="Times New Roman" w:eastAsia="Times New Roman" w:hAnsi="Times New Roman" w:cs="Times New Roman"/>
          <w:b/>
          <w:bCs/>
          <w:lang w:val="en-GB" w:eastAsia="de-DE"/>
        </w:rPr>
        <w:t>chemistry</w:t>
      </w:r>
    </w:p>
    <w:p w14:paraId="0D888EAE" w14:textId="23CDAF90" w:rsidR="00135900" w:rsidRPr="00D85E87" w:rsidRDefault="00135900" w:rsidP="00D85E87">
      <w:pPr>
        <w:tabs>
          <w:tab w:val="left" w:pos="709"/>
        </w:tabs>
        <w:spacing w:line="240" w:lineRule="auto"/>
        <w:rPr>
          <w:rFonts w:ascii="Times New Roman" w:hAnsi="Times New Roman" w:cs="Times New Roman"/>
          <w:lang w:val="en-US"/>
        </w:rPr>
      </w:pPr>
      <w:r w:rsidRPr="009D7F14">
        <w:rPr>
          <w:rFonts w:ascii="Times New Roman" w:eastAsia="Times New Roman" w:hAnsi="Times New Roman" w:cs="Times New Roman"/>
          <w:bCs/>
          <w:lang w:val="en-US" w:eastAsia="de-DE"/>
        </w:rPr>
        <w:t>0.3–1.</w:t>
      </w:r>
      <w:r w:rsidR="004B2FD2" w:rsidRPr="009D7F14">
        <w:rPr>
          <w:rFonts w:ascii="Times New Roman" w:eastAsia="Times New Roman" w:hAnsi="Times New Roman" w:cs="Times New Roman"/>
          <w:bCs/>
          <w:lang w:val="en-US" w:eastAsia="de-DE"/>
        </w:rPr>
        <w:t>2</w:t>
      </w:r>
      <w:r w:rsidRPr="009D7F14">
        <w:rPr>
          <w:rFonts w:ascii="Times New Roman" w:eastAsia="Times New Roman" w:hAnsi="Times New Roman" w:cs="Times New Roman"/>
          <w:bCs/>
          <w:lang w:val="en-US" w:eastAsia="de-DE"/>
        </w:rPr>
        <w:t xml:space="preserve"> GBq </w:t>
      </w:r>
      <w:r w:rsidRPr="009D7F14">
        <w:rPr>
          <w:rFonts w:ascii="Times New Roman" w:eastAsia="Times New Roman" w:hAnsi="Times New Roman" w:cs="Times New Roman"/>
          <w:bCs/>
          <w:vertAlign w:val="superscript"/>
          <w:lang w:val="en-US" w:eastAsia="de-DE"/>
        </w:rPr>
        <w:t>177</w:t>
      </w:r>
      <w:r w:rsidRPr="009D7F14">
        <w:rPr>
          <w:rFonts w:ascii="Times New Roman" w:eastAsia="Times New Roman" w:hAnsi="Times New Roman" w:cs="Times New Roman"/>
          <w:bCs/>
          <w:lang w:val="en-US" w:eastAsia="de-DE"/>
        </w:rPr>
        <w:t>LuCl</w:t>
      </w:r>
      <w:r w:rsidRPr="009D7F14">
        <w:rPr>
          <w:rFonts w:ascii="Times New Roman" w:eastAsia="Times New Roman" w:hAnsi="Times New Roman" w:cs="Times New Roman"/>
          <w:bCs/>
          <w:vertAlign w:val="subscript"/>
          <w:lang w:val="en-US" w:eastAsia="de-DE"/>
        </w:rPr>
        <w:t>3</w:t>
      </w:r>
      <w:r w:rsidRPr="009D7F14">
        <w:rPr>
          <w:rFonts w:ascii="Times New Roman" w:eastAsia="Times New Roman" w:hAnsi="Times New Roman" w:cs="Times New Roman"/>
          <w:bCs/>
          <w:lang w:val="en-US" w:eastAsia="de-DE"/>
        </w:rPr>
        <w:t xml:space="preserve"> (in 0.04 M HCl) were mixed with buffer (1 M sodium acetate/ascorbic acid buffer pH 5</w:t>
      </w:r>
      <w:r w:rsidR="004B2FD2" w:rsidRPr="009D7F14">
        <w:rPr>
          <w:rFonts w:ascii="Times New Roman" w:eastAsia="Times New Roman" w:hAnsi="Times New Roman" w:cs="Times New Roman"/>
          <w:bCs/>
          <w:lang w:val="en-US" w:eastAsia="de-DE"/>
        </w:rPr>
        <w:t>,</w:t>
      </w:r>
      <w:r w:rsidRPr="009D7F14">
        <w:rPr>
          <w:rFonts w:ascii="Times New Roman" w:eastAsia="Times New Roman" w:hAnsi="Times New Roman" w:cs="Times New Roman"/>
          <w:bCs/>
          <w:lang w:val="en-US" w:eastAsia="de-DE"/>
        </w:rPr>
        <w:t xml:space="preserve"> containing</w:t>
      </w:r>
      <w:r w:rsidRPr="009D7F14">
        <w:rPr>
          <w:rFonts w:ascii="Times New Roman" w:eastAsia="Times New Roman" w:hAnsi="Times New Roman" w:cs="Times New Roman"/>
          <w:bCs/>
          <w:sz w:val="24"/>
          <w:szCs w:val="24"/>
          <w:lang w:val="en-US" w:eastAsia="de-DE"/>
        </w:rPr>
        <w:t xml:space="preserve"> </w:t>
      </w:r>
      <w:r w:rsidRPr="00D85E87">
        <w:rPr>
          <w:rFonts w:ascii="Times New Roman" w:eastAsia="Times New Roman" w:hAnsi="Times New Roman" w:cs="Times New Roman"/>
          <w:bCs/>
          <w:lang w:val="en-US" w:eastAsia="de-DE"/>
        </w:rPr>
        <w:t>25 mg/mL methionine</w:t>
      </w:r>
      <w:r w:rsidR="004B2FD2" w:rsidRPr="00D85E87">
        <w:rPr>
          <w:rFonts w:ascii="Times New Roman" w:eastAsia="Times New Roman" w:hAnsi="Times New Roman" w:cs="Times New Roman"/>
          <w:bCs/>
          <w:lang w:val="en-US" w:eastAsia="de-DE"/>
        </w:rPr>
        <w:t xml:space="preserve"> for FAP-228</w:t>
      </w:r>
      <w:r w:rsidR="00C617A9">
        <w:rPr>
          <w:rFonts w:ascii="Times New Roman" w:eastAsia="Times New Roman" w:hAnsi="Times New Roman" w:cs="Times New Roman"/>
          <w:bCs/>
          <w:lang w:val="en-US" w:eastAsia="de-DE"/>
        </w:rPr>
        <w:t>7</w:t>
      </w:r>
      <w:r w:rsidR="004B2FD2" w:rsidRPr="00D85E87">
        <w:rPr>
          <w:rFonts w:ascii="Times New Roman" w:eastAsia="Times New Roman" w:hAnsi="Times New Roman" w:cs="Times New Roman"/>
          <w:bCs/>
          <w:lang w:val="en-US" w:eastAsia="de-DE"/>
        </w:rPr>
        <w:t xml:space="preserve"> labeling</w:t>
      </w:r>
      <w:r w:rsidRPr="00D85E87">
        <w:rPr>
          <w:rFonts w:ascii="Times New Roman" w:eastAsia="Times New Roman" w:hAnsi="Times New Roman" w:cs="Times New Roman"/>
          <w:bCs/>
          <w:lang w:val="en-US" w:eastAsia="de-DE"/>
        </w:rPr>
        <w:t xml:space="preserve">; 100 µL per GBq </w:t>
      </w:r>
      <w:r w:rsidRPr="00D85E87">
        <w:rPr>
          <w:rFonts w:ascii="Times New Roman" w:eastAsia="Times New Roman" w:hAnsi="Times New Roman" w:cs="Times New Roman"/>
          <w:bCs/>
          <w:vertAlign w:val="superscript"/>
          <w:lang w:val="en-US" w:eastAsia="de-DE"/>
        </w:rPr>
        <w:t>177</w:t>
      </w:r>
      <w:r w:rsidRPr="00D85E87">
        <w:rPr>
          <w:rFonts w:ascii="Times New Roman" w:eastAsia="Times New Roman" w:hAnsi="Times New Roman" w:cs="Times New Roman"/>
          <w:bCs/>
          <w:lang w:val="en-US" w:eastAsia="de-DE"/>
        </w:rPr>
        <w:t>LuCl</w:t>
      </w:r>
      <w:r w:rsidRPr="00D85E87">
        <w:rPr>
          <w:rFonts w:ascii="Times New Roman" w:eastAsia="Times New Roman" w:hAnsi="Times New Roman" w:cs="Times New Roman"/>
          <w:bCs/>
          <w:vertAlign w:val="subscript"/>
          <w:lang w:val="en-US" w:eastAsia="de-DE"/>
        </w:rPr>
        <w:t>3</w:t>
      </w:r>
      <w:r w:rsidRPr="00D85E87">
        <w:rPr>
          <w:rFonts w:ascii="Times New Roman" w:eastAsia="Times New Roman" w:hAnsi="Times New Roman" w:cs="Times New Roman"/>
          <w:bCs/>
          <w:lang w:val="en-US" w:eastAsia="de-DE"/>
        </w:rPr>
        <w:t>). 1 nmol of FAP-228</w:t>
      </w:r>
      <w:r w:rsidR="004C64AF">
        <w:rPr>
          <w:rFonts w:ascii="Times New Roman" w:eastAsia="Times New Roman" w:hAnsi="Times New Roman" w:cs="Times New Roman"/>
          <w:bCs/>
          <w:lang w:val="en-US" w:eastAsia="de-DE"/>
        </w:rPr>
        <w:t>7</w:t>
      </w:r>
      <w:r w:rsidRPr="00D85E87">
        <w:rPr>
          <w:rFonts w:ascii="Times New Roman" w:eastAsia="Times New Roman" w:hAnsi="Times New Roman" w:cs="Times New Roman"/>
          <w:bCs/>
          <w:lang w:val="en-US" w:eastAsia="de-DE"/>
        </w:rPr>
        <w:t xml:space="preserve"> (500 µM stock solution in water) per 30–60 MBq </w:t>
      </w:r>
      <w:r w:rsidRPr="00D85E87">
        <w:rPr>
          <w:rFonts w:ascii="Times New Roman" w:eastAsia="Times New Roman" w:hAnsi="Times New Roman" w:cs="Times New Roman"/>
          <w:bCs/>
          <w:vertAlign w:val="superscript"/>
          <w:lang w:val="en-US" w:eastAsia="de-DE"/>
        </w:rPr>
        <w:t>177</w:t>
      </w:r>
      <w:r w:rsidRPr="00D85E87">
        <w:rPr>
          <w:rFonts w:ascii="Times New Roman" w:eastAsia="Times New Roman" w:hAnsi="Times New Roman" w:cs="Times New Roman"/>
          <w:bCs/>
          <w:lang w:val="en-US" w:eastAsia="de-DE"/>
        </w:rPr>
        <w:t>LuCl</w:t>
      </w:r>
      <w:r w:rsidRPr="00D85E87">
        <w:rPr>
          <w:rFonts w:ascii="Times New Roman" w:eastAsia="Times New Roman" w:hAnsi="Times New Roman" w:cs="Times New Roman"/>
          <w:bCs/>
          <w:vertAlign w:val="subscript"/>
          <w:lang w:val="en-US" w:eastAsia="de-DE"/>
        </w:rPr>
        <w:t>3</w:t>
      </w:r>
      <w:r w:rsidRPr="00D85E87">
        <w:rPr>
          <w:rFonts w:ascii="Times New Roman" w:eastAsia="Times New Roman" w:hAnsi="Times New Roman" w:cs="Times New Roman"/>
          <w:bCs/>
          <w:lang w:val="en-US" w:eastAsia="de-DE"/>
        </w:rPr>
        <w:t xml:space="preserve"> was added. The mixture was </w:t>
      </w:r>
      <w:r w:rsidR="00787077" w:rsidRPr="00D85E87">
        <w:rPr>
          <w:rFonts w:ascii="Times New Roman" w:eastAsia="Times New Roman" w:hAnsi="Times New Roman" w:cs="Times New Roman"/>
          <w:bCs/>
          <w:lang w:val="en-US" w:eastAsia="de-DE"/>
        </w:rPr>
        <w:t>shaken at 300 – 600 rpm,</w:t>
      </w:r>
      <w:r w:rsidRPr="00D85E87">
        <w:rPr>
          <w:rFonts w:ascii="Times New Roman" w:eastAsia="Times New Roman" w:hAnsi="Times New Roman" w:cs="Times New Roman"/>
          <w:bCs/>
          <w:lang w:val="en-US" w:eastAsia="de-DE"/>
        </w:rPr>
        <w:t xml:space="preserve"> 90°C for 15–25 </w:t>
      </w:r>
      <w:r w:rsidRPr="00D85E87">
        <w:rPr>
          <w:rFonts w:ascii="Times New Roman" w:hAnsi="Times New Roman" w:cs="Times New Roman"/>
          <w:lang w:val="en-US"/>
        </w:rPr>
        <w:t>minutes</w:t>
      </w:r>
      <w:r w:rsidRPr="00D85E87">
        <w:rPr>
          <w:rFonts w:ascii="Times New Roman" w:eastAsia="Times New Roman" w:hAnsi="Times New Roman" w:cs="Times New Roman"/>
          <w:bCs/>
          <w:lang w:val="en-US" w:eastAsia="de-DE"/>
        </w:rPr>
        <w:t>. After cooling down, DTPA and TWEEN-20 were added at a final concentration of 0.2 mM and 0.1%, respectively.</w:t>
      </w:r>
      <w:r w:rsidR="001464C3" w:rsidRPr="00D85E87">
        <w:rPr>
          <w:rFonts w:ascii="Times New Roman" w:eastAsia="Times New Roman" w:hAnsi="Times New Roman" w:cs="Times New Roman"/>
          <w:bCs/>
          <w:lang w:val="en-US" w:eastAsia="de-DE"/>
        </w:rPr>
        <w:t xml:space="preserve"> In some instances, purification by solid phase extraction utilizing a C18 SepPak column pre-conditioned with absolute ethanol (5 mL) and water (10 mL) was performed. </w:t>
      </w:r>
      <w:r w:rsidR="00244934" w:rsidRPr="00D85E87">
        <w:rPr>
          <w:rFonts w:ascii="Times New Roman" w:hAnsi="Times New Roman" w:cs="Times New Roman"/>
          <w:lang w:val="en-US"/>
        </w:rPr>
        <w:t xml:space="preserve">The crude product was </w:t>
      </w:r>
      <w:r w:rsidR="00787077" w:rsidRPr="00D85E87">
        <w:rPr>
          <w:rFonts w:ascii="Times New Roman" w:hAnsi="Times New Roman" w:cs="Times New Roman"/>
          <w:lang w:val="en-US"/>
        </w:rPr>
        <w:t xml:space="preserve">diluted with water to a total volume of 5 mL, </w:t>
      </w:r>
      <w:r w:rsidR="00244934" w:rsidRPr="00D85E87">
        <w:rPr>
          <w:rFonts w:ascii="Times New Roman" w:hAnsi="Times New Roman" w:cs="Times New Roman"/>
          <w:lang w:val="en-US"/>
        </w:rPr>
        <w:t xml:space="preserve">trapped on the pre-conditioned column, washed with water (5 mL) and then eluted with 500 </w:t>
      </w:r>
      <w:r w:rsidR="00244934" w:rsidRPr="00D85E87">
        <w:rPr>
          <w:rFonts w:ascii="Times New Roman" w:hAnsi="Times New Roman" w:cs="Times New Roman"/>
        </w:rPr>
        <w:t>μ</w:t>
      </w:r>
      <w:r w:rsidR="00244934" w:rsidRPr="00D85E87">
        <w:rPr>
          <w:rFonts w:ascii="Times New Roman" w:hAnsi="Times New Roman" w:cs="Times New Roman"/>
          <w:lang w:val="en-US"/>
        </w:rPr>
        <w:t>L 50/50 ethanol/water (v/v).</w:t>
      </w:r>
      <w:r w:rsidR="00A50EC7" w:rsidRPr="00D85E87">
        <w:rPr>
          <w:rFonts w:ascii="Times New Roman" w:hAnsi="Times New Roman" w:cs="Times New Roman"/>
          <w:lang w:val="en-US"/>
        </w:rPr>
        <w:t xml:space="preserve"> The final product was formulated with 0.9% sterile NaCl for injection containing 10 mg/mL ascorbic acid</w:t>
      </w:r>
      <w:r w:rsidR="002F753B" w:rsidRPr="00D85E87">
        <w:rPr>
          <w:rFonts w:ascii="Times New Roman" w:hAnsi="Times New Roman" w:cs="Times New Roman"/>
          <w:lang w:val="en-US"/>
        </w:rPr>
        <w:t xml:space="preserve"> to a final ethanol concentration of &lt; 10%.</w:t>
      </w:r>
    </w:p>
    <w:p w14:paraId="1ADFD26F" w14:textId="7473849E" w:rsidR="00135900" w:rsidRPr="00D85E87" w:rsidRDefault="0043058F" w:rsidP="00D85E87">
      <w:pPr>
        <w:tabs>
          <w:tab w:val="left" w:pos="709"/>
        </w:tabs>
        <w:spacing w:line="240" w:lineRule="auto"/>
        <w:rPr>
          <w:rFonts w:ascii="Times New Roman" w:eastAsia="Times New Roman" w:hAnsi="Times New Roman" w:cs="Times New Roman"/>
          <w:bCs/>
          <w:lang w:val="en-US" w:eastAsia="de-DE"/>
        </w:rPr>
      </w:pPr>
      <w:r w:rsidRPr="00D85E87">
        <w:rPr>
          <w:rFonts w:ascii="Times New Roman" w:eastAsia="Times New Roman" w:hAnsi="Times New Roman" w:cs="Times New Roman"/>
          <w:bCs/>
          <w:lang w:val="en-US" w:eastAsia="de-DE"/>
        </w:rPr>
        <w:t>For assessment of l</w:t>
      </w:r>
      <w:r w:rsidR="002F753B" w:rsidRPr="00D85E87">
        <w:rPr>
          <w:rFonts w:ascii="Times New Roman" w:eastAsia="Times New Roman" w:hAnsi="Times New Roman" w:cs="Times New Roman"/>
          <w:bCs/>
          <w:lang w:val="en-US" w:eastAsia="de-DE"/>
        </w:rPr>
        <w:t>abeling efficacy by TLC</w:t>
      </w:r>
      <w:r w:rsidRPr="00D85E87">
        <w:rPr>
          <w:rFonts w:ascii="Times New Roman" w:eastAsia="Times New Roman" w:hAnsi="Times New Roman" w:cs="Times New Roman"/>
          <w:bCs/>
          <w:lang w:val="en-US" w:eastAsia="de-DE"/>
        </w:rPr>
        <w:t xml:space="preserve">, an aliquot of the labeling solution was applied to a strip of iTLC-SG chromatography paper (Agilent) and developed in 0.1 M citric acid pH 5.4. The iTLC strip was then </w:t>
      </w:r>
      <w:r w:rsidRPr="00D85E87">
        <w:rPr>
          <w:rFonts w:ascii="Times New Roman" w:eastAsia="Times New Roman" w:hAnsi="Times New Roman" w:cs="Times New Roman"/>
          <w:lang w:val="en-US" w:eastAsia="de-DE"/>
        </w:rPr>
        <w:t>analyzed with a TLC scanner (Raytest)</w:t>
      </w:r>
      <w:r w:rsidRPr="00D85E87">
        <w:rPr>
          <w:rFonts w:ascii="Times New Roman" w:hAnsi="Times New Roman" w:cs="Times New Roman"/>
          <w:lang w:val="en-US"/>
        </w:rPr>
        <w:t xml:space="preserve">. </w:t>
      </w:r>
      <w:r w:rsidRPr="00D85E87">
        <w:rPr>
          <w:rFonts w:ascii="Times New Roman" w:eastAsia="Times New Roman" w:hAnsi="Times New Roman" w:cs="Times New Roman"/>
          <w:bCs/>
          <w:lang w:val="en-US" w:eastAsia="de-DE"/>
        </w:rPr>
        <w:t xml:space="preserve">The radioactivity measured at the origin represents </w:t>
      </w:r>
      <w:r w:rsidRPr="00D85E87">
        <w:rPr>
          <w:rFonts w:ascii="Times New Roman" w:hAnsi="Times New Roman" w:cs="Times New Roman"/>
          <w:lang w:val="en-US"/>
        </w:rPr>
        <w:t xml:space="preserve">radiolabeled peptide, whereas the radioactivity at the solvent front represents free radionuclide. </w:t>
      </w:r>
      <w:r w:rsidR="00135900" w:rsidRPr="00D85E87">
        <w:rPr>
          <w:rFonts w:ascii="Times New Roman" w:eastAsia="Times New Roman" w:hAnsi="Times New Roman" w:cs="Times New Roman"/>
          <w:bCs/>
          <w:lang w:val="en-US" w:eastAsia="de-DE"/>
        </w:rPr>
        <w:t xml:space="preserve">The </w:t>
      </w:r>
      <w:r w:rsidR="001464C3" w:rsidRPr="00D85E87">
        <w:rPr>
          <w:rFonts w:ascii="Times New Roman" w:eastAsia="Times New Roman" w:hAnsi="Times New Roman" w:cs="Times New Roman"/>
          <w:bCs/>
          <w:lang w:val="en-US" w:eastAsia="de-DE"/>
        </w:rPr>
        <w:t>radiochemical purity</w:t>
      </w:r>
      <w:r w:rsidR="00135900" w:rsidRPr="00D85E87">
        <w:rPr>
          <w:rFonts w:ascii="Times New Roman" w:eastAsia="Times New Roman" w:hAnsi="Times New Roman" w:cs="Times New Roman"/>
          <w:bCs/>
          <w:lang w:val="en-US" w:eastAsia="de-DE"/>
        </w:rPr>
        <w:t xml:space="preserve"> was analyzed by HPLC by injecting labeling solution onto </w:t>
      </w:r>
      <w:r w:rsidR="001464C3" w:rsidRPr="00D85E87">
        <w:rPr>
          <w:rFonts w:ascii="Times New Roman" w:eastAsia="Times New Roman" w:hAnsi="Times New Roman" w:cs="Times New Roman"/>
          <w:bCs/>
          <w:lang w:val="en-US" w:eastAsia="de-DE"/>
        </w:rPr>
        <w:t xml:space="preserve">either </w:t>
      </w:r>
      <w:r w:rsidR="00135900" w:rsidRPr="00D85E87">
        <w:rPr>
          <w:rFonts w:ascii="Times New Roman" w:eastAsia="Times New Roman" w:hAnsi="Times New Roman" w:cs="Times New Roman"/>
          <w:bCs/>
          <w:lang w:val="en-US" w:eastAsia="de-DE"/>
        </w:rPr>
        <w:t xml:space="preserve">a </w:t>
      </w:r>
      <w:r w:rsidR="00135900" w:rsidRPr="00D85E87">
        <w:rPr>
          <w:rFonts w:ascii="Times New Roman" w:eastAsia="Times New Roman" w:hAnsi="Times New Roman" w:cs="Times New Roman"/>
          <w:lang w:val="en-US" w:eastAsia="de-DE"/>
        </w:rPr>
        <w:t xml:space="preserve">Poroshell SB-C18 2.7 </w:t>
      </w:r>
      <w:r w:rsidR="00135900" w:rsidRPr="00D85E87">
        <w:rPr>
          <w:rFonts w:ascii="Times New Roman" w:eastAsia="Times New Roman" w:hAnsi="Times New Roman" w:cs="Times New Roman"/>
          <w:lang w:eastAsia="de-DE"/>
        </w:rPr>
        <w:t>μ</w:t>
      </w:r>
      <w:r w:rsidR="00135900" w:rsidRPr="00D85E87">
        <w:rPr>
          <w:rFonts w:ascii="Times New Roman" w:eastAsia="Times New Roman" w:hAnsi="Times New Roman" w:cs="Times New Roman"/>
          <w:lang w:val="en-US" w:eastAsia="de-DE"/>
        </w:rPr>
        <w:t>m column (Agilent)</w:t>
      </w:r>
      <w:r w:rsidR="001464C3" w:rsidRPr="00D85E87">
        <w:rPr>
          <w:rFonts w:ascii="Times New Roman" w:eastAsia="Times New Roman" w:hAnsi="Times New Roman" w:cs="Times New Roman"/>
          <w:bCs/>
          <w:lang w:val="en-US" w:eastAsia="de-DE"/>
        </w:rPr>
        <w:t>;</w:t>
      </w:r>
      <w:r w:rsidR="00135900" w:rsidRPr="00D85E87">
        <w:rPr>
          <w:rFonts w:ascii="Times New Roman" w:eastAsia="Times New Roman" w:hAnsi="Times New Roman" w:cs="Times New Roman"/>
          <w:bCs/>
          <w:lang w:val="en-US" w:eastAsia="de-DE"/>
        </w:rPr>
        <w:t xml:space="preserve"> </w:t>
      </w:r>
      <w:r w:rsidR="001464C3" w:rsidRPr="00D85E87">
        <w:rPr>
          <w:rFonts w:ascii="Times New Roman" w:eastAsia="Times New Roman" w:hAnsi="Times New Roman" w:cs="Times New Roman"/>
          <w:bCs/>
          <w:lang w:val="en-US" w:eastAsia="de-DE"/>
        </w:rPr>
        <w:t>e</w:t>
      </w:r>
      <w:r w:rsidR="00135900" w:rsidRPr="00D85E87">
        <w:rPr>
          <w:rFonts w:ascii="Times New Roman" w:eastAsia="Times New Roman" w:hAnsi="Times New Roman" w:cs="Times New Roman"/>
          <w:bCs/>
          <w:lang w:val="en-US" w:eastAsia="de-DE"/>
        </w:rPr>
        <w:t xml:space="preserve">luent A: </w:t>
      </w:r>
      <w:r w:rsidR="0099676A" w:rsidRPr="00D85E87">
        <w:rPr>
          <w:rFonts w:ascii="Times New Roman" w:eastAsia="Times New Roman" w:hAnsi="Times New Roman" w:cs="Times New Roman"/>
          <w:bCs/>
          <w:lang w:val="en-US" w:eastAsia="de-DE"/>
        </w:rPr>
        <w:t>water</w:t>
      </w:r>
      <w:r w:rsidR="00135900" w:rsidRPr="00D85E87">
        <w:rPr>
          <w:rFonts w:ascii="Times New Roman" w:eastAsia="Times New Roman" w:hAnsi="Times New Roman" w:cs="Times New Roman"/>
          <w:bCs/>
          <w:lang w:val="en-US" w:eastAsia="de-DE"/>
        </w:rPr>
        <w:t xml:space="preserve">, 0.1% TFA, eluent B: </w:t>
      </w:r>
      <w:r w:rsidR="0099676A" w:rsidRPr="00D85E87">
        <w:rPr>
          <w:rFonts w:ascii="Times New Roman" w:eastAsia="Times New Roman" w:hAnsi="Times New Roman" w:cs="Times New Roman"/>
          <w:bCs/>
          <w:lang w:val="en-US" w:eastAsia="de-DE"/>
        </w:rPr>
        <w:lastRenderedPageBreak/>
        <w:t>acetonitrile</w:t>
      </w:r>
      <w:r w:rsidR="00244934" w:rsidRPr="00D85E87">
        <w:rPr>
          <w:rFonts w:ascii="Times New Roman" w:eastAsia="Times New Roman" w:hAnsi="Times New Roman" w:cs="Times New Roman"/>
          <w:bCs/>
          <w:lang w:val="en-US" w:eastAsia="de-DE"/>
        </w:rPr>
        <w:t>;</w:t>
      </w:r>
      <w:r w:rsidR="00135900" w:rsidRPr="00D85E87">
        <w:rPr>
          <w:rFonts w:ascii="Times New Roman" w:eastAsia="Times New Roman" w:hAnsi="Times New Roman" w:cs="Times New Roman"/>
          <w:bCs/>
          <w:lang w:val="en-US" w:eastAsia="de-DE"/>
        </w:rPr>
        <w:t xml:space="preserve"> gradient from </w:t>
      </w:r>
      <w:r w:rsidR="00135900" w:rsidRPr="00D85E87">
        <w:rPr>
          <w:rFonts w:ascii="Times New Roman" w:eastAsia="Times New Roman" w:hAnsi="Times New Roman" w:cs="Times New Roman"/>
          <w:lang w:val="en-US" w:eastAsia="de-DE"/>
        </w:rPr>
        <w:t xml:space="preserve">5% B to 70% B within 15 </w:t>
      </w:r>
      <w:r w:rsidR="00135900" w:rsidRPr="00D85E87">
        <w:rPr>
          <w:rFonts w:ascii="Times New Roman" w:hAnsi="Times New Roman" w:cs="Times New Roman"/>
          <w:lang w:val="en-US"/>
        </w:rPr>
        <w:t>minutes</w:t>
      </w:r>
      <w:r w:rsidR="00135900" w:rsidRPr="00D85E87">
        <w:rPr>
          <w:rFonts w:ascii="Times New Roman" w:eastAsia="Times New Roman" w:hAnsi="Times New Roman" w:cs="Times New Roman"/>
          <w:lang w:val="en-US" w:eastAsia="de-DE"/>
        </w:rPr>
        <w:t>,</w:t>
      </w:r>
      <w:r w:rsidR="00135900" w:rsidRPr="00D85E87">
        <w:rPr>
          <w:rFonts w:ascii="Times New Roman" w:eastAsia="Times New Roman" w:hAnsi="Times New Roman" w:cs="Times New Roman"/>
          <w:bCs/>
          <w:lang w:val="en-US" w:eastAsia="de-DE"/>
        </w:rPr>
        <w:t xml:space="preserve"> flow rate 0.5 mL/min; detector: NaI (Raytest), DAD 230 nm</w:t>
      </w:r>
      <w:r w:rsidR="001464C3" w:rsidRPr="00D85E87">
        <w:rPr>
          <w:rFonts w:ascii="Times New Roman" w:eastAsia="Times New Roman" w:hAnsi="Times New Roman" w:cs="Times New Roman"/>
          <w:bCs/>
          <w:lang w:val="en-US" w:eastAsia="de-DE"/>
        </w:rPr>
        <w:t xml:space="preserve"> or a </w:t>
      </w:r>
      <w:r w:rsidR="00244934" w:rsidRPr="00D85E87">
        <w:rPr>
          <w:rFonts w:ascii="Times New Roman" w:eastAsia="Times New Roman" w:hAnsi="Times New Roman" w:cs="Times New Roman"/>
          <w:bCs/>
          <w:lang w:val="en-US" w:eastAsia="de-DE"/>
        </w:rPr>
        <w:t>XBridge C18 3.5 μm</w:t>
      </w:r>
      <w:r w:rsidR="0099676A" w:rsidRPr="00D85E87">
        <w:rPr>
          <w:rFonts w:ascii="Times New Roman" w:eastAsia="Times New Roman" w:hAnsi="Times New Roman" w:cs="Times New Roman"/>
          <w:bCs/>
          <w:lang w:val="en-US" w:eastAsia="de-DE"/>
        </w:rPr>
        <w:t>,</w:t>
      </w:r>
      <w:r w:rsidR="00244934" w:rsidRPr="00D85E87">
        <w:rPr>
          <w:rFonts w:ascii="Times New Roman" w:eastAsia="Times New Roman" w:hAnsi="Times New Roman" w:cs="Times New Roman"/>
          <w:bCs/>
          <w:lang w:val="en-US" w:eastAsia="de-DE"/>
        </w:rPr>
        <w:t xml:space="preserve"> 4.6x50 mm column; eluent A: </w:t>
      </w:r>
      <w:r w:rsidR="0099676A" w:rsidRPr="00D85E87">
        <w:rPr>
          <w:rFonts w:ascii="Times New Roman" w:eastAsia="Times New Roman" w:hAnsi="Times New Roman" w:cs="Times New Roman"/>
          <w:bCs/>
          <w:lang w:val="en-US" w:eastAsia="de-DE"/>
        </w:rPr>
        <w:t>water</w:t>
      </w:r>
      <w:r w:rsidR="00244934" w:rsidRPr="00D85E87">
        <w:rPr>
          <w:rFonts w:ascii="Times New Roman" w:eastAsia="Times New Roman" w:hAnsi="Times New Roman" w:cs="Times New Roman"/>
          <w:bCs/>
          <w:lang w:val="en-US" w:eastAsia="de-DE"/>
        </w:rPr>
        <w:t xml:space="preserve">, 0.1% TFA, eluent B: </w:t>
      </w:r>
      <w:r w:rsidR="0099676A" w:rsidRPr="00D85E87">
        <w:rPr>
          <w:rFonts w:ascii="Times New Roman" w:eastAsia="Times New Roman" w:hAnsi="Times New Roman" w:cs="Times New Roman"/>
          <w:bCs/>
          <w:lang w:val="en-US" w:eastAsia="de-DE"/>
        </w:rPr>
        <w:t>acetonitrile</w:t>
      </w:r>
      <w:r w:rsidR="00244934" w:rsidRPr="00D85E87">
        <w:rPr>
          <w:rFonts w:ascii="Times New Roman" w:eastAsia="Times New Roman" w:hAnsi="Times New Roman" w:cs="Times New Roman"/>
          <w:bCs/>
          <w:lang w:val="en-US" w:eastAsia="de-DE"/>
        </w:rPr>
        <w:t xml:space="preserve">, 0.1% TFA; gradient from </w:t>
      </w:r>
      <w:r w:rsidR="00244934" w:rsidRPr="00D85E87">
        <w:rPr>
          <w:rFonts w:ascii="Times New Roman" w:eastAsia="Times New Roman" w:hAnsi="Times New Roman" w:cs="Times New Roman"/>
          <w:lang w:val="en-US" w:eastAsia="de-DE"/>
        </w:rPr>
        <w:t xml:space="preserve">5% B to 20% B within 1 </w:t>
      </w:r>
      <w:r w:rsidR="00244934" w:rsidRPr="00D85E87">
        <w:rPr>
          <w:rFonts w:ascii="Times New Roman" w:hAnsi="Times New Roman" w:cs="Times New Roman"/>
          <w:lang w:val="en-US"/>
        </w:rPr>
        <w:t>minute</w:t>
      </w:r>
      <w:r w:rsidR="00244934" w:rsidRPr="00D85E87">
        <w:rPr>
          <w:rFonts w:ascii="Times New Roman" w:eastAsia="Times New Roman" w:hAnsi="Times New Roman" w:cs="Times New Roman"/>
          <w:lang w:val="en-US" w:eastAsia="de-DE"/>
        </w:rPr>
        <w:t xml:space="preserve">, </w:t>
      </w:r>
      <w:r w:rsidR="001F5D04" w:rsidRPr="00D85E87">
        <w:rPr>
          <w:rFonts w:ascii="Times New Roman" w:eastAsia="Times New Roman" w:hAnsi="Times New Roman" w:cs="Times New Roman"/>
          <w:lang w:val="en-US" w:eastAsia="de-DE"/>
        </w:rPr>
        <w:t xml:space="preserve">then </w:t>
      </w:r>
      <w:r w:rsidR="001F5D04" w:rsidRPr="00D85E87">
        <w:rPr>
          <w:rFonts w:ascii="Times New Roman" w:eastAsia="Times New Roman" w:hAnsi="Times New Roman" w:cs="Times New Roman"/>
          <w:bCs/>
          <w:lang w:val="en-US" w:eastAsia="de-DE"/>
        </w:rPr>
        <w:t xml:space="preserve">from </w:t>
      </w:r>
      <w:r w:rsidR="001F5D04" w:rsidRPr="00D85E87">
        <w:rPr>
          <w:rFonts w:ascii="Times New Roman" w:eastAsia="Times New Roman" w:hAnsi="Times New Roman" w:cs="Times New Roman"/>
          <w:lang w:val="en-US" w:eastAsia="de-DE"/>
        </w:rPr>
        <w:t xml:space="preserve">20% B to 50% B within 7 </w:t>
      </w:r>
      <w:r w:rsidR="001F5D04" w:rsidRPr="00D85E87">
        <w:rPr>
          <w:rFonts w:ascii="Times New Roman" w:hAnsi="Times New Roman" w:cs="Times New Roman"/>
          <w:lang w:val="en-US"/>
        </w:rPr>
        <w:t>minutes;</w:t>
      </w:r>
      <w:r w:rsidR="00244934" w:rsidRPr="00D85E87">
        <w:rPr>
          <w:rFonts w:ascii="Times New Roman" w:eastAsia="Times New Roman" w:hAnsi="Times New Roman" w:cs="Times New Roman"/>
          <w:lang w:val="en-US" w:eastAsia="de-DE"/>
        </w:rPr>
        <w:t xml:space="preserve"> </w:t>
      </w:r>
      <w:r w:rsidR="00244934" w:rsidRPr="00D85E87">
        <w:rPr>
          <w:rFonts w:ascii="Times New Roman" w:eastAsia="Times New Roman" w:hAnsi="Times New Roman" w:cs="Times New Roman"/>
          <w:bCs/>
          <w:lang w:val="en-US" w:eastAsia="de-DE"/>
        </w:rPr>
        <w:t>flow rate 1.5 mL/min; detector: NaI (Raytest), DAD 220 nm</w:t>
      </w:r>
      <w:r w:rsidR="00135900" w:rsidRPr="00D85E87">
        <w:rPr>
          <w:rFonts w:ascii="Times New Roman" w:eastAsia="Times New Roman" w:hAnsi="Times New Roman" w:cs="Times New Roman"/>
          <w:bCs/>
          <w:lang w:val="en-US" w:eastAsia="de-DE"/>
        </w:rPr>
        <w:t>. The peak eluting with the dead volume represents free radionuclide, the peak eluting with the peptide-specific retention time as determined with an unlabeled sample represents radiolabeled compound. Radiochemical purity was ≥90% at the end of synthesis.</w:t>
      </w:r>
    </w:p>
    <w:p w14:paraId="4C45E125" w14:textId="29C7925D" w:rsidR="00752638" w:rsidRPr="00D85E87" w:rsidRDefault="009C1CA0" w:rsidP="00D85E87">
      <w:pPr>
        <w:tabs>
          <w:tab w:val="left" w:pos="709"/>
        </w:tabs>
        <w:spacing w:line="240" w:lineRule="auto"/>
        <w:rPr>
          <w:rFonts w:ascii="Times New Roman" w:hAnsi="Times New Roman" w:cs="Times New Roman"/>
          <w:b/>
          <w:lang w:val="en-US"/>
        </w:rPr>
      </w:pPr>
      <w:r w:rsidRPr="00D85E87">
        <w:rPr>
          <w:rFonts w:ascii="Times New Roman" w:hAnsi="Times New Roman" w:cs="Times New Roman"/>
          <w:b/>
          <w:lang w:val="en-US"/>
        </w:rPr>
        <w:t>Animal housing and handling</w:t>
      </w:r>
    </w:p>
    <w:p w14:paraId="6846C0F7" w14:textId="62F3D7D7" w:rsidR="009C1CA0" w:rsidRPr="00D85E87" w:rsidRDefault="007051E9" w:rsidP="00D85E87">
      <w:pPr>
        <w:tabs>
          <w:tab w:val="left" w:pos="709"/>
        </w:tabs>
        <w:spacing w:line="240" w:lineRule="auto"/>
        <w:rPr>
          <w:rFonts w:ascii="Times New Roman" w:hAnsi="Times New Roman" w:cs="Times New Roman"/>
          <w:lang w:val="en-US"/>
        </w:rPr>
      </w:pPr>
      <w:r>
        <w:rPr>
          <w:rFonts w:ascii="Times New Roman" w:hAnsi="Times New Roman" w:cs="Times New Roman"/>
          <w:lang w:val="en-US"/>
        </w:rPr>
        <w:t>S</w:t>
      </w:r>
      <w:r w:rsidR="00125FCE" w:rsidRPr="00D85E87">
        <w:rPr>
          <w:rFonts w:ascii="Times New Roman" w:hAnsi="Times New Roman" w:cs="Times New Roman"/>
          <w:lang w:val="en-US"/>
        </w:rPr>
        <w:t xml:space="preserve">tudies </w:t>
      </w:r>
      <w:r w:rsidR="001E17E7" w:rsidRPr="00D85E87">
        <w:rPr>
          <w:rFonts w:ascii="Times New Roman" w:hAnsi="Times New Roman" w:cs="Times New Roman"/>
          <w:lang w:val="en-US"/>
        </w:rPr>
        <w:t>with</w:t>
      </w:r>
      <w:r w:rsidR="00125FCE" w:rsidRPr="00D85E87">
        <w:rPr>
          <w:rFonts w:ascii="Times New Roman" w:hAnsi="Times New Roman" w:cs="Times New Roman"/>
          <w:lang w:val="en-US"/>
        </w:rPr>
        <w:t xml:space="preserve"> </w:t>
      </w:r>
      <w:r w:rsidR="00125FCE" w:rsidRPr="00D85E87">
        <w:rPr>
          <w:rFonts w:ascii="Times New Roman" w:hAnsi="Times New Roman" w:cs="Times New Roman"/>
          <w:bCs/>
          <w:vertAlign w:val="superscript"/>
          <w:lang w:val="en-US"/>
        </w:rPr>
        <w:t>177</w:t>
      </w:r>
      <w:r w:rsidR="00125FCE" w:rsidRPr="00D85E87">
        <w:rPr>
          <w:rFonts w:ascii="Times New Roman" w:hAnsi="Times New Roman" w:cs="Times New Roman"/>
          <w:bCs/>
          <w:lang w:val="en-US"/>
        </w:rPr>
        <w:t>Lu labeled FAP-228</w:t>
      </w:r>
      <w:r>
        <w:rPr>
          <w:rFonts w:ascii="Times New Roman" w:hAnsi="Times New Roman" w:cs="Times New Roman"/>
          <w:bCs/>
          <w:lang w:val="en-US"/>
        </w:rPr>
        <w:t>7</w:t>
      </w:r>
      <w:r w:rsidR="00125FCE" w:rsidRPr="00D85E87">
        <w:rPr>
          <w:rFonts w:ascii="Times New Roman" w:hAnsi="Times New Roman" w:cs="Times New Roman"/>
          <w:bCs/>
          <w:lang w:val="en-US"/>
        </w:rPr>
        <w:t xml:space="preserve"> and </w:t>
      </w:r>
      <w:r>
        <w:rPr>
          <w:rFonts w:ascii="Times New Roman" w:hAnsi="Times New Roman" w:cs="Times New Roman"/>
          <w:bCs/>
          <w:lang w:val="en-US"/>
        </w:rPr>
        <w:t>anti-PD-1 antibody</w:t>
      </w:r>
      <w:r w:rsidR="00125FCE" w:rsidRPr="00D85E87">
        <w:rPr>
          <w:rFonts w:ascii="Times New Roman" w:hAnsi="Times New Roman" w:cs="Times New Roman"/>
          <w:bCs/>
          <w:lang w:val="en-US"/>
        </w:rPr>
        <w:t xml:space="preserve"> </w:t>
      </w:r>
      <w:r w:rsidR="001E17E7" w:rsidRPr="00D85E87">
        <w:rPr>
          <w:rFonts w:ascii="Times New Roman" w:hAnsi="Times New Roman" w:cs="Times New Roman"/>
          <w:bCs/>
          <w:lang w:val="en-US"/>
        </w:rPr>
        <w:t>were performed</w:t>
      </w:r>
      <w:r w:rsidR="00125FCE" w:rsidRPr="00D85E87">
        <w:rPr>
          <w:rFonts w:ascii="Times New Roman" w:hAnsi="Times New Roman" w:cs="Times New Roman"/>
          <w:bCs/>
          <w:lang w:val="en-US"/>
        </w:rPr>
        <w:t xml:space="preserve"> at Minerva Imaging ApS, Denmark using female </w:t>
      </w:r>
      <w:r>
        <w:rPr>
          <w:rFonts w:ascii="Times New Roman" w:hAnsi="Times New Roman" w:cs="Times New Roman"/>
          <w:bCs/>
          <w:lang w:val="en-US"/>
        </w:rPr>
        <w:t>C57BL/6</w:t>
      </w:r>
      <w:r w:rsidR="00125FCE" w:rsidRPr="00D85E87">
        <w:rPr>
          <w:rFonts w:ascii="Times New Roman" w:hAnsi="Times New Roman" w:cs="Times New Roman"/>
          <w:bCs/>
          <w:lang w:val="en-US"/>
        </w:rPr>
        <w:t xml:space="preserve"> mice (Charles River Laboratories, Germany).</w:t>
      </w:r>
      <w:r w:rsidR="001E17E7" w:rsidRPr="00D85E87">
        <w:rPr>
          <w:rFonts w:ascii="Times New Roman" w:hAnsi="Times New Roman" w:cs="Times New Roman"/>
          <w:bCs/>
          <w:lang w:val="en-US"/>
        </w:rPr>
        <w:t xml:space="preserve"> For all experiments</w:t>
      </w:r>
      <w:r w:rsidR="009F63D1" w:rsidRPr="00D85E87">
        <w:rPr>
          <w:rFonts w:ascii="Times New Roman" w:hAnsi="Times New Roman" w:cs="Times New Roman"/>
          <w:lang w:val="en-US"/>
        </w:rPr>
        <w:t xml:space="preserve"> </w:t>
      </w:r>
      <w:r w:rsidR="001E17E7" w:rsidRPr="00D85E87">
        <w:rPr>
          <w:rFonts w:ascii="Times New Roman" w:hAnsi="Times New Roman" w:cs="Times New Roman"/>
          <w:lang w:val="en-US"/>
        </w:rPr>
        <w:t>a</w:t>
      </w:r>
      <w:r w:rsidR="009F63D1" w:rsidRPr="00D85E87">
        <w:rPr>
          <w:rFonts w:ascii="Times New Roman" w:hAnsi="Times New Roman" w:cs="Times New Roman"/>
          <w:lang w:val="en-US"/>
        </w:rPr>
        <w:t xml:space="preserve">nimals were ordered with an age of approximately 6 weeks. Animals were allowed an acclimatization period of at least one week prior to inoculation. Animals were housed in an animal room with </w:t>
      </w:r>
      <w:r w:rsidR="00785938" w:rsidRPr="00D85E87">
        <w:rPr>
          <w:rFonts w:ascii="Times New Roman" w:hAnsi="Times New Roman" w:cs="Times New Roman"/>
          <w:lang w:val="en-US"/>
        </w:rPr>
        <w:t>12 hours light and 12 hours darkness</w:t>
      </w:r>
      <w:r w:rsidR="00125FCE" w:rsidRPr="00D85E87">
        <w:rPr>
          <w:rFonts w:ascii="Times New Roman" w:hAnsi="Times New Roman" w:cs="Times New Roman"/>
          <w:lang w:val="en-US"/>
        </w:rPr>
        <w:t xml:space="preserve"> with free access to food and water. </w:t>
      </w:r>
      <w:r w:rsidR="00785938" w:rsidRPr="00D85E87">
        <w:rPr>
          <w:rFonts w:ascii="Times New Roman" w:hAnsi="Times New Roman" w:cs="Times New Roman"/>
          <w:lang w:val="en-US"/>
        </w:rPr>
        <w:t>A maximum number of 5 animals were housed in the same cage, cages were equipped with nesting material and plastic or paper houses for hiding. Each cage was labeled with study ID, group and animal numbers and test compound.</w:t>
      </w:r>
      <w:r w:rsidR="00385C3B" w:rsidRPr="00D85E87">
        <w:rPr>
          <w:rFonts w:ascii="Times New Roman" w:hAnsi="Times New Roman" w:cs="Times New Roman"/>
          <w:lang w:val="en-US"/>
        </w:rPr>
        <w:t xml:space="preserve"> For efficacy studies animals were randomized according to tumor size. </w:t>
      </w:r>
      <w:r w:rsidR="00864204" w:rsidRPr="00D85E87">
        <w:rPr>
          <w:rFonts w:ascii="Times New Roman" w:hAnsi="Times New Roman" w:cs="Times New Roman"/>
          <w:lang w:val="en-US"/>
        </w:rPr>
        <w:t xml:space="preserve">Animals were checked daily for any signs of illness or abnormal behavior. </w:t>
      </w:r>
      <w:r w:rsidR="00385C3B" w:rsidRPr="00D85E87">
        <w:rPr>
          <w:rFonts w:ascii="Times New Roman" w:hAnsi="Times New Roman" w:cs="Times New Roman"/>
          <w:lang w:val="en-US"/>
        </w:rPr>
        <w:t>Main h</w:t>
      </w:r>
      <w:r w:rsidR="00864204" w:rsidRPr="00D85E87">
        <w:rPr>
          <w:rFonts w:ascii="Times New Roman" w:hAnsi="Times New Roman" w:cs="Times New Roman"/>
          <w:lang w:val="en-US"/>
        </w:rPr>
        <w:t xml:space="preserve">umane endpoints were </w:t>
      </w:r>
      <w:r w:rsidR="008B1B9E" w:rsidRPr="00D85E87">
        <w:rPr>
          <w:rFonts w:ascii="Times New Roman" w:hAnsi="Times New Roman" w:cs="Times New Roman"/>
          <w:lang w:val="en-US"/>
        </w:rPr>
        <w:t>defined as tumor volumes &gt;1500 mm</w:t>
      </w:r>
      <w:r w:rsidR="008B1B9E" w:rsidRPr="00D85E87">
        <w:rPr>
          <w:rFonts w:ascii="Times New Roman" w:hAnsi="Times New Roman" w:cs="Times New Roman"/>
          <w:vertAlign w:val="superscript"/>
          <w:lang w:val="en-US"/>
        </w:rPr>
        <w:t>3</w:t>
      </w:r>
      <w:r w:rsidR="008B1B9E" w:rsidRPr="00D85E87">
        <w:rPr>
          <w:rFonts w:ascii="Times New Roman" w:hAnsi="Times New Roman" w:cs="Times New Roman"/>
          <w:lang w:val="en-US"/>
        </w:rPr>
        <w:t xml:space="preserve">, tumor burden &gt;10% of animal weight, body weight loss &gt;15% and tumor </w:t>
      </w:r>
      <w:r w:rsidR="003949EA" w:rsidRPr="00D85E87">
        <w:rPr>
          <w:rFonts w:ascii="Times New Roman" w:hAnsi="Times New Roman" w:cs="Times New Roman"/>
          <w:lang w:val="en-US"/>
        </w:rPr>
        <w:t>ulceration</w:t>
      </w:r>
      <w:r w:rsidR="008B1B9E" w:rsidRPr="00D85E87">
        <w:rPr>
          <w:rFonts w:ascii="Times New Roman" w:hAnsi="Times New Roman" w:cs="Times New Roman"/>
          <w:lang w:val="en-US"/>
        </w:rPr>
        <w:t xml:space="preserve">. When reaching one of these criteria the animal was </w:t>
      </w:r>
      <w:r w:rsidR="003949EA" w:rsidRPr="00D85E87">
        <w:rPr>
          <w:rFonts w:ascii="Times New Roman" w:hAnsi="Times New Roman" w:cs="Times New Roman"/>
          <w:lang w:val="en-US"/>
        </w:rPr>
        <w:t>sacrificed</w:t>
      </w:r>
      <w:r w:rsidR="008B1B9E" w:rsidRPr="00D85E87">
        <w:rPr>
          <w:rFonts w:ascii="Times New Roman" w:hAnsi="Times New Roman" w:cs="Times New Roman"/>
          <w:lang w:val="en-US"/>
        </w:rPr>
        <w:t xml:space="preserve"> by cervical dislocation</w:t>
      </w:r>
      <w:r w:rsidR="008B1B9E" w:rsidRPr="00E027CA">
        <w:rPr>
          <w:rFonts w:ascii="Times New Roman" w:hAnsi="Times New Roman" w:cs="Times New Roman"/>
          <w:lang w:val="en-US"/>
        </w:rPr>
        <w:t>.</w:t>
      </w:r>
      <w:r w:rsidR="0016611D" w:rsidRPr="00E027CA">
        <w:rPr>
          <w:rFonts w:ascii="Times New Roman" w:hAnsi="Times New Roman" w:cs="Times New Roman"/>
          <w:lang w:val="en-US"/>
        </w:rPr>
        <w:t xml:space="preserve"> </w:t>
      </w:r>
      <w:r w:rsidR="0016611D" w:rsidRPr="00D85E87">
        <w:rPr>
          <w:rFonts w:ascii="Times New Roman" w:hAnsi="Times New Roman" w:cs="Times New Roman"/>
          <w:lang w:val="en-US"/>
        </w:rPr>
        <w:t>All animal experiments were approved by the National Animal Experiments Inspectorate under the Ministry of Environment and Food of Denmark.</w:t>
      </w:r>
    </w:p>
    <w:p w14:paraId="77445738" w14:textId="77777777" w:rsidR="00135900" w:rsidRPr="00D85E87" w:rsidRDefault="00135900" w:rsidP="00D85E87">
      <w:pPr>
        <w:spacing w:line="240" w:lineRule="auto"/>
        <w:rPr>
          <w:rFonts w:ascii="Times New Roman" w:hAnsi="Times New Roman" w:cs="Times New Roman"/>
          <w:b/>
          <w:bCs/>
          <w:lang w:val="en-US"/>
        </w:rPr>
      </w:pPr>
      <w:bookmarkStart w:id="6" w:name="_Hlk70415025"/>
      <w:r w:rsidRPr="00D85E87">
        <w:rPr>
          <w:rFonts w:ascii="Times New Roman" w:hAnsi="Times New Roman" w:cs="Times New Roman"/>
          <w:b/>
          <w:bCs/>
          <w:i/>
          <w:lang w:val="en-US"/>
        </w:rPr>
        <w:t>In vivo</w:t>
      </w:r>
      <w:r w:rsidRPr="00D85E87">
        <w:rPr>
          <w:rFonts w:ascii="Times New Roman" w:hAnsi="Times New Roman" w:cs="Times New Roman"/>
          <w:b/>
          <w:bCs/>
          <w:lang w:val="en-US"/>
        </w:rPr>
        <w:t xml:space="preserve"> biodistribution</w:t>
      </w:r>
    </w:p>
    <w:p w14:paraId="46C469C7" w14:textId="0E746228" w:rsidR="00E73A38" w:rsidRPr="00432BD9"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Imaging and image analysis were performed as described</w:t>
      </w:r>
      <w:r w:rsidR="00A40159" w:rsidRPr="00D85E87">
        <w:rPr>
          <w:rFonts w:ascii="Times New Roman" w:hAnsi="Times New Roman" w:cs="Times New Roman"/>
          <w:lang w:val="en-US"/>
        </w:rPr>
        <w:t xml:space="preserve">. During the scan, mice were kept under isoflurane anesthesia, and body temperature was maintained under warm air. </w:t>
      </w:r>
      <w:r w:rsidRPr="00D85E87">
        <w:rPr>
          <w:rFonts w:ascii="Times New Roman" w:hAnsi="Times New Roman" w:cs="Times New Roman"/>
          <w:lang w:val="en-US"/>
        </w:rPr>
        <w:t>The following acquisition parameters were used for the respective imaging modality.</w:t>
      </w:r>
      <w:bookmarkEnd w:id="6"/>
    </w:p>
    <w:p w14:paraId="35B7971C" w14:textId="684C18A2" w:rsidR="003879F4" w:rsidRPr="00D85E87" w:rsidRDefault="003879F4" w:rsidP="00D85E87">
      <w:pPr>
        <w:spacing w:line="240" w:lineRule="auto"/>
        <w:rPr>
          <w:rFonts w:ascii="Times New Roman" w:hAnsi="Times New Roman" w:cs="Times New Roman"/>
          <w:lang w:val="en-US"/>
        </w:rPr>
      </w:pPr>
      <w:r w:rsidRPr="00D85E87">
        <w:rPr>
          <w:rFonts w:ascii="Times New Roman" w:hAnsi="Times New Roman" w:cs="Times New Roman"/>
          <w:lang w:val="en-US"/>
        </w:rPr>
        <w:t xml:space="preserve">NanoSPECT/CT (Mediso), </w:t>
      </w:r>
      <w:r w:rsidRPr="00D85E87">
        <w:rPr>
          <w:rFonts w:ascii="Times New Roman" w:hAnsi="Times New Roman" w:cs="Times New Roman"/>
          <w:vertAlign w:val="superscript"/>
          <w:lang w:val="en-US"/>
        </w:rPr>
        <w:t>177</w:t>
      </w:r>
      <w:r w:rsidRPr="00D85E87">
        <w:rPr>
          <w:rFonts w:ascii="Times New Roman" w:hAnsi="Times New Roman" w:cs="Times New Roman"/>
          <w:lang w:val="en-US"/>
        </w:rPr>
        <w:t>Lu-Imaging</w:t>
      </w:r>
    </w:p>
    <w:tbl>
      <w:tblPr>
        <w:tblW w:w="0" w:type="auto"/>
        <w:tblInd w:w="134" w:type="dxa"/>
        <w:tblLayout w:type="fixed"/>
        <w:tblCellMar>
          <w:left w:w="0" w:type="dxa"/>
          <w:right w:w="0" w:type="dxa"/>
        </w:tblCellMar>
        <w:tblLook w:val="0000" w:firstRow="0" w:lastRow="0" w:firstColumn="0" w:lastColumn="0" w:noHBand="0" w:noVBand="0"/>
      </w:tblPr>
      <w:tblGrid>
        <w:gridCol w:w="3998"/>
        <w:gridCol w:w="1541"/>
        <w:gridCol w:w="1541"/>
        <w:gridCol w:w="1531"/>
        <w:gridCol w:w="10"/>
      </w:tblGrid>
      <w:tr w:rsidR="003879F4" w:rsidRPr="003879F4" w14:paraId="42F52A43" w14:textId="77777777" w:rsidTr="00FB3E38">
        <w:trPr>
          <w:gridAfter w:val="1"/>
          <w:wAfter w:w="10" w:type="dxa"/>
          <w:trHeight w:hRule="exact" w:val="360"/>
        </w:trPr>
        <w:tc>
          <w:tcPr>
            <w:tcW w:w="8611" w:type="dxa"/>
            <w:gridSpan w:val="4"/>
            <w:tcBorders>
              <w:top w:val="single" w:sz="4" w:space="0" w:color="000000"/>
              <w:left w:val="single" w:sz="6" w:space="0" w:color="000000"/>
              <w:bottom w:val="single" w:sz="4" w:space="0" w:color="000000"/>
              <w:right w:val="single" w:sz="6" w:space="0" w:color="000000"/>
            </w:tcBorders>
            <w:shd w:val="clear" w:color="auto" w:fill="auto"/>
            <w:noWrap/>
          </w:tcPr>
          <w:p w14:paraId="75A7D722" w14:textId="565B6198" w:rsidR="003879F4" w:rsidRPr="003879F4" w:rsidRDefault="002504EC" w:rsidP="00FB3E38">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Aquisition parameters SPECT</w:t>
            </w:r>
          </w:p>
        </w:tc>
      </w:tr>
      <w:tr w:rsidR="003879F4" w:rsidRPr="003879F4" w14:paraId="3097BE1F"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5263305E"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Animals per bed</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424372CB"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3</w:t>
            </w:r>
          </w:p>
        </w:tc>
      </w:tr>
      <w:tr w:rsidR="003879F4" w:rsidRPr="003879F4" w14:paraId="0AC7A0DF"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48658613"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Type of SPECT scanning</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79D5666F"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Multi-pinhole</w:t>
            </w:r>
          </w:p>
        </w:tc>
      </w:tr>
      <w:tr w:rsidR="003879F4" w:rsidRPr="00745EC6" w14:paraId="5FE11ECE"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3E79228E" w14:textId="33BD5AC9" w:rsidR="003879F4" w:rsidRPr="003879F4" w:rsidRDefault="003879F4" w:rsidP="00FB3E38">
            <w:pPr>
              <w:spacing w:line="240" w:lineRule="auto"/>
              <w:rPr>
                <w:rFonts w:ascii="Times New Roman" w:hAnsi="Times New Roman" w:cs="Times New Roman"/>
                <w:sz w:val="20"/>
                <w:szCs w:val="20"/>
              </w:rPr>
            </w:pPr>
            <w:r>
              <w:rPr>
                <w:rFonts w:ascii="Times New Roman" w:hAnsi="Times New Roman" w:cs="Times New Roman"/>
                <w:sz w:val="20"/>
                <w:szCs w:val="20"/>
              </w:rPr>
              <w:t>Time per projection</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482F767B" w14:textId="318A4C6D" w:rsidR="003879F4" w:rsidRPr="00104D70" w:rsidRDefault="003879F4" w:rsidP="00FB3E38">
            <w:pPr>
              <w:spacing w:line="240" w:lineRule="auto"/>
              <w:rPr>
                <w:rFonts w:ascii="Times New Roman" w:hAnsi="Times New Roman" w:cs="Times New Roman"/>
                <w:sz w:val="20"/>
                <w:szCs w:val="20"/>
                <w:lang w:val="en-GB"/>
              </w:rPr>
            </w:pPr>
            <w:r w:rsidRPr="00104D70">
              <w:rPr>
                <w:rFonts w:ascii="Times New Roman" w:hAnsi="Times New Roman" w:cs="Times New Roman"/>
                <w:sz w:val="20"/>
                <w:szCs w:val="20"/>
                <w:lang w:val="en-GB"/>
              </w:rPr>
              <w:t>30s (3h), 60s (24h and 48h),</w:t>
            </w:r>
            <w:r>
              <w:rPr>
                <w:rFonts w:ascii="Times New Roman" w:hAnsi="Times New Roman" w:cs="Times New Roman"/>
                <w:sz w:val="20"/>
                <w:szCs w:val="20"/>
                <w:lang w:val="en-GB"/>
              </w:rPr>
              <w:t xml:space="preserve"> 120</w:t>
            </w:r>
            <w:r w:rsidRPr="00104D70">
              <w:rPr>
                <w:rFonts w:ascii="Times New Roman" w:hAnsi="Times New Roman" w:cs="Times New Roman"/>
                <w:sz w:val="20"/>
                <w:szCs w:val="20"/>
                <w:lang w:val="en-GB"/>
              </w:rPr>
              <w:t>s (72h</w:t>
            </w:r>
            <w:r>
              <w:rPr>
                <w:rFonts w:ascii="Times New Roman" w:hAnsi="Times New Roman" w:cs="Times New Roman"/>
                <w:sz w:val="20"/>
                <w:szCs w:val="20"/>
                <w:lang w:val="en-GB"/>
              </w:rPr>
              <w:t>)</w:t>
            </w:r>
          </w:p>
        </w:tc>
      </w:tr>
      <w:tr w:rsidR="003879F4" w:rsidRPr="003879F4" w14:paraId="5F0A8A32"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277337E5"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Energy windows (keV)</w:t>
            </w:r>
          </w:p>
        </w:tc>
        <w:tc>
          <w:tcPr>
            <w:tcW w:w="3082" w:type="dxa"/>
            <w:gridSpan w:val="2"/>
            <w:tcBorders>
              <w:top w:val="single" w:sz="4" w:space="0" w:color="000000"/>
              <w:left w:val="single" w:sz="4" w:space="0" w:color="000000"/>
              <w:bottom w:val="single" w:sz="4" w:space="0" w:color="000000"/>
              <w:right w:val="single" w:sz="4" w:space="0" w:color="000000"/>
            </w:tcBorders>
            <w:noWrap/>
          </w:tcPr>
          <w:p w14:paraId="0A341E77" w14:textId="77777777" w:rsidR="003879F4" w:rsidRPr="003879F4" w:rsidRDefault="003879F4" w:rsidP="00FB3E38">
            <w:pPr>
              <w:spacing w:line="240" w:lineRule="auto"/>
              <w:jc w:val="center"/>
              <w:rPr>
                <w:rFonts w:ascii="Times New Roman" w:hAnsi="Times New Roman" w:cs="Times New Roman"/>
                <w:sz w:val="20"/>
                <w:szCs w:val="20"/>
              </w:rPr>
            </w:pPr>
            <w:r w:rsidRPr="003879F4">
              <w:rPr>
                <w:rFonts w:ascii="Times New Roman" w:hAnsi="Times New Roman" w:cs="Times New Roman"/>
                <w:sz w:val="20"/>
                <w:szCs w:val="20"/>
              </w:rPr>
              <w:t>Peaks (keV)</w:t>
            </w:r>
          </w:p>
        </w:tc>
        <w:tc>
          <w:tcPr>
            <w:tcW w:w="1541" w:type="dxa"/>
            <w:gridSpan w:val="2"/>
            <w:tcBorders>
              <w:top w:val="single" w:sz="4" w:space="0" w:color="000000"/>
              <w:left w:val="single" w:sz="4" w:space="0" w:color="000000"/>
              <w:bottom w:val="single" w:sz="4" w:space="0" w:color="000000"/>
              <w:right w:val="single" w:sz="4" w:space="0" w:color="000000"/>
            </w:tcBorders>
            <w:noWrap/>
          </w:tcPr>
          <w:p w14:paraId="0C817FA5"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Full width (%)</w:t>
            </w:r>
          </w:p>
        </w:tc>
      </w:tr>
      <w:tr w:rsidR="00FB3E38" w:rsidRPr="003879F4" w14:paraId="76C48AD3"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32649547" w14:textId="77777777" w:rsidR="003879F4" w:rsidRPr="003879F4" w:rsidRDefault="003879F4" w:rsidP="00FB3E38">
            <w:pPr>
              <w:spacing w:line="240" w:lineRule="auto"/>
              <w:rPr>
                <w:rFonts w:ascii="Times New Roman" w:hAnsi="Times New Roman" w:cs="Times New Roman"/>
                <w:sz w:val="20"/>
                <w:szCs w:val="20"/>
              </w:rPr>
            </w:pPr>
          </w:p>
        </w:tc>
        <w:tc>
          <w:tcPr>
            <w:tcW w:w="1541" w:type="dxa"/>
            <w:tcBorders>
              <w:top w:val="single" w:sz="4" w:space="0" w:color="000000"/>
              <w:left w:val="single" w:sz="4" w:space="0" w:color="000000"/>
              <w:bottom w:val="single" w:sz="4" w:space="0" w:color="000000"/>
              <w:right w:val="single" w:sz="4" w:space="0" w:color="000000"/>
            </w:tcBorders>
            <w:noWrap/>
          </w:tcPr>
          <w:p w14:paraId="57BF9AF6"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Primary</w:t>
            </w:r>
          </w:p>
        </w:tc>
        <w:tc>
          <w:tcPr>
            <w:tcW w:w="1541" w:type="dxa"/>
            <w:tcBorders>
              <w:top w:val="single" w:sz="4" w:space="0" w:color="000000"/>
              <w:left w:val="single" w:sz="4" w:space="0" w:color="000000"/>
              <w:bottom w:val="single" w:sz="4" w:space="0" w:color="000000"/>
              <w:right w:val="single" w:sz="4" w:space="0" w:color="000000"/>
            </w:tcBorders>
            <w:noWrap/>
          </w:tcPr>
          <w:p w14:paraId="6CA8A4DC"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208.4</w:t>
            </w:r>
          </w:p>
        </w:tc>
        <w:tc>
          <w:tcPr>
            <w:tcW w:w="1541" w:type="dxa"/>
            <w:gridSpan w:val="2"/>
            <w:tcBorders>
              <w:top w:val="single" w:sz="4" w:space="0" w:color="000000"/>
              <w:left w:val="single" w:sz="4" w:space="0" w:color="000000"/>
              <w:bottom w:val="single" w:sz="4" w:space="0" w:color="000000"/>
              <w:right w:val="single" w:sz="4" w:space="0" w:color="000000"/>
            </w:tcBorders>
            <w:noWrap/>
          </w:tcPr>
          <w:p w14:paraId="1CC96F6E"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20%</w:t>
            </w:r>
          </w:p>
        </w:tc>
      </w:tr>
      <w:tr w:rsidR="00FB3E38" w:rsidRPr="003879F4" w14:paraId="5AD22661" w14:textId="77777777" w:rsidTr="00FB3E38">
        <w:trPr>
          <w:trHeight w:hRule="exact" w:val="360"/>
        </w:trPr>
        <w:tc>
          <w:tcPr>
            <w:tcW w:w="3998" w:type="dxa"/>
            <w:tcBorders>
              <w:top w:val="nil"/>
              <w:left w:val="single" w:sz="4" w:space="0" w:color="000000"/>
              <w:bottom w:val="single" w:sz="4" w:space="0" w:color="000000"/>
              <w:right w:val="single" w:sz="4" w:space="0" w:color="000000"/>
            </w:tcBorders>
            <w:noWrap/>
          </w:tcPr>
          <w:p w14:paraId="6D0EC5DF" w14:textId="77777777" w:rsidR="003879F4" w:rsidRPr="003879F4" w:rsidRDefault="003879F4" w:rsidP="00FB3E38">
            <w:pPr>
              <w:spacing w:line="240" w:lineRule="auto"/>
              <w:rPr>
                <w:rFonts w:ascii="Times New Roman" w:hAnsi="Times New Roman" w:cs="Times New Roman"/>
                <w:sz w:val="20"/>
                <w:szCs w:val="20"/>
              </w:rPr>
            </w:pPr>
          </w:p>
        </w:tc>
        <w:tc>
          <w:tcPr>
            <w:tcW w:w="1541" w:type="dxa"/>
            <w:tcBorders>
              <w:top w:val="single" w:sz="4" w:space="0" w:color="000000"/>
              <w:left w:val="single" w:sz="4" w:space="0" w:color="000000"/>
              <w:bottom w:val="single" w:sz="4" w:space="0" w:color="000000"/>
              <w:right w:val="single" w:sz="4" w:space="0" w:color="000000"/>
            </w:tcBorders>
            <w:noWrap/>
          </w:tcPr>
          <w:p w14:paraId="6AC9FAB7"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Secondary</w:t>
            </w:r>
          </w:p>
        </w:tc>
        <w:tc>
          <w:tcPr>
            <w:tcW w:w="1541" w:type="dxa"/>
            <w:tcBorders>
              <w:top w:val="single" w:sz="4" w:space="0" w:color="000000"/>
              <w:left w:val="single" w:sz="4" w:space="0" w:color="000000"/>
              <w:bottom w:val="single" w:sz="4" w:space="0" w:color="000000"/>
              <w:right w:val="single" w:sz="4" w:space="0" w:color="000000"/>
            </w:tcBorders>
            <w:noWrap/>
          </w:tcPr>
          <w:p w14:paraId="61A41E50"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112.9</w:t>
            </w:r>
          </w:p>
        </w:tc>
        <w:tc>
          <w:tcPr>
            <w:tcW w:w="1541" w:type="dxa"/>
            <w:gridSpan w:val="2"/>
            <w:tcBorders>
              <w:top w:val="single" w:sz="4" w:space="0" w:color="000000"/>
              <w:left w:val="single" w:sz="4" w:space="0" w:color="000000"/>
              <w:bottom w:val="single" w:sz="4" w:space="0" w:color="000000"/>
              <w:right w:val="single" w:sz="4" w:space="0" w:color="000000"/>
            </w:tcBorders>
            <w:noWrap/>
          </w:tcPr>
          <w:p w14:paraId="702BC930"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20%</w:t>
            </w:r>
          </w:p>
        </w:tc>
      </w:tr>
      <w:tr w:rsidR="003879F4" w:rsidRPr="003879F4" w14:paraId="4823F2DF" w14:textId="77777777" w:rsidTr="00FB3E38">
        <w:trPr>
          <w:trHeight w:hRule="exact" w:val="360"/>
        </w:trPr>
        <w:tc>
          <w:tcPr>
            <w:tcW w:w="3998" w:type="dxa"/>
            <w:tcBorders>
              <w:top w:val="nil"/>
              <w:left w:val="single" w:sz="4" w:space="0" w:color="000000"/>
              <w:bottom w:val="single" w:sz="4" w:space="0" w:color="000000"/>
              <w:right w:val="single" w:sz="4" w:space="0" w:color="000000"/>
            </w:tcBorders>
            <w:noWrap/>
          </w:tcPr>
          <w:p w14:paraId="4B173F77" w14:textId="47F1F555" w:rsidR="003879F4" w:rsidRPr="003879F4" w:rsidRDefault="003879F4" w:rsidP="00FB3E38">
            <w:pPr>
              <w:spacing w:line="240" w:lineRule="auto"/>
              <w:rPr>
                <w:rFonts w:ascii="Times New Roman" w:hAnsi="Times New Roman" w:cs="Times New Roman"/>
                <w:sz w:val="20"/>
                <w:szCs w:val="20"/>
              </w:rPr>
            </w:pPr>
          </w:p>
        </w:tc>
        <w:tc>
          <w:tcPr>
            <w:tcW w:w="1541" w:type="dxa"/>
            <w:tcBorders>
              <w:top w:val="single" w:sz="4" w:space="0" w:color="000000"/>
              <w:left w:val="single" w:sz="4" w:space="0" w:color="000000"/>
              <w:bottom w:val="single" w:sz="4" w:space="0" w:color="auto"/>
              <w:right w:val="single" w:sz="4" w:space="0" w:color="000000"/>
            </w:tcBorders>
            <w:noWrap/>
          </w:tcPr>
          <w:p w14:paraId="55EA851B"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Tertiary</w:t>
            </w:r>
          </w:p>
        </w:tc>
        <w:tc>
          <w:tcPr>
            <w:tcW w:w="1541" w:type="dxa"/>
            <w:tcBorders>
              <w:top w:val="single" w:sz="4" w:space="0" w:color="000000"/>
              <w:left w:val="single" w:sz="4" w:space="0" w:color="000000"/>
              <w:bottom w:val="single" w:sz="4" w:space="0" w:color="auto"/>
              <w:right w:val="single" w:sz="4" w:space="0" w:color="000000"/>
            </w:tcBorders>
            <w:noWrap/>
          </w:tcPr>
          <w:p w14:paraId="21014496"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56.1</w:t>
            </w:r>
          </w:p>
        </w:tc>
        <w:tc>
          <w:tcPr>
            <w:tcW w:w="1541" w:type="dxa"/>
            <w:gridSpan w:val="2"/>
            <w:tcBorders>
              <w:top w:val="single" w:sz="4" w:space="0" w:color="000000"/>
              <w:left w:val="single" w:sz="4" w:space="0" w:color="000000"/>
              <w:bottom w:val="single" w:sz="4" w:space="0" w:color="auto"/>
              <w:right w:val="single" w:sz="4" w:space="0" w:color="000000"/>
            </w:tcBorders>
            <w:noWrap/>
          </w:tcPr>
          <w:p w14:paraId="48B0F7EC" w14:textId="77777777" w:rsidR="003879F4" w:rsidRPr="003879F4" w:rsidRDefault="003879F4" w:rsidP="00FB3E38">
            <w:pPr>
              <w:spacing w:line="240" w:lineRule="auto"/>
              <w:rPr>
                <w:rFonts w:ascii="Times New Roman" w:hAnsi="Times New Roman" w:cs="Times New Roman"/>
                <w:sz w:val="20"/>
                <w:szCs w:val="20"/>
              </w:rPr>
            </w:pPr>
            <w:r w:rsidRPr="003879F4">
              <w:rPr>
                <w:rFonts w:ascii="Times New Roman" w:hAnsi="Times New Roman" w:cs="Times New Roman"/>
                <w:sz w:val="20"/>
                <w:szCs w:val="20"/>
              </w:rPr>
              <w:t>20%</w:t>
            </w:r>
          </w:p>
        </w:tc>
      </w:tr>
      <w:tr w:rsidR="003879F4" w:rsidRPr="00985FD1" w14:paraId="5B2E21A9" w14:textId="77777777" w:rsidTr="00FB3E38">
        <w:trPr>
          <w:gridAfter w:val="1"/>
          <w:wAfter w:w="10" w:type="dxa"/>
          <w:trHeight w:hRule="exact" w:val="360"/>
        </w:trPr>
        <w:tc>
          <w:tcPr>
            <w:tcW w:w="8611" w:type="dxa"/>
            <w:gridSpan w:val="4"/>
            <w:tcBorders>
              <w:top w:val="single" w:sz="6" w:space="0" w:color="000000"/>
              <w:left w:val="single" w:sz="6" w:space="0" w:color="000000"/>
              <w:bottom w:val="single" w:sz="4" w:space="0" w:color="000000"/>
              <w:right w:val="single" w:sz="6" w:space="0" w:color="000000"/>
            </w:tcBorders>
            <w:shd w:val="clear" w:color="auto" w:fill="auto"/>
            <w:noWrap/>
          </w:tcPr>
          <w:p w14:paraId="4ECAF537" w14:textId="6CD9FA00" w:rsidR="003879F4" w:rsidRPr="002504EC" w:rsidRDefault="002504EC" w:rsidP="00FB3E38">
            <w:pPr>
              <w:spacing w:line="240" w:lineRule="auto"/>
              <w:jc w:val="center"/>
              <w:rPr>
                <w:rFonts w:ascii="Times New Roman" w:hAnsi="Times New Roman" w:cs="Times New Roman"/>
                <w:b/>
                <w:bCs/>
                <w:sz w:val="20"/>
                <w:szCs w:val="20"/>
              </w:rPr>
            </w:pPr>
            <w:r w:rsidRPr="002504EC">
              <w:rPr>
                <w:rFonts w:ascii="Times New Roman" w:hAnsi="Times New Roman" w:cs="Times New Roman"/>
                <w:b/>
                <w:bCs/>
                <w:sz w:val="20"/>
                <w:szCs w:val="20"/>
              </w:rPr>
              <w:t>Aquisition parameters CT</w:t>
            </w:r>
          </w:p>
        </w:tc>
      </w:tr>
      <w:tr w:rsidR="0060322F" w:rsidRPr="00985FD1" w14:paraId="1FDDCF8A" w14:textId="77777777" w:rsidTr="00FB3E38">
        <w:trPr>
          <w:trHeight w:hRule="exact" w:val="360"/>
        </w:trPr>
        <w:tc>
          <w:tcPr>
            <w:tcW w:w="3998" w:type="dxa"/>
            <w:tcBorders>
              <w:top w:val="single" w:sz="6" w:space="0" w:color="000000"/>
              <w:left w:val="single" w:sz="6" w:space="0" w:color="000000"/>
              <w:bottom w:val="single" w:sz="4" w:space="0" w:color="000000"/>
              <w:right w:val="single" w:sz="6" w:space="0" w:color="000000"/>
            </w:tcBorders>
            <w:shd w:val="clear" w:color="auto" w:fill="auto"/>
            <w:noWrap/>
          </w:tcPr>
          <w:p w14:paraId="3D61EC9B" w14:textId="70EA482C" w:rsidR="0060322F" w:rsidRPr="00104D70" w:rsidRDefault="0060322F" w:rsidP="00FB3E38">
            <w:pPr>
              <w:spacing w:line="240" w:lineRule="auto"/>
              <w:rPr>
                <w:rFonts w:ascii="Times New Roman" w:hAnsi="Times New Roman" w:cs="Times New Roman"/>
                <w:bCs/>
                <w:sz w:val="20"/>
                <w:szCs w:val="20"/>
              </w:rPr>
            </w:pPr>
            <w:r w:rsidRPr="00104D70">
              <w:rPr>
                <w:rFonts w:ascii="Times New Roman" w:hAnsi="Times New Roman" w:cs="Times New Roman"/>
                <w:bCs/>
                <w:sz w:val="20"/>
                <w:szCs w:val="20"/>
              </w:rPr>
              <w:t>Animals per bed</w:t>
            </w:r>
          </w:p>
        </w:tc>
        <w:tc>
          <w:tcPr>
            <w:tcW w:w="4623" w:type="dxa"/>
            <w:gridSpan w:val="4"/>
            <w:tcBorders>
              <w:top w:val="single" w:sz="6" w:space="0" w:color="000000"/>
              <w:left w:val="single" w:sz="6" w:space="0" w:color="000000"/>
              <w:bottom w:val="single" w:sz="4" w:space="0" w:color="000000"/>
              <w:right w:val="single" w:sz="6" w:space="0" w:color="000000"/>
            </w:tcBorders>
            <w:shd w:val="clear" w:color="auto" w:fill="auto"/>
            <w:noWrap/>
          </w:tcPr>
          <w:p w14:paraId="069F1463" w14:textId="66DFB76B" w:rsidR="0060322F" w:rsidRPr="00104D70" w:rsidRDefault="0060322F" w:rsidP="00FB3E38">
            <w:pPr>
              <w:spacing w:line="240" w:lineRule="auto"/>
              <w:rPr>
                <w:rFonts w:ascii="Times New Roman" w:hAnsi="Times New Roman" w:cs="Times New Roman"/>
                <w:bCs/>
                <w:sz w:val="20"/>
                <w:szCs w:val="20"/>
              </w:rPr>
            </w:pPr>
            <w:r w:rsidRPr="00104D70">
              <w:rPr>
                <w:rFonts w:ascii="Times New Roman" w:hAnsi="Times New Roman" w:cs="Times New Roman"/>
                <w:bCs/>
                <w:sz w:val="20"/>
                <w:szCs w:val="20"/>
              </w:rPr>
              <w:t>3</w:t>
            </w:r>
          </w:p>
        </w:tc>
      </w:tr>
      <w:tr w:rsidR="003879F4" w:rsidRPr="00985FD1" w14:paraId="4CDAD504"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57927C9D"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Type of scan</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29C3853A"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Helical</w:t>
            </w:r>
          </w:p>
        </w:tc>
      </w:tr>
      <w:tr w:rsidR="003879F4" w:rsidRPr="00985FD1" w14:paraId="4FDFBC80"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022AD738"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Projections</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408F2DE0"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480</w:t>
            </w:r>
          </w:p>
        </w:tc>
      </w:tr>
      <w:tr w:rsidR="003879F4" w:rsidRPr="00985FD1" w14:paraId="6EE8C038"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554F47FA"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Pitch</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5D89149D"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1</w:t>
            </w:r>
          </w:p>
        </w:tc>
      </w:tr>
      <w:tr w:rsidR="003879F4" w:rsidRPr="00985FD1" w14:paraId="59F8ADEE"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722327D7"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X-ray power (kVp)</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49BC5AEA"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50</w:t>
            </w:r>
          </w:p>
        </w:tc>
      </w:tr>
      <w:tr w:rsidR="003879F4" w:rsidRPr="00985FD1" w14:paraId="35644212" w14:textId="77777777" w:rsidTr="00FB3E38">
        <w:trPr>
          <w:trHeight w:hRule="exact" w:val="360"/>
        </w:trPr>
        <w:tc>
          <w:tcPr>
            <w:tcW w:w="3998" w:type="dxa"/>
            <w:tcBorders>
              <w:top w:val="single" w:sz="4" w:space="0" w:color="000000"/>
              <w:left w:val="single" w:sz="4" w:space="0" w:color="000000"/>
              <w:bottom w:val="single" w:sz="4" w:space="0" w:color="000000"/>
              <w:right w:val="single" w:sz="4" w:space="0" w:color="000000"/>
            </w:tcBorders>
            <w:noWrap/>
          </w:tcPr>
          <w:p w14:paraId="34356505"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Exposure time (ms)</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7F713752"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300</w:t>
            </w:r>
          </w:p>
        </w:tc>
      </w:tr>
      <w:tr w:rsidR="003879F4" w:rsidRPr="00985FD1" w14:paraId="48ED0ABF" w14:textId="77777777" w:rsidTr="00FB3E38">
        <w:trPr>
          <w:trHeight w:hRule="exact" w:val="576"/>
        </w:trPr>
        <w:tc>
          <w:tcPr>
            <w:tcW w:w="3998" w:type="dxa"/>
            <w:tcBorders>
              <w:top w:val="single" w:sz="4" w:space="0" w:color="000000"/>
              <w:left w:val="single" w:sz="4" w:space="0" w:color="000000"/>
              <w:bottom w:val="single" w:sz="4" w:space="0" w:color="000000"/>
              <w:right w:val="single" w:sz="4" w:space="0" w:color="000000"/>
            </w:tcBorders>
            <w:noWrap/>
          </w:tcPr>
          <w:p w14:paraId="6B461C91" w14:textId="5ADB67C7" w:rsidR="003879F4" w:rsidRPr="00FB3E38" w:rsidRDefault="003879F4" w:rsidP="00FB3E38">
            <w:pPr>
              <w:spacing w:line="240" w:lineRule="auto"/>
              <w:rPr>
                <w:rFonts w:ascii="Times New Roman" w:hAnsi="Times New Roman" w:cs="Times New Roman"/>
                <w:sz w:val="20"/>
                <w:szCs w:val="20"/>
                <w:lang w:val="en-GB"/>
              </w:rPr>
            </w:pPr>
            <w:r w:rsidRPr="002504EC">
              <w:rPr>
                <w:rFonts w:ascii="Times New Roman" w:hAnsi="Times New Roman" w:cs="Times New Roman"/>
                <w:sz w:val="20"/>
                <w:szCs w:val="20"/>
                <w:lang w:val="en-GB"/>
              </w:rPr>
              <w:t>Reconstruction resolution (Voxel Size, Slice Thickness</w:t>
            </w:r>
            <w:r w:rsidR="00FB3E38">
              <w:rPr>
                <w:rFonts w:ascii="Times New Roman" w:hAnsi="Times New Roman" w:cs="Times New Roman"/>
                <w:sz w:val="20"/>
                <w:szCs w:val="20"/>
                <w:lang w:val="en-GB"/>
              </w:rPr>
              <w:t xml:space="preserve">, </w:t>
            </w:r>
            <w:r w:rsidRPr="00923C0B">
              <w:rPr>
                <w:rFonts w:ascii="Times New Roman" w:hAnsi="Times New Roman" w:cs="Times New Roman"/>
                <w:sz w:val="20"/>
                <w:szCs w:val="20"/>
                <w:lang w:val="en-US"/>
              </w:rPr>
              <w:t>Isotropic voxel size (µm)</w:t>
            </w:r>
            <w:r w:rsidR="00FB3E38" w:rsidRPr="00923C0B">
              <w:rPr>
                <w:rFonts w:ascii="Times New Roman" w:hAnsi="Times New Roman" w:cs="Times New Roman"/>
                <w:sz w:val="20"/>
                <w:szCs w:val="20"/>
                <w:lang w:val="en-US"/>
              </w:rPr>
              <w:t>)</w:t>
            </w:r>
          </w:p>
        </w:tc>
        <w:tc>
          <w:tcPr>
            <w:tcW w:w="4623" w:type="dxa"/>
            <w:gridSpan w:val="4"/>
            <w:tcBorders>
              <w:top w:val="single" w:sz="4" w:space="0" w:color="000000"/>
              <w:left w:val="single" w:sz="4" w:space="0" w:color="000000"/>
              <w:bottom w:val="single" w:sz="4" w:space="0" w:color="000000"/>
              <w:right w:val="single" w:sz="4" w:space="0" w:color="000000"/>
            </w:tcBorders>
            <w:noWrap/>
          </w:tcPr>
          <w:p w14:paraId="7B3204BF" w14:textId="77777777" w:rsidR="003879F4" w:rsidRPr="0060322F" w:rsidRDefault="003879F4" w:rsidP="00FB3E38">
            <w:pPr>
              <w:spacing w:line="240" w:lineRule="auto"/>
              <w:rPr>
                <w:rFonts w:ascii="Times New Roman" w:hAnsi="Times New Roman" w:cs="Times New Roman"/>
                <w:sz w:val="20"/>
                <w:szCs w:val="20"/>
              </w:rPr>
            </w:pPr>
            <w:r w:rsidRPr="0060322F">
              <w:rPr>
                <w:rFonts w:ascii="Times New Roman" w:hAnsi="Times New Roman" w:cs="Times New Roman"/>
                <w:sz w:val="20"/>
                <w:szCs w:val="20"/>
              </w:rPr>
              <w:t>250</w:t>
            </w:r>
          </w:p>
        </w:tc>
      </w:tr>
      <w:tr w:rsidR="003879F4" w:rsidRPr="00985FD1" w14:paraId="1CAB0784" w14:textId="77777777" w:rsidTr="00FB3E38">
        <w:trPr>
          <w:trHeight w:hRule="exact" w:val="360"/>
        </w:trPr>
        <w:tc>
          <w:tcPr>
            <w:tcW w:w="3998" w:type="dxa"/>
            <w:tcBorders>
              <w:top w:val="single" w:sz="4" w:space="0" w:color="000000"/>
              <w:left w:val="single" w:sz="4" w:space="0" w:color="000000"/>
              <w:bottom w:val="single" w:sz="4" w:space="0" w:color="auto"/>
              <w:right w:val="single" w:sz="4" w:space="0" w:color="000000"/>
            </w:tcBorders>
            <w:noWrap/>
          </w:tcPr>
          <w:p w14:paraId="48C228DD"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Binning</w:t>
            </w:r>
          </w:p>
        </w:tc>
        <w:tc>
          <w:tcPr>
            <w:tcW w:w="4623" w:type="dxa"/>
            <w:gridSpan w:val="4"/>
            <w:tcBorders>
              <w:top w:val="single" w:sz="4" w:space="0" w:color="000000"/>
              <w:left w:val="single" w:sz="4" w:space="0" w:color="000000"/>
              <w:bottom w:val="single" w:sz="4" w:space="0" w:color="auto"/>
              <w:right w:val="single" w:sz="4" w:space="0" w:color="000000"/>
            </w:tcBorders>
            <w:noWrap/>
          </w:tcPr>
          <w:p w14:paraId="5BA67A34" w14:textId="77777777" w:rsidR="003879F4" w:rsidRPr="002504EC" w:rsidRDefault="003879F4" w:rsidP="00FB3E38">
            <w:pPr>
              <w:spacing w:line="240" w:lineRule="auto"/>
              <w:rPr>
                <w:rFonts w:ascii="Times New Roman" w:hAnsi="Times New Roman" w:cs="Times New Roman"/>
                <w:sz w:val="20"/>
                <w:szCs w:val="20"/>
              </w:rPr>
            </w:pPr>
            <w:r w:rsidRPr="002504EC">
              <w:rPr>
                <w:rFonts w:ascii="Times New Roman" w:hAnsi="Times New Roman" w:cs="Times New Roman"/>
                <w:sz w:val="20"/>
                <w:szCs w:val="20"/>
              </w:rPr>
              <w:t>1:4</w:t>
            </w:r>
          </w:p>
        </w:tc>
      </w:tr>
    </w:tbl>
    <w:p w14:paraId="2314F55F" w14:textId="77777777" w:rsidR="003879F4" w:rsidRPr="00D85E87" w:rsidRDefault="003879F4" w:rsidP="00D85E87">
      <w:pPr>
        <w:spacing w:line="240" w:lineRule="auto"/>
        <w:rPr>
          <w:rFonts w:ascii="Times New Roman" w:hAnsi="Times New Roman" w:cs="Times New Roman"/>
          <w:lang w:val="en-US"/>
        </w:rPr>
      </w:pPr>
    </w:p>
    <w:p w14:paraId="03270DC9" w14:textId="5E0767B2" w:rsidR="00135900" w:rsidRPr="00D85E87" w:rsidRDefault="00267F7A" w:rsidP="00D85E87">
      <w:pPr>
        <w:spacing w:line="240" w:lineRule="auto"/>
        <w:rPr>
          <w:rFonts w:ascii="Times New Roman" w:hAnsi="Times New Roman" w:cs="Times New Roman"/>
          <w:lang w:val="en-US"/>
        </w:rPr>
      </w:pPr>
      <w:r w:rsidRPr="00D85E87">
        <w:rPr>
          <w:rFonts w:ascii="Times New Roman" w:hAnsi="Times New Roman" w:cs="Times New Roman"/>
          <w:lang w:val="en-US"/>
        </w:rPr>
        <w:lastRenderedPageBreak/>
        <w:t>For quantification, VivoQuant (InviCRO) was used to draw regions of interest (ROIs) in relevant tissues, with a ROI drawn over the left ventricle of the heart to serve as blood pool surrogate. Percentage injected dose per gram of tissue (%ID/g) was calculated from the tissue-associated radioactivity determined in the ROI, the volume of the ROI, and the decay-corrected dose entered during preprocessing of the images in VivoQuant.</w:t>
      </w:r>
    </w:p>
    <w:p w14:paraId="280B1D41" w14:textId="6009980B" w:rsidR="00201AA1" w:rsidRPr="00D85E87" w:rsidRDefault="00135900" w:rsidP="00D85E87">
      <w:pPr>
        <w:spacing w:line="240" w:lineRule="auto"/>
        <w:rPr>
          <w:rFonts w:ascii="Times New Roman" w:hAnsi="Times New Roman" w:cs="Times New Roman"/>
          <w:b/>
          <w:bCs/>
          <w:lang w:val="en-US"/>
        </w:rPr>
      </w:pPr>
      <w:r w:rsidRPr="28131D1B">
        <w:rPr>
          <w:rFonts w:ascii="Times New Roman" w:hAnsi="Times New Roman" w:cs="Times New Roman"/>
          <w:b/>
          <w:bCs/>
          <w:lang w:val="en-US"/>
        </w:rPr>
        <w:t>Efficacy</w:t>
      </w:r>
      <w:r w:rsidR="2B72C2F4" w:rsidRPr="28131D1B">
        <w:rPr>
          <w:rFonts w:ascii="Times New Roman" w:hAnsi="Times New Roman" w:cs="Times New Roman"/>
          <w:b/>
          <w:bCs/>
          <w:lang w:val="en-US"/>
        </w:rPr>
        <w:t xml:space="preserve"> and immune profiling</w:t>
      </w:r>
      <w:r w:rsidRPr="28131D1B">
        <w:rPr>
          <w:rFonts w:ascii="Times New Roman" w:hAnsi="Times New Roman" w:cs="Times New Roman"/>
          <w:b/>
          <w:bCs/>
          <w:lang w:val="en-US"/>
        </w:rPr>
        <w:t xml:space="preserve"> </w:t>
      </w:r>
      <w:r w:rsidR="0DFF9D4C" w:rsidRPr="28131D1B">
        <w:rPr>
          <w:rFonts w:ascii="Times New Roman" w:hAnsi="Times New Roman" w:cs="Times New Roman"/>
          <w:b/>
          <w:bCs/>
          <w:lang w:val="en-US"/>
        </w:rPr>
        <w:t>s</w:t>
      </w:r>
      <w:r w:rsidRPr="28131D1B">
        <w:rPr>
          <w:rFonts w:ascii="Times New Roman" w:hAnsi="Times New Roman" w:cs="Times New Roman"/>
          <w:b/>
          <w:bCs/>
          <w:lang w:val="en-US"/>
        </w:rPr>
        <w:t>tudies</w:t>
      </w:r>
    </w:p>
    <w:p w14:paraId="5627D84B" w14:textId="16ACA792" w:rsidR="00135900" w:rsidRPr="00D85E87" w:rsidRDefault="00135900" w:rsidP="00D85E87">
      <w:pPr>
        <w:spacing w:line="240" w:lineRule="auto"/>
        <w:rPr>
          <w:rFonts w:ascii="Times New Roman" w:hAnsi="Times New Roman" w:cs="Times New Roman"/>
          <w:lang w:val="en-US"/>
        </w:rPr>
      </w:pPr>
      <w:bookmarkStart w:id="7" w:name="_Hlk43651691"/>
      <w:bookmarkStart w:id="8" w:name="_Hlk47603846"/>
      <w:r w:rsidRPr="00485ADD">
        <w:rPr>
          <w:rFonts w:ascii="Times New Roman" w:hAnsi="Times New Roman" w:cs="Times New Roman"/>
          <w:b/>
          <w:bCs/>
          <w:i/>
          <w:iCs/>
          <w:lang w:val="en-US"/>
        </w:rPr>
        <w:t xml:space="preserve">Calculation of tumor growth inhibition (TGI). </w:t>
      </w:r>
      <w:r w:rsidRPr="00D85E87">
        <w:rPr>
          <w:rFonts w:ascii="Times New Roman" w:hAnsi="Times New Roman" w:cs="Times New Roman"/>
          <w:lang w:val="en-US"/>
        </w:rPr>
        <w:t>Percent TGI is defined as the difference between the mean tumor volume of the test group and the control group. TGI values are calculated as</w:t>
      </w:r>
      <w:bookmarkEnd w:id="7"/>
      <w:r w:rsidRPr="00D85E87">
        <w:rPr>
          <w:rFonts w:ascii="Times New Roman" w:hAnsi="Times New Roman" w:cs="Times New Roman"/>
          <w:lang w:val="en-US"/>
        </w:rPr>
        <w:t xml:space="preserve"> follows:</w:t>
      </w:r>
    </w:p>
    <w:tbl>
      <w:tblPr>
        <w:tblW w:w="0" w:type="auto"/>
        <w:jc w:val="center"/>
        <w:tblLayout w:type="fixed"/>
        <w:tblCellMar>
          <w:left w:w="0" w:type="dxa"/>
          <w:right w:w="0" w:type="dxa"/>
        </w:tblCellMar>
        <w:tblLook w:val="04A0" w:firstRow="1" w:lastRow="0" w:firstColumn="1" w:lastColumn="0" w:noHBand="0" w:noVBand="1"/>
      </w:tblPr>
      <w:tblGrid>
        <w:gridCol w:w="1135"/>
        <w:gridCol w:w="535"/>
        <w:gridCol w:w="715"/>
        <w:gridCol w:w="826"/>
      </w:tblGrid>
      <w:tr w:rsidR="00135900" w:rsidRPr="005A5E6E" w14:paraId="0A5F658E" w14:textId="77777777" w:rsidTr="005A5E6E">
        <w:trPr>
          <w:cantSplit/>
          <w:trHeight w:val="267"/>
          <w:jc w:val="center"/>
        </w:trPr>
        <w:tc>
          <w:tcPr>
            <w:tcW w:w="1135" w:type="dxa"/>
            <w:vMerge w:val="restart"/>
            <w:noWrap/>
            <w:vAlign w:val="center"/>
            <w:hideMark/>
          </w:tcPr>
          <w:p w14:paraId="51A19525" w14:textId="77777777" w:rsidR="00135900" w:rsidRPr="005A5E6E" w:rsidRDefault="00135900" w:rsidP="002B07EB">
            <w:pPr>
              <w:pStyle w:val="Rcontentoftablecentered"/>
              <w:spacing w:line="360" w:lineRule="auto"/>
              <w:jc w:val="left"/>
              <w:rPr>
                <w:rFonts w:ascii="Times New Roman" w:hAnsi="Times New Roman" w:cs="Times New Roman"/>
                <w:sz w:val="20"/>
                <w:szCs w:val="20"/>
                <w:lang w:val="en-US"/>
              </w:rPr>
            </w:pPr>
            <w:bookmarkStart w:id="9" w:name="_Hlk43650316"/>
            <w:r w:rsidRPr="005A5E6E">
              <w:rPr>
                <w:rFonts w:ascii="Times New Roman" w:hAnsi="Times New Roman" w:cs="Times New Roman"/>
                <w:sz w:val="20"/>
                <w:szCs w:val="20"/>
                <w:lang w:val="en-US"/>
              </w:rPr>
              <w:t>TGIᵢ [%] =</w:t>
            </w:r>
          </w:p>
        </w:tc>
        <w:tc>
          <w:tcPr>
            <w:tcW w:w="535" w:type="dxa"/>
            <w:vMerge w:val="restart"/>
            <w:noWrap/>
            <w:vAlign w:val="center"/>
            <w:hideMark/>
          </w:tcPr>
          <w:p w14:paraId="3EE38A2D" w14:textId="77777777" w:rsidR="00135900" w:rsidRPr="005A5E6E" w:rsidRDefault="00135900" w:rsidP="002B07EB">
            <w:pPr>
              <w:pStyle w:val="Rcontentoftablecentered"/>
              <w:spacing w:line="360" w:lineRule="auto"/>
              <w:jc w:val="left"/>
              <w:rPr>
                <w:rFonts w:ascii="Times New Roman" w:hAnsi="Times New Roman" w:cs="Times New Roman"/>
                <w:sz w:val="20"/>
                <w:szCs w:val="20"/>
                <w:lang w:val="en-US"/>
              </w:rPr>
            </w:pPr>
            <w:r w:rsidRPr="005A5E6E">
              <w:rPr>
                <w:rFonts w:ascii="Times New Roman" w:hAnsi="Times New Roman" w:cs="Times New Roman"/>
                <w:sz w:val="20"/>
                <w:szCs w:val="20"/>
                <w:lang w:val="en-US"/>
              </w:rPr>
              <w:t> (1 − </w:t>
            </w:r>
          </w:p>
        </w:tc>
        <w:tc>
          <w:tcPr>
            <w:tcW w:w="715" w:type="dxa"/>
            <w:tcBorders>
              <w:top w:val="nil"/>
              <w:left w:val="nil"/>
              <w:bottom w:val="single" w:sz="4" w:space="0" w:color="auto"/>
              <w:right w:val="nil"/>
            </w:tcBorders>
            <w:noWrap/>
            <w:vAlign w:val="center"/>
            <w:hideMark/>
          </w:tcPr>
          <w:p w14:paraId="3A38C31B" w14:textId="77777777" w:rsidR="00135900" w:rsidRPr="005A5E6E" w:rsidRDefault="00135900" w:rsidP="002B07EB">
            <w:pPr>
              <w:pStyle w:val="Rcontentoftablecentered"/>
              <w:jc w:val="left"/>
              <w:rPr>
                <w:rFonts w:ascii="Times New Roman" w:hAnsi="Times New Roman" w:cs="Times New Roman"/>
                <w:sz w:val="20"/>
                <w:szCs w:val="20"/>
                <w:lang w:val="en-US"/>
              </w:rPr>
            </w:pPr>
            <w:r w:rsidRPr="005A5E6E">
              <w:rPr>
                <w:rFonts w:ascii="Times New Roman" w:hAnsi="Times New Roman" w:cs="Times New Roman"/>
                <w:sz w:val="20"/>
                <w:szCs w:val="20"/>
                <w:lang w:val="en-US"/>
              </w:rPr>
              <w:t>Tᵢ − T</w:t>
            </w:r>
            <w:r w:rsidRPr="005A5E6E">
              <w:rPr>
                <w:rFonts w:ascii="Times New Roman" w:hAnsi="Times New Roman" w:cs="Times New Roman"/>
                <w:sz w:val="20"/>
                <w:szCs w:val="20"/>
                <w:vertAlign w:val="subscript"/>
                <w:lang w:val="en-US"/>
              </w:rPr>
              <w:t>0</w:t>
            </w:r>
          </w:p>
        </w:tc>
        <w:tc>
          <w:tcPr>
            <w:tcW w:w="826" w:type="dxa"/>
            <w:vMerge w:val="restart"/>
            <w:noWrap/>
            <w:vAlign w:val="center"/>
            <w:hideMark/>
          </w:tcPr>
          <w:p w14:paraId="2EA1A5B9" w14:textId="77777777" w:rsidR="00135900" w:rsidRPr="005A5E6E" w:rsidRDefault="00135900" w:rsidP="002B07EB">
            <w:pPr>
              <w:pStyle w:val="Rcontentoftablecentered"/>
              <w:spacing w:line="360" w:lineRule="auto"/>
              <w:jc w:val="left"/>
              <w:rPr>
                <w:rFonts w:ascii="Times New Roman" w:hAnsi="Times New Roman" w:cs="Times New Roman"/>
                <w:sz w:val="20"/>
                <w:szCs w:val="20"/>
                <w:lang w:val="en-US"/>
              </w:rPr>
            </w:pPr>
            <w:r w:rsidRPr="005A5E6E">
              <w:rPr>
                <w:rFonts w:ascii="Times New Roman" w:hAnsi="Times New Roman" w:cs="Times New Roman"/>
                <w:sz w:val="20"/>
                <w:szCs w:val="20"/>
                <w:lang w:val="en-US"/>
              </w:rPr>
              <w:t> ) × 100</w:t>
            </w:r>
          </w:p>
        </w:tc>
      </w:tr>
      <w:tr w:rsidR="00135900" w:rsidRPr="005A5E6E" w14:paraId="4E588510" w14:textId="77777777" w:rsidTr="005A5E6E">
        <w:trPr>
          <w:cantSplit/>
          <w:trHeight w:val="244"/>
          <w:jc w:val="center"/>
        </w:trPr>
        <w:tc>
          <w:tcPr>
            <w:tcW w:w="1135" w:type="dxa"/>
            <w:vMerge/>
            <w:vAlign w:val="center"/>
            <w:hideMark/>
          </w:tcPr>
          <w:p w14:paraId="08C7A6AC" w14:textId="77777777" w:rsidR="00135900" w:rsidRPr="005A5E6E" w:rsidRDefault="00135900" w:rsidP="00A763C6">
            <w:pPr>
              <w:spacing w:line="360" w:lineRule="auto"/>
              <w:rPr>
                <w:rFonts w:ascii="Times New Roman" w:eastAsia="Calibri" w:hAnsi="Times New Roman" w:cs="Times New Roman"/>
                <w:color w:val="000000"/>
                <w:sz w:val="20"/>
                <w:szCs w:val="20"/>
                <w:lang w:val="en-US"/>
                <w14:ligatures w14:val="standardContextual"/>
                <w14:numForm w14:val="lining"/>
                <w14:numSpacing w14:val="tabular"/>
                <w14:cntxtAlts/>
              </w:rPr>
            </w:pPr>
          </w:p>
        </w:tc>
        <w:tc>
          <w:tcPr>
            <w:tcW w:w="535" w:type="dxa"/>
            <w:vMerge/>
            <w:vAlign w:val="center"/>
            <w:hideMark/>
          </w:tcPr>
          <w:p w14:paraId="6E51BCCB" w14:textId="77777777" w:rsidR="00135900" w:rsidRPr="005A5E6E" w:rsidRDefault="00135900" w:rsidP="00A763C6">
            <w:pPr>
              <w:spacing w:line="360" w:lineRule="auto"/>
              <w:rPr>
                <w:rFonts w:ascii="Times New Roman" w:eastAsia="Calibri" w:hAnsi="Times New Roman" w:cs="Times New Roman"/>
                <w:color w:val="000000"/>
                <w:sz w:val="20"/>
                <w:szCs w:val="20"/>
                <w:lang w:val="en-US"/>
                <w14:ligatures w14:val="standardContextual"/>
                <w14:numForm w14:val="lining"/>
                <w14:numSpacing w14:val="tabular"/>
                <w14:cntxtAlts/>
              </w:rPr>
            </w:pPr>
          </w:p>
        </w:tc>
        <w:tc>
          <w:tcPr>
            <w:tcW w:w="715" w:type="dxa"/>
            <w:tcBorders>
              <w:top w:val="single" w:sz="4" w:space="0" w:color="auto"/>
              <w:left w:val="nil"/>
              <w:bottom w:val="nil"/>
              <w:right w:val="nil"/>
            </w:tcBorders>
            <w:noWrap/>
            <w:vAlign w:val="center"/>
            <w:hideMark/>
          </w:tcPr>
          <w:p w14:paraId="50C4AD4F" w14:textId="77777777" w:rsidR="00135900" w:rsidRPr="005A5E6E" w:rsidRDefault="00135900" w:rsidP="00A763C6">
            <w:pPr>
              <w:pStyle w:val="Rcontentoftablecentered"/>
              <w:spacing w:after="160" w:line="360" w:lineRule="auto"/>
              <w:jc w:val="left"/>
              <w:rPr>
                <w:rFonts w:ascii="Times New Roman" w:hAnsi="Times New Roman" w:cs="Times New Roman"/>
                <w:sz w:val="20"/>
                <w:szCs w:val="20"/>
                <w:lang w:val="en-US"/>
              </w:rPr>
            </w:pPr>
            <w:r w:rsidRPr="005A5E6E">
              <w:rPr>
                <w:rFonts w:ascii="Times New Roman" w:hAnsi="Times New Roman" w:cs="Times New Roman"/>
                <w:sz w:val="20"/>
                <w:szCs w:val="20"/>
                <w:lang w:val="en-US"/>
              </w:rPr>
              <w:t>Vᵢ − V</w:t>
            </w:r>
            <w:r w:rsidRPr="005A5E6E">
              <w:rPr>
                <w:rFonts w:ascii="Times New Roman" w:hAnsi="Times New Roman" w:cs="Times New Roman"/>
                <w:sz w:val="20"/>
                <w:szCs w:val="20"/>
                <w:vertAlign w:val="subscript"/>
                <w:lang w:val="en-US"/>
              </w:rPr>
              <w:t>0</w:t>
            </w:r>
          </w:p>
        </w:tc>
        <w:tc>
          <w:tcPr>
            <w:tcW w:w="826" w:type="dxa"/>
            <w:vMerge/>
            <w:vAlign w:val="center"/>
            <w:hideMark/>
          </w:tcPr>
          <w:p w14:paraId="24398964" w14:textId="77777777" w:rsidR="00135900" w:rsidRPr="005A5E6E" w:rsidRDefault="00135900" w:rsidP="00A763C6">
            <w:pPr>
              <w:spacing w:line="360" w:lineRule="auto"/>
              <w:rPr>
                <w:rFonts w:ascii="Times New Roman" w:eastAsia="Calibri" w:hAnsi="Times New Roman" w:cs="Times New Roman"/>
                <w:color w:val="000000"/>
                <w:sz w:val="20"/>
                <w:szCs w:val="20"/>
                <w:lang w:val="en-US"/>
                <w14:ligatures w14:val="standardContextual"/>
                <w14:numForm w14:val="lining"/>
                <w14:numSpacing w14:val="tabular"/>
                <w14:cntxtAlts/>
              </w:rPr>
            </w:pPr>
          </w:p>
        </w:tc>
      </w:tr>
    </w:tbl>
    <w:p w14:paraId="4CE61AE4" w14:textId="033B1BCA" w:rsidR="00135900" w:rsidRPr="004C64AF" w:rsidRDefault="00135900" w:rsidP="004C64AF">
      <w:pPr>
        <w:pStyle w:val="Rstandardwith6Ptdistanceaboveafterequationslistsetc"/>
        <w:spacing w:after="160" w:line="240" w:lineRule="auto"/>
        <w:jc w:val="left"/>
        <w:rPr>
          <w:rFonts w:ascii="Times New Roman" w:hAnsi="Times New Roman"/>
          <w:sz w:val="22"/>
          <w:szCs w:val="22"/>
        </w:rPr>
      </w:pPr>
      <w:bookmarkStart w:id="10" w:name="_Hlk43651707"/>
      <w:bookmarkEnd w:id="9"/>
      <w:r w:rsidRPr="00D85E87">
        <w:rPr>
          <w:rFonts w:ascii="Times New Roman" w:hAnsi="Times New Roman"/>
          <w:sz w:val="22"/>
          <w:szCs w:val="22"/>
        </w:rPr>
        <w:t>T</w:t>
      </w:r>
      <w:r w:rsidRPr="00D85E87">
        <w:rPr>
          <w:rFonts w:ascii="Times New Roman" w:hAnsi="Times New Roman"/>
          <w:i/>
          <w:iCs/>
          <w:sz w:val="22"/>
          <w:szCs w:val="22"/>
        </w:rPr>
        <w:t>ᵢ</w:t>
      </w:r>
      <w:r w:rsidRPr="00D85E87">
        <w:rPr>
          <w:rFonts w:ascii="Times New Roman" w:hAnsi="Times New Roman"/>
          <w:sz w:val="22"/>
          <w:szCs w:val="22"/>
        </w:rPr>
        <w:t xml:space="preserve"> is the mean tumor volume of a treatment group on a given day </w:t>
      </w:r>
      <w:r w:rsidRPr="00D85E87">
        <w:rPr>
          <w:rFonts w:ascii="Times New Roman" w:hAnsi="Times New Roman"/>
          <w:i/>
          <w:iCs/>
          <w:sz w:val="22"/>
          <w:szCs w:val="22"/>
        </w:rPr>
        <w:t>i</w:t>
      </w:r>
      <w:r w:rsidRPr="00D85E87">
        <w:rPr>
          <w:rFonts w:ascii="Times New Roman" w:hAnsi="Times New Roman"/>
          <w:sz w:val="22"/>
          <w:szCs w:val="22"/>
        </w:rPr>
        <w:t>, T₀ is the mean tumor volume of the treatment group on the day treatment started (day 0), V</w:t>
      </w:r>
      <w:r w:rsidRPr="00D85E87">
        <w:rPr>
          <w:rFonts w:ascii="Times New Roman" w:hAnsi="Times New Roman"/>
          <w:i/>
          <w:iCs/>
          <w:sz w:val="22"/>
          <w:szCs w:val="22"/>
        </w:rPr>
        <w:t>ᵢ</w:t>
      </w:r>
      <w:r w:rsidRPr="00D85E87">
        <w:rPr>
          <w:rFonts w:ascii="Times New Roman" w:hAnsi="Times New Roman"/>
          <w:sz w:val="22"/>
          <w:szCs w:val="22"/>
        </w:rPr>
        <w:t xml:space="preserve"> is the mean tumor volume of the vehicle control group on the same day as T</w:t>
      </w:r>
      <w:r w:rsidRPr="00D85E87">
        <w:rPr>
          <w:rFonts w:ascii="Times New Roman" w:hAnsi="Times New Roman"/>
          <w:i/>
          <w:iCs/>
          <w:sz w:val="22"/>
          <w:szCs w:val="22"/>
        </w:rPr>
        <w:t>ᵢ</w:t>
      </w:r>
      <w:r w:rsidRPr="00D85E87">
        <w:rPr>
          <w:rFonts w:ascii="Times New Roman" w:hAnsi="Times New Roman"/>
          <w:sz w:val="22"/>
          <w:szCs w:val="22"/>
        </w:rPr>
        <w:t xml:space="preserve">, and V₀ is the mean tumor volume of the vehicle group on the initial day of treatment (day 0). </w:t>
      </w:r>
      <w:bookmarkEnd w:id="10"/>
    </w:p>
    <w:bookmarkEnd w:id="8"/>
    <w:p w14:paraId="31208DE5" w14:textId="31E39F2D" w:rsidR="00135900" w:rsidRPr="00D85E87" w:rsidRDefault="00135900" w:rsidP="00D85E87">
      <w:pPr>
        <w:spacing w:line="240" w:lineRule="auto"/>
        <w:rPr>
          <w:rFonts w:ascii="Times New Roman" w:hAnsi="Times New Roman" w:cs="Times New Roman"/>
          <w:u w:val="single"/>
          <w:lang w:val="en-US"/>
        </w:rPr>
      </w:pPr>
      <w:r w:rsidRPr="00485ADD">
        <w:rPr>
          <w:rFonts w:ascii="Times New Roman" w:hAnsi="Times New Roman" w:cs="Times New Roman"/>
          <w:b/>
          <w:bCs/>
          <w:i/>
          <w:iCs/>
          <w:lang w:val="en-US"/>
        </w:rPr>
        <w:t>Calculation of median survival time.</w:t>
      </w:r>
      <w:r w:rsidRPr="00D85E87">
        <w:rPr>
          <w:rFonts w:ascii="Times New Roman" w:hAnsi="Times New Roman" w:cs="Times New Roman"/>
          <w:b/>
          <w:bCs/>
          <w:lang w:val="en-US"/>
        </w:rPr>
        <w:t xml:space="preserve"> </w:t>
      </w:r>
      <w:r w:rsidRPr="00D85E87">
        <w:rPr>
          <w:rFonts w:ascii="Times New Roman" w:hAnsi="Times New Roman" w:cs="Times New Roman"/>
          <w:lang w:val="en-US"/>
        </w:rPr>
        <w:t>The median survival time (MST) is the time at which the fractional survival equals 50%. MST was calculated using the GraphPad Prism software (Prism 8.4).</w:t>
      </w:r>
    </w:p>
    <w:p w14:paraId="48F05951" w14:textId="645E6954" w:rsidR="00135900" w:rsidRPr="00D85E87" w:rsidRDefault="00135900" w:rsidP="00D85E87">
      <w:pPr>
        <w:spacing w:line="240" w:lineRule="auto"/>
        <w:rPr>
          <w:rFonts w:ascii="Times New Roman" w:hAnsi="Times New Roman" w:cs="Times New Roman"/>
          <w:lang w:val="en-US"/>
        </w:rPr>
      </w:pPr>
      <w:r w:rsidRPr="00485ADD">
        <w:rPr>
          <w:rFonts w:ascii="Times New Roman" w:hAnsi="Times New Roman" w:cs="Times New Roman"/>
          <w:b/>
          <w:bCs/>
          <w:i/>
          <w:iCs/>
          <w:lang w:val="en-US"/>
        </w:rPr>
        <w:t>Calculation of body weight loss.</w:t>
      </w:r>
      <w:r w:rsidRPr="00D85E87">
        <w:rPr>
          <w:rFonts w:ascii="Times New Roman" w:hAnsi="Times New Roman" w:cs="Times New Roman"/>
          <w:b/>
          <w:bCs/>
          <w:lang w:val="en-US"/>
        </w:rPr>
        <w:t xml:space="preserve"> </w:t>
      </w:r>
      <w:r w:rsidR="00F465FE">
        <w:rPr>
          <w:rFonts w:ascii="Times New Roman" w:hAnsi="Times New Roman" w:cs="Times New Roman"/>
          <w:lang w:val="en-US"/>
        </w:rPr>
        <w:t>Relative body weight</w:t>
      </w:r>
      <w:r w:rsidRPr="00D85E87">
        <w:rPr>
          <w:rFonts w:ascii="Times New Roman" w:hAnsi="Times New Roman" w:cs="Times New Roman"/>
          <w:lang w:val="en-US"/>
        </w:rPr>
        <w:t xml:space="preserve"> (</w:t>
      </w:r>
      <w:r w:rsidR="00F465FE">
        <w:rPr>
          <w:rFonts w:ascii="Times New Roman" w:hAnsi="Times New Roman" w:cs="Times New Roman"/>
          <w:lang w:val="en-US"/>
        </w:rPr>
        <w:t>RBW</w:t>
      </w:r>
      <w:r w:rsidRPr="00D85E87">
        <w:rPr>
          <w:rFonts w:ascii="Times New Roman" w:hAnsi="Times New Roman" w:cs="Times New Roman"/>
          <w:lang w:val="en-US"/>
        </w:rPr>
        <w:t>) was calculated as follows:</w:t>
      </w:r>
    </w:p>
    <w:tbl>
      <w:tblPr>
        <w:tblW w:w="0" w:type="auto"/>
        <w:jc w:val="center"/>
        <w:tblLayout w:type="fixed"/>
        <w:tblCellMar>
          <w:left w:w="0" w:type="dxa"/>
          <w:right w:w="0" w:type="dxa"/>
        </w:tblCellMar>
        <w:tblLook w:val="04A0" w:firstRow="1" w:lastRow="0" w:firstColumn="1" w:lastColumn="0" w:noHBand="0" w:noVBand="1"/>
      </w:tblPr>
      <w:tblGrid>
        <w:gridCol w:w="1135"/>
        <w:gridCol w:w="535"/>
        <w:gridCol w:w="715"/>
        <w:gridCol w:w="826"/>
      </w:tblGrid>
      <w:tr w:rsidR="00135900" w:rsidRPr="005A5E6E" w14:paraId="01AF10CB" w14:textId="77777777" w:rsidTr="28131D1B">
        <w:trPr>
          <w:cantSplit/>
          <w:trHeight w:val="267"/>
          <w:jc w:val="center"/>
        </w:trPr>
        <w:tc>
          <w:tcPr>
            <w:tcW w:w="1135" w:type="dxa"/>
            <w:vMerge w:val="restart"/>
            <w:noWrap/>
            <w:vAlign w:val="center"/>
            <w:hideMark/>
          </w:tcPr>
          <w:p w14:paraId="479F4B12" w14:textId="79F9A4AC" w:rsidR="00135900" w:rsidRPr="005A5E6E" w:rsidRDefault="00F465FE" w:rsidP="00F465FE">
            <w:pPr>
              <w:pStyle w:val="Rcontentoftablecentered"/>
              <w:spacing w:line="360" w:lineRule="auto"/>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RBW</w:t>
            </w:r>
            <w:r w:rsidR="00135900" w:rsidRPr="005A5E6E">
              <w:rPr>
                <w:rFonts w:ascii="Times New Roman" w:hAnsi="Times New Roman" w:cs="Times New Roman"/>
                <w:i/>
                <w:iCs/>
                <w:color w:val="auto"/>
                <w:sz w:val="20"/>
                <w:szCs w:val="20"/>
                <w:lang w:val="en-US"/>
              </w:rPr>
              <w:t>ᵢ</w:t>
            </w:r>
            <w:r w:rsidR="00135900" w:rsidRPr="005A5E6E">
              <w:rPr>
                <w:rFonts w:ascii="Times New Roman" w:hAnsi="Times New Roman" w:cs="Times New Roman"/>
                <w:color w:val="auto"/>
                <w:sz w:val="20"/>
                <w:szCs w:val="20"/>
                <w:lang w:val="en-US"/>
              </w:rPr>
              <w:t> [%] =</w:t>
            </w:r>
          </w:p>
        </w:tc>
        <w:tc>
          <w:tcPr>
            <w:tcW w:w="535" w:type="dxa"/>
            <w:vMerge w:val="restart"/>
            <w:noWrap/>
            <w:vAlign w:val="center"/>
            <w:hideMark/>
          </w:tcPr>
          <w:p w14:paraId="450FD8CA" w14:textId="0B6D628A" w:rsidR="00135900" w:rsidRPr="005A5E6E" w:rsidRDefault="00135900" w:rsidP="00F465FE">
            <w:pPr>
              <w:pStyle w:val="Rcontentoftablecentered"/>
              <w:spacing w:line="360" w:lineRule="auto"/>
              <w:rPr>
                <w:rFonts w:ascii="Times New Roman" w:hAnsi="Times New Roman" w:cs="Times New Roman"/>
                <w:color w:val="auto"/>
                <w:sz w:val="20"/>
                <w:szCs w:val="20"/>
                <w:lang w:val="en-US"/>
              </w:rPr>
            </w:pPr>
            <w:r w:rsidRPr="005A5E6E">
              <w:rPr>
                <w:rFonts w:ascii="Times New Roman" w:hAnsi="Times New Roman" w:cs="Times New Roman"/>
                <w:color w:val="auto"/>
                <w:sz w:val="20"/>
                <w:szCs w:val="20"/>
                <w:lang w:val="en-US"/>
              </w:rPr>
              <w:t>(</w:t>
            </w:r>
          </w:p>
        </w:tc>
        <w:tc>
          <w:tcPr>
            <w:tcW w:w="715" w:type="dxa"/>
            <w:tcBorders>
              <w:top w:val="nil"/>
              <w:left w:val="nil"/>
              <w:bottom w:val="single" w:sz="4" w:space="0" w:color="auto"/>
              <w:right w:val="nil"/>
            </w:tcBorders>
            <w:noWrap/>
            <w:vAlign w:val="center"/>
            <w:hideMark/>
          </w:tcPr>
          <w:p w14:paraId="0BFCA2C4" w14:textId="77777777" w:rsidR="00135900" w:rsidRPr="005A5E6E" w:rsidRDefault="00135900" w:rsidP="002B07EB">
            <w:pPr>
              <w:pStyle w:val="Rcontentoftablecentered"/>
              <w:jc w:val="left"/>
              <w:rPr>
                <w:rFonts w:ascii="Times New Roman" w:hAnsi="Times New Roman" w:cs="Times New Roman"/>
                <w:color w:val="auto"/>
                <w:sz w:val="20"/>
                <w:szCs w:val="20"/>
                <w:lang w:val="en-US"/>
              </w:rPr>
            </w:pPr>
            <w:r w:rsidRPr="005A5E6E">
              <w:rPr>
                <w:rFonts w:ascii="Times New Roman" w:hAnsi="Times New Roman" w:cs="Times New Roman"/>
                <w:color w:val="auto"/>
                <w:sz w:val="20"/>
                <w:szCs w:val="20"/>
                <w:lang w:val="en-US"/>
              </w:rPr>
              <w:t>BW</w:t>
            </w:r>
            <w:r w:rsidRPr="005A5E6E">
              <w:rPr>
                <w:rFonts w:ascii="Times New Roman" w:hAnsi="Times New Roman" w:cs="Times New Roman"/>
                <w:i/>
                <w:iCs/>
                <w:color w:val="auto"/>
                <w:sz w:val="20"/>
                <w:szCs w:val="20"/>
                <w:lang w:val="en-US"/>
              </w:rPr>
              <w:t>ᵢ</w:t>
            </w:r>
          </w:p>
        </w:tc>
        <w:tc>
          <w:tcPr>
            <w:tcW w:w="826" w:type="dxa"/>
            <w:vMerge w:val="restart"/>
            <w:noWrap/>
            <w:vAlign w:val="center"/>
            <w:hideMark/>
          </w:tcPr>
          <w:p w14:paraId="75FCE376" w14:textId="250AF5BA" w:rsidR="00135900" w:rsidRPr="005A5E6E" w:rsidRDefault="00135900" w:rsidP="002B07EB">
            <w:pPr>
              <w:pStyle w:val="Rcontentoftablecentered"/>
              <w:spacing w:line="360" w:lineRule="auto"/>
              <w:jc w:val="left"/>
              <w:rPr>
                <w:rFonts w:ascii="Times New Roman" w:hAnsi="Times New Roman" w:cs="Times New Roman"/>
                <w:color w:val="auto"/>
                <w:sz w:val="20"/>
                <w:szCs w:val="20"/>
                <w:lang w:val="en-US"/>
              </w:rPr>
            </w:pPr>
            <w:r w:rsidRPr="28131D1B">
              <w:rPr>
                <w:rFonts w:ascii="Times New Roman" w:hAnsi="Times New Roman" w:cs="Times New Roman"/>
                <w:color w:val="auto"/>
                <w:sz w:val="20"/>
                <w:szCs w:val="20"/>
                <w:lang w:val="en-US"/>
              </w:rPr>
              <w:t> </w:t>
            </w:r>
            <w:r w:rsidR="00F465FE" w:rsidRPr="28131D1B">
              <w:rPr>
                <w:rFonts w:ascii="Times New Roman" w:hAnsi="Times New Roman" w:cs="Times New Roman"/>
                <w:color w:val="auto"/>
                <w:sz w:val="20"/>
                <w:szCs w:val="20"/>
                <w:lang w:val="en-US"/>
              </w:rPr>
              <w:t>−1 </w:t>
            </w:r>
            <w:r w:rsidRPr="28131D1B">
              <w:rPr>
                <w:rFonts w:ascii="Times New Roman" w:hAnsi="Times New Roman" w:cs="Times New Roman"/>
                <w:color w:val="auto"/>
                <w:sz w:val="20"/>
                <w:szCs w:val="20"/>
                <w:lang w:val="en-US"/>
              </w:rPr>
              <w:t>) ×</w:t>
            </w:r>
            <w:r w:rsidR="1C3D72D2" w:rsidRPr="28131D1B">
              <w:rPr>
                <w:rFonts w:ascii="Times New Roman" w:hAnsi="Times New Roman" w:cs="Times New Roman"/>
                <w:color w:val="auto"/>
                <w:sz w:val="20"/>
                <w:szCs w:val="20"/>
                <w:lang w:val="en-US"/>
              </w:rPr>
              <w:t>100</w:t>
            </w:r>
          </w:p>
        </w:tc>
      </w:tr>
      <w:tr w:rsidR="00135900" w:rsidRPr="005A5E6E" w14:paraId="7253060A" w14:textId="77777777" w:rsidTr="28131D1B">
        <w:trPr>
          <w:cantSplit/>
          <w:trHeight w:val="244"/>
          <w:jc w:val="center"/>
        </w:trPr>
        <w:tc>
          <w:tcPr>
            <w:tcW w:w="1135" w:type="dxa"/>
            <w:vMerge/>
            <w:vAlign w:val="center"/>
            <w:hideMark/>
          </w:tcPr>
          <w:p w14:paraId="3423F704" w14:textId="77777777" w:rsidR="00135900" w:rsidRPr="005A5E6E" w:rsidRDefault="00135900" w:rsidP="00A763C6">
            <w:pPr>
              <w:spacing w:line="360" w:lineRule="auto"/>
              <w:rPr>
                <w:rFonts w:ascii="Times New Roman" w:hAnsi="Times New Roman" w:cs="Times New Roman"/>
                <w:kern w:val="16"/>
                <w:sz w:val="20"/>
                <w:szCs w:val="20"/>
                <w14:ligatures w14:val="standardContextual"/>
                <w14:numForm w14:val="lining"/>
                <w14:numSpacing w14:val="tabular"/>
                <w14:cntxtAlts/>
              </w:rPr>
            </w:pPr>
          </w:p>
        </w:tc>
        <w:tc>
          <w:tcPr>
            <w:tcW w:w="535" w:type="dxa"/>
            <w:vMerge/>
            <w:vAlign w:val="center"/>
            <w:hideMark/>
          </w:tcPr>
          <w:p w14:paraId="62C821EE" w14:textId="77777777" w:rsidR="00135900" w:rsidRPr="005A5E6E" w:rsidRDefault="00135900" w:rsidP="00A763C6">
            <w:pPr>
              <w:spacing w:line="360" w:lineRule="auto"/>
              <w:rPr>
                <w:rFonts w:ascii="Times New Roman" w:hAnsi="Times New Roman" w:cs="Times New Roman"/>
                <w:kern w:val="16"/>
                <w:sz w:val="20"/>
                <w:szCs w:val="20"/>
                <w14:ligatures w14:val="standardContextual"/>
                <w14:numForm w14:val="lining"/>
                <w14:numSpacing w14:val="tabular"/>
                <w14:cntxtAlts/>
              </w:rPr>
            </w:pPr>
          </w:p>
        </w:tc>
        <w:tc>
          <w:tcPr>
            <w:tcW w:w="715" w:type="dxa"/>
            <w:tcBorders>
              <w:top w:val="single" w:sz="4" w:space="0" w:color="auto"/>
              <w:left w:val="nil"/>
              <w:bottom w:val="nil"/>
              <w:right w:val="nil"/>
            </w:tcBorders>
            <w:noWrap/>
            <w:vAlign w:val="center"/>
            <w:hideMark/>
          </w:tcPr>
          <w:p w14:paraId="32CA9143" w14:textId="77777777" w:rsidR="00135900" w:rsidRPr="005A5E6E" w:rsidRDefault="00135900" w:rsidP="00A763C6">
            <w:pPr>
              <w:pStyle w:val="Rcontentoftablecentered"/>
              <w:spacing w:after="160" w:line="360" w:lineRule="auto"/>
              <w:jc w:val="left"/>
              <w:rPr>
                <w:rFonts w:ascii="Times New Roman" w:hAnsi="Times New Roman" w:cs="Times New Roman"/>
                <w:color w:val="auto"/>
                <w:sz w:val="20"/>
                <w:szCs w:val="20"/>
                <w:lang w:val="en-US"/>
              </w:rPr>
            </w:pPr>
            <w:r w:rsidRPr="005A5E6E">
              <w:rPr>
                <w:rFonts w:ascii="Times New Roman" w:hAnsi="Times New Roman" w:cs="Times New Roman"/>
                <w:color w:val="auto"/>
                <w:sz w:val="20"/>
                <w:szCs w:val="20"/>
                <w:lang w:val="en-US"/>
              </w:rPr>
              <w:t>BW</w:t>
            </w:r>
            <w:r w:rsidRPr="005A5E6E">
              <w:rPr>
                <w:rFonts w:ascii="Times New Roman" w:hAnsi="Times New Roman" w:cs="Times New Roman"/>
                <w:color w:val="auto"/>
                <w:sz w:val="20"/>
                <w:szCs w:val="20"/>
                <w:vertAlign w:val="subscript"/>
                <w:lang w:val="en-US"/>
              </w:rPr>
              <w:t>0</w:t>
            </w:r>
          </w:p>
        </w:tc>
        <w:tc>
          <w:tcPr>
            <w:tcW w:w="826" w:type="dxa"/>
            <w:vMerge/>
            <w:vAlign w:val="center"/>
            <w:hideMark/>
          </w:tcPr>
          <w:p w14:paraId="20337D1A" w14:textId="77777777" w:rsidR="00135900" w:rsidRPr="005A5E6E" w:rsidRDefault="00135900" w:rsidP="00A763C6">
            <w:pPr>
              <w:spacing w:line="360" w:lineRule="auto"/>
              <w:rPr>
                <w:rFonts w:ascii="Times New Roman" w:hAnsi="Times New Roman" w:cs="Times New Roman"/>
                <w:kern w:val="16"/>
                <w:sz w:val="20"/>
                <w:szCs w:val="20"/>
                <w14:ligatures w14:val="standardContextual"/>
                <w14:numForm w14:val="lining"/>
                <w14:numSpacing w14:val="tabular"/>
                <w14:cntxtAlts/>
              </w:rPr>
            </w:pPr>
          </w:p>
        </w:tc>
      </w:tr>
    </w:tbl>
    <w:p w14:paraId="4638C04F" w14:textId="0F9B43D1" w:rsidR="00135900" w:rsidRPr="00D85E87" w:rsidRDefault="00135900" w:rsidP="00D85E87">
      <w:pPr>
        <w:spacing w:line="240" w:lineRule="auto"/>
        <w:rPr>
          <w:rFonts w:ascii="Times New Roman" w:hAnsi="Times New Roman" w:cs="Times New Roman"/>
          <w:lang w:val="en-US"/>
        </w:rPr>
      </w:pPr>
      <w:r w:rsidRPr="00D85E87">
        <w:rPr>
          <w:rFonts w:ascii="Times New Roman" w:hAnsi="Times New Roman" w:cs="Times New Roman"/>
          <w:lang w:val="en-US"/>
        </w:rPr>
        <w:t>BW</w:t>
      </w:r>
      <w:r w:rsidRPr="00D85E87">
        <w:rPr>
          <w:rFonts w:ascii="Times New Roman" w:hAnsi="Times New Roman" w:cs="Times New Roman"/>
          <w:i/>
          <w:iCs/>
        </w:rPr>
        <w:t>ᵢ</w:t>
      </w:r>
      <w:r w:rsidRPr="00D85E87">
        <w:rPr>
          <w:rFonts w:ascii="Times New Roman" w:hAnsi="Times New Roman" w:cs="Times New Roman"/>
          <w:lang w:val="en-US"/>
        </w:rPr>
        <w:t xml:space="preserve"> is the mean body weight of one group on a given day </w:t>
      </w:r>
      <w:r w:rsidRPr="00D85E87">
        <w:rPr>
          <w:rFonts w:ascii="Times New Roman" w:hAnsi="Times New Roman" w:cs="Times New Roman"/>
          <w:i/>
          <w:iCs/>
          <w:lang w:val="en-US"/>
        </w:rPr>
        <w:t>i</w:t>
      </w:r>
      <w:r w:rsidRPr="00D85E87">
        <w:rPr>
          <w:rFonts w:ascii="Times New Roman" w:hAnsi="Times New Roman" w:cs="Times New Roman"/>
          <w:lang w:val="en-US"/>
        </w:rPr>
        <w:t>, BW</w:t>
      </w:r>
      <w:r w:rsidRPr="00D85E87">
        <w:rPr>
          <w:rFonts w:ascii="Times New Roman" w:hAnsi="Times New Roman" w:cs="Times New Roman"/>
          <w:vertAlign w:val="subscript"/>
          <w:lang w:val="en-US"/>
        </w:rPr>
        <w:t>0</w:t>
      </w:r>
      <w:r w:rsidRPr="00D85E87">
        <w:rPr>
          <w:rFonts w:ascii="Times New Roman" w:hAnsi="Times New Roman" w:cs="Times New Roman"/>
          <w:lang w:val="en-US"/>
        </w:rPr>
        <w:t xml:space="preserve"> is the mean body weight of the same group on the day treatment started (day 0).</w:t>
      </w:r>
    </w:p>
    <w:p w14:paraId="0A36636E" w14:textId="0025BEC1" w:rsidR="00135900" w:rsidRPr="00D85E87" w:rsidRDefault="00135900" w:rsidP="00D85E87">
      <w:pPr>
        <w:spacing w:line="240" w:lineRule="auto"/>
        <w:rPr>
          <w:rFonts w:ascii="Times New Roman" w:hAnsi="Times New Roman" w:cs="Times New Roman"/>
          <w:lang w:val="en-US"/>
        </w:rPr>
      </w:pPr>
      <w:r w:rsidRPr="00485ADD">
        <w:rPr>
          <w:rFonts w:ascii="Times New Roman" w:hAnsi="Times New Roman" w:cs="Times New Roman"/>
          <w:b/>
          <w:bCs/>
          <w:i/>
          <w:iCs/>
          <w:lang w:val="en-US"/>
        </w:rPr>
        <w:t>Statistical analysis.</w:t>
      </w:r>
      <w:r w:rsidRPr="00D85E87">
        <w:rPr>
          <w:rFonts w:ascii="Times New Roman" w:hAnsi="Times New Roman" w:cs="Times New Roman"/>
          <w:b/>
          <w:bCs/>
          <w:lang w:val="en-US"/>
        </w:rPr>
        <w:t xml:space="preserve"> </w:t>
      </w:r>
      <w:r w:rsidRPr="00D85E87">
        <w:rPr>
          <w:rFonts w:ascii="Times New Roman" w:hAnsi="Times New Roman" w:cs="Times New Roman"/>
          <w:lang w:val="en-US"/>
        </w:rPr>
        <w:t>For the evaluation of the statistical significance of antitumor efficacy</w:t>
      </w:r>
      <w:r w:rsidR="00F21E23">
        <w:rPr>
          <w:rFonts w:ascii="Times New Roman" w:hAnsi="Times New Roman" w:cs="Times New Roman"/>
          <w:lang w:val="en-US"/>
        </w:rPr>
        <w:t xml:space="preserve">, </w:t>
      </w:r>
      <w:r w:rsidRPr="00D85E87">
        <w:rPr>
          <w:rFonts w:ascii="Times New Roman" w:hAnsi="Times New Roman" w:cs="Times New Roman"/>
          <w:lang w:val="en-US"/>
        </w:rPr>
        <w:t>body weight change,</w:t>
      </w:r>
      <w:r w:rsidR="00073E62">
        <w:rPr>
          <w:rFonts w:ascii="Times New Roman" w:hAnsi="Times New Roman" w:cs="Times New Roman"/>
          <w:lang w:val="en-US"/>
        </w:rPr>
        <w:t xml:space="preserve"> </w:t>
      </w:r>
      <w:r w:rsidR="00F21E23">
        <w:rPr>
          <w:rFonts w:ascii="Times New Roman" w:hAnsi="Times New Roman" w:cs="Times New Roman"/>
          <w:lang w:val="en-US"/>
        </w:rPr>
        <w:t xml:space="preserve">and immune profiling, </w:t>
      </w:r>
      <w:r w:rsidR="00073E62">
        <w:rPr>
          <w:rFonts w:ascii="Times New Roman" w:hAnsi="Times New Roman" w:cs="Times New Roman"/>
          <w:lang w:val="en-US"/>
        </w:rPr>
        <w:t>two</w:t>
      </w:r>
      <w:r w:rsidR="00073E62" w:rsidRPr="00073E62">
        <w:rPr>
          <w:rFonts w:ascii="Times New Roman" w:hAnsi="Times New Roman" w:cs="Times New Roman"/>
          <w:lang w:val="en-US"/>
        </w:rPr>
        <w:t xml:space="preserve">-way ANOVA with multiple comparisons </w:t>
      </w:r>
      <w:r w:rsidRPr="00D85E87">
        <w:rPr>
          <w:rFonts w:ascii="Times New Roman" w:hAnsi="Times New Roman" w:cs="Times New Roman"/>
          <w:lang w:val="en-US"/>
        </w:rPr>
        <w:t xml:space="preserve">was performed using </w:t>
      </w:r>
      <w:bookmarkStart w:id="11" w:name="_Hlk41738407"/>
      <w:r w:rsidRPr="00D85E87">
        <w:rPr>
          <w:rFonts w:ascii="Times New Roman" w:hAnsi="Times New Roman" w:cs="Times New Roman"/>
          <w:lang w:val="en-US"/>
        </w:rPr>
        <w:t>GraphPad Prism (Version 8.4)</w:t>
      </w:r>
      <w:bookmarkEnd w:id="11"/>
      <w:r w:rsidRPr="00D85E87">
        <w:rPr>
          <w:rFonts w:ascii="Times New Roman" w:hAnsi="Times New Roman" w:cs="Times New Roman"/>
          <w:lang w:val="en-US"/>
        </w:rPr>
        <w:t xml:space="preserve">. </w:t>
      </w:r>
    </w:p>
    <w:p w14:paraId="6BDCE014" w14:textId="0D4E3228" w:rsidR="0051200F" w:rsidRPr="00923C0B" w:rsidRDefault="00135900" w:rsidP="004C64AF">
      <w:pPr>
        <w:spacing w:line="240" w:lineRule="auto"/>
        <w:rPr>
          <w:rFonts w:ascii="Times New Roman" w:hAnsi="Times New Roman" w:cs="Times New Roman"/>
          <w:lang w:val="en-US"/>
        </w:rPr>
      </w:pPr>
      <w:r w:rsidRPr="28131D1B">
        <w:rPr>
          <w:rFonts w:ascii="Times New Roman" w:hAnsi="Times New Roman" w:cs="Times New Roman"/>
          <w:lang w:val="en-US"/>
        </w:rPr>
        <w:t xml:space="preserve">The log-rank (Mantel–Cox) test for survival curve comparison was used (GraphPad Prism 8.4). All </w:t>
      </w:r>
      <w:r w:rsidRPr="28131D1B">
        <w:rPr>
          <w:rFonts w:ascii="Times New Roman" w:hAnsi="Times New Roman" w:cs="Times New Roman"/>
          <w:i/>
          <w:iCs/>
          <w:lang w:val="en-US"/>
        </w:rPr>
        <w:t xml:space="preserve">P </w:t>
      </w:r>
      <w:r w:rsidRPr="28131D1B">
        <w:rPr>
          <w:rFonts w:ascii="Times New Roman" w:hAnsi="Times New Roman" w:cs="Times New Roman"/>
          <w:lang w:val="en-US"/>
        </w:rPr>
        <w:t xml:space="preserve">values &lt;0.05 were considered statistically significant. </w:t>
      </w:r>
    </w:p>
    <w:p w14:paraId="7D64DA0D" w14:textId="5F569C74" w:rsidR="0051200F" w:rsidRDefault="4D33F4C9" w:rsidP="00E82A6E">
      <w:pPr>
        <w:overflowPunct w:val="0"/>
        <w:autoSpaceDE w:val="0"/>
        <w:autoSpaceDN w:val="0"/>
        <w:adjustRightInd w:val="0"/>
        <w:spacing w:after="120" w:line="240" w:lineRule="auto"/>
        <w:textAlignment w:val="baseline"/>
        <w:rPr>
          <w:rFonts w:ascii="Times New Roman" w:hAnsi="Times New Roman" w:cs="Times New Roman"/>
          <w:lang w:val="en-US"/>
        </w:rPr>
      </w:pPr>
      <w:r w:rsidRPr="28131D1B">
        <w:rPr>
          <w:rFonts w:ascii="Times New Roman" w:hAnsi="Times New Roman" w:cs="Times New Roman"/>
          <w:lang w:val="en-US"/>
        </w:rPr>
        <w:t xml:space="preserve">Global significance statistic. Global significance statistic (GSS) is calculated from the t-statistics of gene set genes, which are calculated from linear regressions run in the DE analysis. </w:t>
      </w:r>
      <w:r w:rsidR="092FEECB" w:rsidRPr="28131D1B">
        <w:rPr>
          <w:rFonts w:ascii="Times New Roman" w:hAnsi="Times New Roman" w:cs="Times New Roman"/>
          <w:lang w:val="en-US"/>
        </w:rPr>
        <w:t>GSS are calculated separately for each variable in the regression. For each covariate, it is calculated as the square root of the pathway’s average squared t-statistic</w:t>
      </w:r>
      <w:r w:rsidR="00E82A6E">
        <w:rPr>
          <w:rFonts w:ascii="Times New Roman" w:hAnsi="Times New Roman" w:cs="Times New Roman"/>
          <w:lang w:val="en-US"/>
        </w:rPr>
        <w:t xml:space="preserve">, </w:t>
      </w:r>
      <w:r w:rsidR="00E82A6E" w:rsidRPr="00E82A6E">
        <w:rPr>
          <w:rFonts w:ascii="Times New Roman" w:hAnsi="Times New Roman" w:cs="Times New Roman"/>
          <w:lang w:val="en-US"/>
        </w:rPr>
        <w:t>where t</w:t>
      </w:r>
      <w:r w:rsidR="00E82A6E" w:rsidRPr="00E82A6E">
        <w:rPr>
          <w:rFonts w:ascii="Times New Roman" w:hAnsi="Times New Roman" w:cs="Times New Roman"/>
          <w:vertAlign w:val="subscript"/>
          <w:lang w:val="en-US"/>
        </w:rPr>
        <w:t>i</w:t>
      </w:r>
      <w:r w:rsidR="00E82A6E">
        <w:rPr>
          <w:rFonts w:ascii="Times New Roman" w:hAnsi="Times New Roman" w:cs="Times New Roman"/>
          <w:lang w:val="en-US"/>
        </w:rPr>
        <w:t xml:space="preserve"> </w:t>
      </w:r>
      <w:r w:rsidR="00E82A6E" w:rsidRPr="00E82A6E">
        <w:rPr>
          <w:rFonts w:ascii="Times New Roman" w:hAnsi="Times New Roman" w:cs="Times New Roman"/>
          <w:lang w:val="en-US"/>
        </w:rPr>
        <w:t>is the t-statistic from the i</w:t>
      </w:r>
      <w:r w:rsidR="00E82A6E" w:rsidRPr="00E82A6E">
        <w:rPr>
          <w:rFonts w:ascii="Times New Roman" w:hAnsi="Times New Roman" w:cs="Times New Roman"/>
          <w:vertAlign w:val="superscript"/>
          <w:lang w:val="en-US"/>
        </w:rPr>
        <w:t>th</w:t>
      </w:r>
      <w:r w:rsidR="00E82A6E" w:rsidRPr="00E82A6E">
        <w:rPr>
          <w:rFonts w:ascii="Times New Roman" w:hAnsi="Times New Roman" w:cs="Times New Roman"/>
          <w:lang w:val="en-US"/>
        </w:rPr>
        <w:t xml:space="preserve"> pathway gene</w:t>
      </w:r>
      <w:r w:rsidR="00E82A6E">
        <w:rPr>
          <w:rFonts w:ascii="Times New Roman" w:hAnsi="Times New Roman" w:cs="Times New Roman"/>
          <w:lang w:val="en-US"/>
        </w:rPr>
        <w:t>:</w:t>
      </w:r>
    </w:p>
    <w:tbl>
      <w:tblPr>
        <w:tblW w:w="3440" w:type="dxa"/>
        <w:jc w:val="center"/>
        <w:tblLook w:val="04A0" w:firstRow="1" w:lastRow="0" w:firstColumn="1" w:lastColumn="0" w:noHBand="0" w:noVBand="1"/>
      </w:tblPr>
      <w:tblGrid>
        <w:gridCol w:w="960"/>
        <w:gridCol w:w="345"/>
        <w:gridCol w:w="420"/>
        <w:gridCol w:w="600"/>
        <w:gridCol w:w="400"/>
        <w:gridCol w:w="340"/>
        <w:gridCol w:w="421"/>
      </w:tblGrid>
      <w:tr w:rsidR="001B7A8D" w:rsidRPr="001B7A8D" w14:paraId="5817E7C5" w14:textId="77777777" w:rsidTr="001B7A8D">
        <w:trPr>
          <w:trHeight w:val="300"/>
          <w:jc w:val="center"/>
        </w:trPr>
        <w:tc>
          <w:tcPr>
            <w:tcW w:w="960" w:type="dxa"/>
            <w:vMerge w:val="restart"/>
            <w:tcBorders>
              <w:top w:val="nil"/>
              <w:left w:val="nil"/>
              <w:bottom w:val="nil"/>
              <w:right w:val="nil"/>
            </w:tcBorders>
            <w:shd w:val="clear" w:color="auto" w:fill="auto"/>
            <w:vAlign w:val="center"/>
            <w:hideMark/>
          </w:tcPr>
          <w:p w14:paraId="020FC11E" w14:textId="77777777" w:rsidR="001B7A8D" w:rsidRPr="001B7A8D" w:rsidRDefault="001B7A8D" w:rsidP="001B7A8D">
            <w:pPr>
              <w:spacing w:after="0" w:line="240" w:lineRule="auto"/>
              <w:jc w:val="center"/>
              <w:rPr>
                <w:rFonts w:ascii="Times New Roman" w:eastAsia="Times New Roman" w:hAnsi="Times New Roman" w:cs="Times New Roman"/>
                <w:lang w:val="en-US"/>
              </w:rPr>
            </w:pPr>
            <w:r w:rsidRPr="001B7A8D">
              <w:rPr>
                <w:rFonts w:ascii="Times New Roman" w:eastAsia="Times New Roman" w:hAnsi="Times New Roman" w:cs="Times New Roman"/>
                <w:lang w:val="en-US"/>
              </w:rPr>
              <w:t>GSS = </w:t>
            </w:r>
          </w:p>
        </w:tc>
        <w:tc>
          <w:tcPr>
            <w:tcW w:w="340" w:type="dxa"/>
            <w:vMerge w:val="restart"/>
            <w:tcBorders>
              <w:top w:val="nil"/>
              <w:left w:val="nil"/>
              <w:bottom w:val="nil"/>
              <w:right w:val="nil"/>
            </w:tcBorders>
            <w:shd w:val="clear" w:color="auto" w:fill="auto"/>
            <w:vAlign w:val="center"/>
            <w:hideMark/>
          </w:tcPr>
          <w:p w14:paraId="31705B70" w14:textId="77777777" w:rsidR="001B7A8D" w:rsidRPr="001B7A8D" w:rsidRDefault="001B7A8D" w:rsidP="001B7A8D">
            <w:pPr>
              <w:spacing w:after="0" w:line="240" w:lineRule="auto"/>
              <w:jc w:val="center"/>
              <w:rPr>
                <w:rFonts w:ascii="Times New Roman" w:eastAsia="Times New Roman" w:hAnsi="Times New Roman" w:cs="Times New Roman"/>
                <w:lang w:val="en-US"/>
              </w:rPr>
            </w:pPr>
            <w:r w:rsidRPr="001B7A8D">
              <w:rPr>
                <w:rFonts w:ascii="Times New Roman" w:eastAsia="Times New Roman" w:hAnsi="Times New Roman" w:cs="Times New Roman"/>
                <w:lang w:val="en-US"/>
              </w:rPr>
              <w:t>( </w:t>
            </w:r>
          </w:p>
        </w:tc>
        <w:tc>
          <w:tcPr>
            <w:tcW w:w="420" w:type="dxa"/>
            <w:tcBorders>
              <w:top w:val="nil"/>
              <w:left w:val="nil"/>
              <w:bottom w:val="single" w:sz="4" w:space="0" w:color="auto"/>
              <w:right w:val="nil"/>
            </w:tcBorders>
            <w:shd w:val="clear" w:color="auto" w:fill="auto"/>
            <w:vAlign w:val="center"/>
            <w:hideMark/>
          </w:tcPr>
          <w:p w14:paraId="3E70B2BA" w14:textId="77777777" w:rsidR="001B7A8D" w:rsidRPr="001B7A8D" w:rsidRDefault="001B7A8D" w:rsidP="001B7A8D">
            <w:pPr>
              <w:spacing w:after="0" w:line="240" w:lineRule="auto"/>
              <w:rPr>
                <w:rFonts w:ascii="Times New Roman" w:eastAsia="Times New Roman" w:hAnsi="Times New Roman" w:cs="Times New Roman"/>
                <w:lang w:val="en-US"/>
              </w:rPr>
            </w:pPr>
            <w:r w:rsidRPr="001B7A8D">
              <w:rPr>
                <w:rFonts w:ascii="Times New Roman" w:eastAsia="Times New Roman" w:hAnsi="Times New Roman" w:cs="Times New Roman"/>
                <w:lang w:val="en-US"/>
              </w:rPr>
              <w:t>1</w:t>
            </w:r>
          </w:p>
        </w:tc>
        <w:tc>
          <w:tcPr>
            <w:tcW w:w="600" w:type="dxa"/>
            <w:vMerge w:val="restart"/>
            <w:tcBorders>
              <w:top w:val="nil"/>
              <w:left w:val="nil"/>
              <w:bottom w:val="nil"/>
              <w:right w:val="nil"/>
            </w:tcBorders>
            <w:shd w:val="clear" w:color="auto" w:fill="auto"/>
            <w:vAlign w:val="center"/>
            <w:hideMark/>
          </w:tcPr>
          <w:p w14:paraId="04856EA7" w14:textId="77777777" w:rsidR="001B7A8D" w:rsidRPr="001B7A8D" w:rsidRDefault="001B7A8D" w:rsidP="001B7A8D">
            <w:pPr>
              <w:spacing w:after="0" w:line="240" w:lineRule="auto"/>
              <w:rPr>
                <w:rFonts w:ascii="Times New Roman" w:eastAsia="Times New Roman" w:hAnsi="Times New Roman" w:cs="Times New Roman"/>
                <w:sz w:val="52"/>
                <w:szCs w:val="52"/>
                <w:lang w:val="en-US"/>
              </w:rPr>
            </w:pPr>
            <w:r w:rsidRPr="001B7A8D">
              <w:rPr>
                <w:rFonts w:ascii="Times New Roman" w:eastAsia="Times New Roman" w:hAnsi="Times New Roman" w:cs="Times New Roman"/>
                <w:sz w:val="52"/>
                <w:szCs w:val="52"/>
                <w:lang w:val="en-US"/>
              </w:rPr>
              <w:t>Σ</w:t>
            </w:r>
          </w:p>
        </w:tc>
        <w:tc>
          <w:tcPr>
            <w:tcW w:w="400" w:type="dxa"/>
            <w:vMerge w:val="restart"/>
            <w:tcBorders>
              <w:top w:val="nil"/>
              <w:left w:val="nil"/>
              <w:bottom w:val="nil"/>
              <w:right w:val="nil"/>
            </w:tcBorders>
            <w:shd w:val="clear" w:color="auto" w:fill="auto"/>
            <w:vAlign w:val="center"/>
            <w:hideMark/>
          </w:tcPr>
          <w:p w14:paraId="0DF2B16C" w14:textId="77777777" w:rsidR="001B7A8D" w:rsidRPr="001B7A8D" w:rsidRDefault="001B7A8D" w:rsidP="001B7A8D">
            <w:pPr>
              <w:spacing w:after="0" w:line="240" w:lineRule="auto"/>
              <w:rPr>
                <w:rFonts w:ascii="Times New Roman" w:eastAsia="Times New Roman" w:hAnsi="Times New Roman" w:cs="Times New Roman"/>
                <w:lang w:val="en-US"/>
              </w:rPr>
            </w:pPr>
            <w:r w:rsidRPr="001B7A8D">
              <w:rPr>
                <w:rFonts w:ascii="Times New Roman" w:eastAsia="Times New Roman" w:hAnsi="Times New Roman" w:cs="Times New Roman"/>
                <w:lang w:val="en-US"/>
              </w:rPr>
              <w:t>t</w:t>
            </w:r>
            <w:r w:rsidRPr="001B7A8D">
              <w:rPr>
                <w:rFonts w:ascii="Times New Roman" w:eastAsia="Times New Roman" w:hAnsi="Times New Roman" w:cs="Times New Roman"/>
                <w:vertAlign w:val="superscript"/>
                <w:lang w:val="en-US"/>
              </w:rPr>
              <w:t>2</w:t>
            </w:r>
            <w:r w:rsidRPr="001B7A8D">
              <w:rPr>
                <w:rFonts w:ascii="Times New Roman" w:eastAsia="Times New Roman" w:hAnsi="Times New Roman" w:cs="Times New Roman"/>
                <w:vertAlign w:val="subscript"/>
                <w:lang w:val="en-US"/>
              </w:rPr>
              <w:t>i</w:t>
            </w:r>
          </w:p>
        </w:tc>
        <w:tc>
          <w:tcPr>
            <w:tcW w:w="340" w:type="dxa"/>
            <w:vMerge w:val="restart"/>
            <w:tcBorders>
              <w:top w:val="nil"/>
              <w:left w:val="nil"/>
              <w:bottom w:val="nil"/>
              <w:right w:val="nil"/>
            </w:tcBorders>
            <w:shd w:val="clear" w:color="auto" w:fill="auto"/>
            <w:vAlign w:val="center"/>
            <w:hideMark/>
          </w:tcPr>
          <w:p w14:paraId="328D2AEA" w14:textId="77777777" w:rsidR="001B7A8D" w:rsidRPr="001B7A8D" w:rsidRDefault="001B7A8D" w:rsidP="001B7A8D">
            <w:pPr>
              <w:spacing w:after="0" w:line="240" w:lineRule="auto"/>
              <w:jc w:val="center"/>
              <w:rPr>
                <w:rFonts w:ascii="Times New Roman" w:eastAsia="Times New Roman" w:hAnsi="Times New Roman" w:cs="Times New Roman"/>
                <w:lang w:val="en-US"/>
              </w:rPr>
            </w:pPr>
            <w:r w:rsidRPr="001B7A8D">
              <w:rPr>
                <w:rFonts w:ascii="Times New Roman" w:eastAsia="Times New Roman" w:hAnsi="Times New Roman" w:cs="Times New Roman"/>
                <w:lang w:val="en-US"/>
              </w:rPr>
              <w:t>)</w:t>
            </w:r>
          </w:p>
        </w:tc>
        <w:tc>
          <w:tcPr>
            <w:tcW w:w="380" w:type="dxa"/>
            <w:tcBorders>
              <w:top w:val="nil"/>
              <w:left w:val="nil"/>
              <w:bottom w:val="nil"/>
              <w:right w:val="nil"/>
            </w:tcBorders>
            <w:shd w:val="clear" w:color="auto" w:fill="auto"/>
            <w:noWrap/>
            <w:vAlign w:val="bottom"/>
            <w:hideMark/>
          </w:tcPr>
          <w:p w14:paraId="6CB43310" w14:textId="77777777" w:rsidR="001B7A8D" w:rsidRPr="001B7A8D" w:rsidRDefault="001B7A8D" w:rsidP="001B7A8D">
            <w:pPr>
              <w:spacing w:after="0" w:line="240" w:lineRule="auto"/>
              <w:rPr>
                <w:rFonts w:ascii="Times New Roman" w:eastAsia="Times New Roman" w:hAnsi="Times New Roman" w:cs="Times New Roman"/>
                <w:color w:val="000000"/>
                <w:sz w:val="16"/>
                <w:szCs w:val="16"/>
                <w:lang w:val="en-US"/>
              </w:rPr>
            </w:pPr>
            <w:r w:rsidRPr="001B7A8D">
              <w:rPr>
                <w:rFonts w:ascii="Times New Roman" w:eastAsia="Times New Roman" w:hAnsi="Times New Roman" w:cs="Times New Roman"/>
                <w:color w:val="000000"/>
                <w:sz w:val="16"/>
                <w:szCs w:val="16"/>
                <w:lang w:val="en-US"/>
              </w:rPr>
              <w:t>1/2</w:t>
            </w:r>
          </w:p>
        </w:tc>
      </w:tr>
      <w:tr w:rsidR="001B7A8D" w:rsidRPr="001B7A8D" w14:paraId="0FBFE263" w14:textId="77777777" w:rsidTr="001B7A8D">
        <w:trPr>
          <w:trHeight w:val="290"/>
          <w:jc w:val="center"/>
        </w:trPr>
        <w:tc>
          <w:tcPr>
            <w:tcW w:w="960" w:type="dxa"/>
            <w:vMerge/>
            <w:tcBorders>
              <w:top w:val="nil"/>
              <w:left w:val="nil"/>
              <w:bottom w:val="nil"/>
              <w:right w:val="nil"/>
            </w:tcBorders>
            <w:vAlign w:val="center"/>
            <w:hideMark/>
          </w:tcPr>
          <w:p w14:paraId="28234D41" w14:textId="77777777" w:rsidR="001B7A8D" w:rsidRPr="001B7A8D" w:rsidRDefault="001B7A8D" w:rsidP="001B7A8D">
            <w:pPr>
              <w:spacing w:after="0" w:line="240" w:lineRule="auto"/>
              <w:rPr>
                <w:rFonts w:ascii="Times New Roman" w:eastAsia="Times New Roman" w:hAnsi="Times New Roman" w:cs="Times New Roman"/>
                <w:lang w:val="en-US"/>
              </w:rPr>
            </w:pPr>
          </w:p>
        </w:tc>
        <w:tc>
          <w:tcPr>
            <w:tcW w:w="340" w:type="dxa"/>
            <w:vMerge/>
            <w:tcBorders>
              <w:top w:val="nil"/>
              <w:left w:val="nil"/>
              <w:bottom w:val="nil"/>
              <w:right w:val="nil"/>
            </w:tcBorders>
            <w:vAlign w:val="center"/>
            <w:hideMark/>
          </w:tcPr>
          <w:p w14:paraId="6D578489" w14:textId="77777777" w:rsidR="001B7A8D" w:rsidRPr="001B7A8D" w:rsidRDefault="001B7A8D" w:rsidP="001B7A8D">
            <w:pPr>
              <w:spacing w:after="0" w:line="240" w:lineRule="auto"/>
              <w:rPr>
                <w:rFonts w:ascii="Times New Roman" w:eastAsia="Times New Roman" w:hAnsi="Times New Roman" w:cs="Times New Roman"/>
                <w:lang w:val="en-US"/>
              </w:rPr>
            </w:pPr>
          </w:p>
        </w:tc>
        <w:tc>
          <w:tcPr>
            <w:tcW w:w="420" w:type="dxa"/>
            <w:tcBorders>
              <w:top w:val="nil"/>
              <w:left w:val="nil"/>
              <w:bottom w:val="nil"/>
              <w:right w:val="nil"/>
            </w:tcBorders>
            <w:shd w:val="clear" w:color="auto" w:fill="auto"/>
            <w:vAlign w:val="center"/>
            <w:hideMark/>
          </w:tcPr>
          <w:p w14:paraId="51847860" w14:textId="77777777" w:rsidR="001B7A8D" w:rsidRPr="001B7A8D" w:rsidRDefault="001B7A8D" w:rsidP="001B7A8D">
            <w:pPr>
              <w:spacing w:after="0" w:line="240" w:lineRule="auto"/>
              <w:rPr>
                <w:rFonts w:ascii="Times New Roman" w:eastAsia="Times New Roman" w:hAnsi="Times New Roman" w:cs="Times New Roman"/>
                <w:i/>
                <w:iCs/>
                <w:lang w:val="en-US"/>
              </w:rPr>
            </w:pPr>
            <w:r w:rsidRPr="001B7A8D">
              <w:rPr>
                <w:rFonts w:ascii="Times New Roman" w:eastAsia="Times New Roman" w:hAnsi="Times New Roman" w:cs="Times New Roman"/>
                <w:i/>
                <w:iCs/>
                <w:lang w:val="en-US"/>
              </w:rPr>
              <w:t>P</w:t>
            </w:r>
          </w:p>
        </w:tc>
        <w:tc>
          <w:tcPr>
            <w:tcW w:w="600" w:type="dxa"/>
            <w:vMerge/>
            <w:tcBorders>
              <w:top w:val="nil"/>
              <w:left w:val="nil"/>
              <w:bottom w:val="nil"/>
              <w:right w:val="nil"/>
            </w:tcBorders>
            <w:vAlign w:val="center"/>
            <w:hideMark/>
          </w:tcPr>
          <w:p w14:paraId="620AD769" w14:textId="77777777" w:rsidR="001B7A8D" w:rsidRPr="001B7A8D" w:rsidRDefault="001B7A8D" w:rsidP="001B7A8D">
            <w:pPr>
              <w:spacing w:after="0" w:line="240" w:lineRule="auto"/>
              <w:rPr>
                <w:rFonts w:ascii="Times New Roman" w:eastAsia="Times New Roman" w:hAnsi="Times New Roman" w:cs="Times New Roman"/>
                <w:sz w:val="52"/>
                <w:szCs w:val="52"/>
                <w:lang w:val="en-US"/>
              </w:rPr>
            </w:pPr>
          </w:p>
        </w:tc>
        <w:tc>
          <w:tcPr>
            <w:tcW w:w="400" w:type="dxa"/>
            <w:vMerge/>
            <w:tcBorders>
              <w:top w:val="nil"/>
              <w:left w:val="nil"/>
              <w:bottom w:val="nil"/>
              <w:right w:val="nil"/>
            </w:tcBorders>
            <w:vAlign w:val="center"/>
            <w:hideMark/>
          </w:tcPr>
          <w:p w14:paraId="54F6BD7F" w14:textId="77777777" w:rsidR="001B7A8D" w:rsidRPr="001B7A8D" w:rsidRDefault="001B7A8D" w:rsidP="001B7A8D">
            <w:pPr>
              <w:spacing w:after="0" w:line="240" w:lineRule="auto"/>
              <w:rPr>
                <w:rFonts w:ascii="Times New Roman" w:eastAsia="Times New Roman" w:hAnsi="Times New Roman" w:cs="Times New Roman"/>
                <w:lang w:val="en-US"/>
              </w:rPr>
            </w:pPr>
          </w:p>
        </w:tc>
        <w:tc>
          <w:tcPr>
            <w:tcW w:w="340" w:type="dxa"/>
            <w:vMerge/>
            <w:tcBorders>
              <w:top w:val="nil"/>
              <w:left w:val="nil"/>
              <w:bottom w:val="nil"/>
              <w:right w:val="nil"/>
            </w:tcBorders>
            <w:vAlign w:val="center"/>
            <w:hideMark/>
          </w:tcPr>
          <w:p w14:paraId="18D08FA0" w14:textId="77777777" w:rsidR="001B7A8D" w:rsidRPr="001B7A8D" w:rsidRDefault="001B7A8D" w:rsidP="001B7A8D">
            <w:pPr>
              <w:spacing w:after="0" w:line="240" w:lineRule="auto"/>
              <w:rPr>
                <w:rFonts w:ascii="Times New Roman" w:eastAsia="Times New Roman" w:hAnsi="Times New Roman" w:cs="Times New Roman"/>
                <w:lang w:val="en-US"/>
              </w:rPr>
            </w:pPr>
          </w:p>
        </w:tc>
        <w:tc>
          <w:tcPr>
            <w:tcW w:w="380" w:type="dxa"/>
            <w:tcBorders>
              <w:top w:val="nil"/>
              <w:left w:val="nil"/>
              <w:bottom w:val="nil"/>
              <w:right w:val="nil"/>
            </w:tcBorders>
            <w:shd w:val="clear" w:color="auto" w:fill="auto"/>
            <w:noWrap/>
            <w:vAlign w:val="bottom"/>
            <w:hideMark/>
          </w:tcPr>
          <w:p w14:paraId="1422A27A" w14:textId="77777777" w:rsidR="001B7A8D" w:rsidRPr="001B7A8D" w:rsidRDefault="001B7A8D" w:rsidP="001B7A8D">
            <w:pPr>
              <w:spacing w:after="0" w:line="240" w:lineRule="auto"/>
              <w:rPr>
                <w:rFonts w:ascii="Times New Roman" w:eastAsia="Times New Roman" w:hAnsi="Times New Roman" w:cs="Times New Roman"/>
                <w:i/>
                <w:iCs/>
                <w:lang w:val="en-US"/>
              </w:rPr>
            </w:pPr>
          </w:p>
        </w:tc>
      </w:tr>
      <w:tr w:rsidR="001B7A8D" w:rsidRPr="001B7A8D" w14:paraId="3A4937C7" w14:textId="77777777" w:rsidTr="001B7A8D">
        <w:trPr>
          <w:trHeight w:val="290"/>
          <w:jc w:val="center"/>
        </w:trPr>
        <w:tc>
          <w:tcPr>
            <w:tcW w:w="960" w:type="dxa"/>
            <w:tcBorders>
              <w:top w:val="nil"/>
              <w:left w:val="nil"/>
              <w:bottom w:val="nil"/>
              <w:right w:val="nil"/>
            </w:tcBorders>
            <w:shd w:val="clear" w:color="auto" w:fill="auto"/>
            <w:noWrap/>
            <w:vAlign w:val="bottom"/>
            <w:hideMark/>
          </w:tcPr>
          <w:p w14:paraId="4F5CAF0E" w14:textId="77777777" w:rsidR="001B7A8D" w:rsidRPr="001B7A8D" w:rsidRDefault="001B7A8D" w:rsidP="001B7A8D">
            <w:pPr>
              <w:spacing w:after="0" w:line="240" w:lineRule="auto"/>
              <w:rPr>
                <w:rFonts w:ascii="Times New Roman" w:eastAsia="Times New Roman" w:hAnsi="Times New Roman" w:cs="Times New Roman"/>
                <w:sz w:val="20"/>
                <w:szCs w:val="20"/>
                <w:lang w:val="en-US"/>
              </w:rPr>
            </w:pPr>
          </w:p>
        </w:tc>
        <w:tc>
          <w:tcPr>
            <w:tcW w:w="340" w:type="dxa"/>
            <w:tcBorders>
              <w:top w:val="nil"/>
              <w:left w:val="nil"/>
              <w:bottom w:val="nil"/>
              <w:right w:val="nil"/>
            </w:tcBorders>
            <w:shd w:val="clear" w:color="auto" w:fill="auto"/>
            <w:noWrap/>
            <w:vAlign w:val="bottom"/>
            <w:hideMark/>
          </w:tcPr>
          <w:p w14:paraId="31B483AE" w14:textId="77777777" w:rsidR="001B7A8D" w:rsidRPr="001B7A8D" w:rsidRDefault="001B7A8D" w:rsidP="001B7A8D">
            <w:pPr>
              <w:spacing w:after="0" w:line="240" w:lineRule="auto"/>
              <w:rPr>
                <w:rFonts w:ascii="Times New Roman" w:eastAsia="Times New Roman" w:hAnsi="Times New Roman" w:cs="Times New Roman"/>
                <w:sz w:val="20"/>
                <w:szCs w:val="20"/>
                <w:lang w:val="en-US"/>
              </w:rPr>
            </w:pPr>
          </w:p>
        </w:tc>
        <w:tc>
          <w:tcPr>
            <w:tcW w:w="420" w:type="dxa"/>
            <w:tcBorders>
              <w:top w:val="nil"/>
              <w:left w:val="nil"/>
              <w:bottom w:val="nil"/>
              <w:right w:val="nil"/>
            </w:tcBorders>
            <w:shd w:val="clear" w:color="auto" w:fill="auto"/>
            <w:noWrap/>
            <w:vAlign w:val="bottom"/>
            <w:hideMark/>
          </w:tcPr>
          <w:p w14:paraId="752C6AA5" w14:textId="77777777" w:rsidR="001B7A8D" w:rsidRPr="001B7A8D" w:rsidRDefault="001B7A8D" w:rsidP="001B7A8D">
            <w:pPr>
              <w:spacing w:after="0" w:line="240" w:lineRule="auto"/>
              <w:rPr>
                <w:rFonts w:ascii="Times New Roman" w:eastAsia="Times New Roman" w:hAnsi="Times New Roman" w:cs="Times New Roman"/>
                <w:sz w:val="20"/>
                <w:szCs w:val="20"/>
                <w:lang w:val="en-US"/>
              </w:rPr>
            </w:pPr>
          </w:p>
        </w:tc>
        <w:tc>
          <w:tcPr>
            <w:tcW w:w="600" w:type="dxa"/>
            <w:tcBorders>
              <w:top w:val="nil"/>
              <w:left w:val="nil"/>
              <w:bottom w:val="nil"/>
              <w:right w:val="nil"/>
            </w:tcBorders>
            <w:shd w:val="clear" w:color="auto" w:fill="auto"/>
            <w:noWrap/>
            <w:vAlign w:val="bottom"/>
            <w:hideMark/>
          </w:tcPr>
          <w:p w14:paraId="4404443C" w14:textId="77777777" w:rsidR="001B7A8D" w:rsidRPr="001B7A8D" w:rsidRDefault="001B7A8D" w:rsidP="001B7A8D">
            <w:pPr>
              <w:spacing w:after="0" w:line="240" w:lineRule="auto"/>
              <w:rPr>
                <w:rFonts w:ascii="Times New Roman" w:eastAsia="Times New Roman" w:hAnsi="Times New Roman" w:cs="Times New Roman"/>
                <w:color w:val="000000"/>
                <w:lang w:val="en-US"/>
              </w:rPr>
            </w:pPr>
            <w:r w:rsidRPr="001B7A8D">
              <w:rPr>
                <w:rFonts w:ascii="Times New Roman" w:eastAsia="Times New Roman" w:hAnsi="Times New Roman" w:cs="Times New Roman"/>
                <w:i/>
                <w:iCs/>
                <w:color w:val="000000"/>
                <w:lang w:val="en-US"/>
              </w:rPr>
              <w:t>i</w:t>
            </w:r>
            <w:r w:rsidRPr="001B7A8D">
              <w:rPr>
                <w:rFonts w:ascii="Times New Roman" w:eastAsia="Times New Roman" w:hAnsi="Times New Roman" w:cs="Times New Roman"/>
                <w:color w:val="000000"/>
                <w:lang w:val="en-US"/>
              </w:rPr>
              <w:t>=1</w:t>
            </w:r>
          </w:p>
        </w:tc>
        <w:tc>
          <w:tcPr>
            <w:tcW w:w="400" w:type="dxa"/>
            <w:tcBorders>
              <w:top w:val="nil"/>
              <w:left w:val="nil"/>
              <w:bottom w:val="nil"/>
              <w:right w:val="nil"/>
            </w:tcBorders>
            <w:shd w:val="clear" w:color="auto" w:fill="auto"/>
            <w:noWrap/>
            <w:vAlign w:val="bottom"/>
            <w:hideMark/>
          </w:tcPr>
          <w:p w14:paraId="72BA9B38" w14:textId="77777777" w:rsidR="001B7A8D" w:rsidRPr="001B7A8D" w:rsidRDefault="001B7A8D" w:rsidP="001B7A8D">
            <w:pPr>
              <w:spacing w:after="0" w:line="240" w:lineRule="auto"/>
              <w:rPr>
                <w:rFonts w:ascii="Times New Roman" w:eastAsia="Times New Roman" w:hAnsi="Times New Roman" w:cs="Times New Roman"/>
                <w:color w:val="000000"/>
                <w:lang w:val="en-US"/>
              </w:rPr>
            </w:pPr>
          </w:p>
        </w:tc>
        <w:tc>
          <w:tcPr>
            <w:tcW w:w="340" w:type="dxa"/>
            <w:tcBorders>
              <w:top w:val="nil"/>
              <w:left w:val="nil"/>
              <w:bottom w:val="nil"/>
              <w:right w:val="nil"/>
            </w:tcBorders>
            <w:shd w:val="clear" w:color="auto" w:fill="auto"/>
            <w:noWrap/>
            <w:vAlign w:val="bottom"/>
            <w:hideMark/>
          </w:tcPr>
          <w:p w14:paraId="7BE1A2FC" w14:textId="77777777" w:rsidR="001B7A8D" w:rsidRPr="001B7A8D" w:rsidRDefault="001B7A8D" w:rsidP="001B7A8D">
            <w:pPr>
              <w:spacing w:after="0" w:line="240" w:lineRule="auto"/>
              <w:rPr>
                <w:rFonts w:ascii="Times New Roman" w:eastAsia="Times New Roman" w:hAnsi="Times New Roman" w:cs="Times New Roman"/>
                <w:sz w:val="20"/>
                <w:szCs w:val="20"/>
                <w:lang w:val="en-US"/>
              </w:rPr>
            </w:pPr>
          </w:p>
        </w:tc>
        <w:tc>
          <w:tcPr>
            <w:tcW w:w="380" w:type="dxa"/>
            <w:tcBorders>
              <w:top w:val="nil"/>
              <w:left w:val="nil"/>
              <w:bottom w:val="nil"/>
              <w:right w:val="nil"/>
            </w:tcBorders>
            <w:shd w:val="clear" w:color="auto" w:fill="auto"/>
            <w:noWrap/>
            <w:vAlign w:val="bottom"/>
            <w:hideMark/>
          </w:tcPr>
          <w:p w14:paraId="1A369044" w14:textId="77777777" w:rsidR="001B7A8D" w:rsidRPr="001B7A8D" w:rsidRDefault="001B7A8D" w:rsidP="001B7A8D">
            <w:pPr>
              <w:spacing w:after="0" w:line="240" w:lineRule="auto"/>
              <w:rPr>
                <w:rFonts w:ascii="Times New Roman" w:eastAsia="Times New Roman" w:hAnsi="Times New Roman" w:cs="Times New Roman"/>
                <w:sz w:val="20"/>
                <w:szCs w:val="20"/>
                <w:lang w:val="en-US"/>
              </w:rPr>
            </w:pPr>
          </w:p>
        </w:tc>
      </w:tr>
    </w:tbl>
    <w:p w14:paraId="66D04C5A" w14:textId="77777777" w:rsidR="001B7A8D" w:rsidRDefault="001B7A8D" w:rsidP="28131D1B">
      <w:pPr>
        <w:overflowPunct w:val="0"/>
        <w:autoSpaceDE w:val="0"/>
        <w:autoSpaceDN w:val="0"/>
        <w:adjustRightInd w:val="0"/>
        <w:spacing w:after="120" w:line="240" w:lineRule="auto"/>
        <w:textAlignment w:val="baseline"/>
        <w:rPr>
          <w:rFonts w:ascii="Times New Roman" w:hAnsi="Times New Roman" w:cs="Times New Roman"/>
          <w:lang w:val="en-US"/>
        </w:rPr>
      </w:pPr>
    </w:p>
    <w:p w14:paraId="171C2318" w14:textId="3237251C" w:rsidR="0096710A" w:rsidRPr="009D7F14" w:rsidRDefault="0096710A" w:rsidP="0096710A">
      <w:pPr>
        <w:spacing w:line="240" w:lineRule="auto"/>
        <w:rPr>
          <w:rFonts w:ascii="Times New Roman" w:hAnsi="Times New Roman" w:cs="Times New Roman"/>
          <w:b/>
          <w:bCs/>
          <w:lang w:val="en-US"/>
        </w:rPr>
      </w:pPr>
      <w:r w:rsidRPr="009D7F14">
        <w:rPr>
          <w:rFonts w:ascii="Times New Roman" w:hAnsi="Times New Roman" w:cs="Times New Roman"/>
          <w:b/>
          <w:bCs/>
          <w:lang w:val="en-US"/>
        </w:rPr>
        <w:t xml:space="preserve">Irradiation and cell viability </w:t>
      </w:r>
    </w:p>
    <w:p w14:paraId="2D7B19D4" w14:textId="71EE76B4" w:rsidR="0096710A" w:rsidRDefault="0096710A" w:rsidP="0096710A">
      <w:pPr>
        <w:spacing w:line="240" w:lineRule="auto"/>
        <w:rPr>
          <w:rFonts w:ascii="Times New Roman" w:hAnsi="Times New Roman" w:cs="Times New Roman"/>
          <w:color w:val="000000" w:themeColor="text1"/>
          <w:lang w:val="en-US"/>
        </w:rPr>
      </w:pPr>
      <w:r w:rsidRPr="00F04677">
        <w:rPr>
          <w:rFonts w:ascii="Times New Roman" w:hAnsi="Times New Roman" w:cs="Times New Roman"/>
          <w:color w:val="000000" w:themeColor="text1"/>
          <w:lang w:val="en-US"/>
        </w:rPr>
        <w:t xml:space="preserve">600 MCA205-mFAP cells per well in 384-well plates were seeded on day 0 and irradiated on day </w:t>
      </w:r>
      <w:r w:rsidRPr="00F04677">
        <w:rPr>
          <w:rFonts w:ascii="Times New Roman" w:hAnsi="Times New Roman" w:cs="Times New Roman"/>
          <w:lang w:val="en-US"/>
        </w:rPr>
        <w:t xml:space="preserve">1 </w:t>
      </w:r>
      <w:r w:rsidRPr="00F04677">
        <w:rPr>
          <w:rFonts w:ascii="Times New Roman" w:hAnsi="Times New Roman" w:cs="Times New Roman"/>
          <w:shd w:val="clear" w:color="auto" w:fill="FFFFFF"/>
          <w:lang w:val="en-US"/>
        </w:rPr>
        <w:t>using </w:t>
      </w:r>
      <w:r w:rsidRPr="00F04677">
        <w:rPr>
          <w:rStyle w:val="Hervorhebung"/>
          <w:rFonts w:ascii="Times New Roman" w:hAnsi="Times New Roman" w:cs="Times New Roman"/>
          <w:i w:val="0"/>
          <w:iCs w:val="0"/>
          <w:shd w:val="clear" w:color="auto" w:fill="FFFFFF"/>
          <w:lang w:val="en-US"/>
        </w:rPr>
        <w:t>X</w:t>
      </w:r>
      <w:r w:rsidRPr="00F04677">
        <w:rPr>
          <w:rFonts w:ascii="Times New Roman" w:hAnsi="Times New Roman" w:cs="Times New Roman"/>
          <w:shd w:val="clear" w:color="auto" w:fill="FFFFFF"/>
          <w:lang w:val="en-US"/>
        </w:rPr>
        <w:t>-</w:t>
      </w:r>
      <w:r w:rsidRPr="00F04677">
        <w:rPr>
          <w:rStyle w:val="Hervorhebung"/>
          <w:rFonts w:ascii="Times New Roman" w:hAnsi="Times New Roman" w:cs="Times New Roman"/>
          <w:i w:val="0"/>
          <w:iCs w:val="0"/>
          <w:shd w:val="clear" w:color="auto" w:fill="FFFFFF"/>
          <w:lang w:val="en-US"/>
        </w:rPr>
        <w:t>RAD 320</w:t>
      </w:r>
      <w:r w:rsidRPr="00F04677">
        <w:rPr>
          <w:rFonts w:ascii="Times New Roman" w:hAnsi="Times New Roman" w:cs="Times New Roman"/>
          <w:shd w:val="clear" w:color="auto" w:fill="FFFFFF"/>
          <w:lang w:val="en-US"/>
        </w:rPr>
        <w:t> (</w:t>
      </w:r>
      <w:r w:rsidRPr="00F04677">
        <w:rPr>
          <w:rStyle w:val="Hervorhebung"/>
          <w:rFonts w:ascii="Times New Roman" w:hAnsi="Times New Roman" w:cs="Times New Roman"/>
          <w:i w:val="0"/>
          <w:iCs w:val="0"/>
          <w:shd w:val="clear" w:color="auto" w:fill="FFFFFF"/>
          <w:lang w:val="en-US"/>
        </w:rPr>
        <w:t>Precision X</w:t>
      </w:r>
      <w:r w:rsidRPr="00F04677">
        <w:rPr>
          <w:rFonts w:ascii="Times New Roman" w:hAnsi="Times New Roman" w:cs="Times New Roman"/>
          <w:shd w:val="clear" w:color="auto" w:fill="FFFFFF"/>
          <w:lang w:val="en-US"/>
        </w:rPr>
        <w:t>-</w:t>
      </w:r>
      <w:r w:rsidRPr="00F04677">
        <w:rPr>
          <w:rStyle w:val="Hervorhebung"/>
          <w:rFonts w:ascii="Times New Roman" w:hAnsi="Times New Roman" w:cs="Times New Roman"/>
          <w:i w:val="0"/>
          <w:iCs w:val="0"/>
          <w:shd w:val="clear" w:color="auto" w:fill="FFFFFF"/>
          <w:lang w:val="en-US"/>
        </w:rPr>
        <w:t>ray</w:t>
      </w:r>
      <w:r w:rsidRPr="00F04677">
        <w:rPr>
          <w:rFonts w:ascii="Times New Roman" w:hAnsi="Times New Roman" w:cs="Times New Roman"/>
          <w:shd w:val="clear" w:color="auto" w:fill="FFFFFF"/>
          <w:lang w:val="en-US"/>
        </w:rPr>
        <w:t>)</w:t>
      </w:r>
      <w:r w:rsidRPr="00F04677" w:rsidDel="00432784">
        <w:rPr>
          <w:rFonts w:ascii="Times New Roman" w:hAnsi="Times New Roman" w:cs="Times New Roman"/>
          <w:lang w:val="en-US"/>
        </w:rPr>
        <w:t xml:space="preserve"> </w:t>
      </w:r>
      <w:r w:rsidRPr="00F04677">
        <w:rPr>
          <w:rFonts w:ascii="Times New Roman" w:hAnsi="Times New Roman" w:cs="Times New Roman"/>
          <w:color w:val="000000" w:themeColor="text1"/>
          <w:lang w:val="en-US"/>
        </w:rPr>
        <w:t>with increasing amounts of radiation, and cell viability was measured on day 5 using Cell TiterGlo (Promega) on the Victor X (Perkin Elmer).</w:t>
      </w:r>
    </w:p>
    <w:p w14:paraId="1CE9AFE0" w14:textId="0B3ECDFC" w:rsidR="0096710A" w:rsidRPr="00A0480B" w:rsidRDefault="0096710A" w:rsidP="0096710A">
      <w:pPr>
        <w:spacing w:after="120"/>
        <w:rPr>
          <w:rFonts w:ascii="Times New Roman" w:hAnsi="Times New Roman" w:cs="Times New Roman"/>
          <w:color w:val="000000" w:themeColor="text1"/>
          <w:lang w:val="en-US"/>
        </w:rPr>
      </w:pPr>
      <w:r w:rsidRPr="00A0480B" w:rsidDel="0095637D">
        <w:rPr>
          <w:rFonts w:ascii="Times New Roman" w:hAnsi="Times New Roman" w:cs="Times New Roman"/>
          <w:b/>
          <w:bCs/>
          <w:i/>
          <w:iCs/>
          <w:color w:val="000000" w:themeColor="text1"/>
          <w:lang w:val="en-US"/>
        </w:rPr>
        <w:t>In vitro</w:t>
      </w:r>
      <w:r w:rsidRPr="00A0480B" w:rsidDel="0095637D">
        <w:rPr>
          <w:rFonts w:ascii="Times New Roman" w:hAnsi="Times New Roman" w:cs="Times New Roman"/>
          <w:b/>
          <w:bCs/>
          <w:color w:val="000000" w:themeColor="text1"/>
          <w:lang w:val="en-US"/>
        </w:rPr>
        <w:t xml:space="preserve"> STING pathway activation analysis</w:t>
      </w:r>
    </w:p>
    <w:p w14:paraId="558E86FC" w14:textId="1AA3E736" w:rsidR="0096710A" w:rsidRPr="00A0480B" w:rsidDel="0095637D" w:rsidRDefault="0096710A" w:rsidP="0096710A">
      <w:pPr>
        <w:spacing w:after="120"/>
        <w:rPr>
          <w:rFonts w:ascii="Times New Roman" w:hAnsi="Times New Roman" w:cs="Times New Roman"/>
          <w:color w:val="000000" w:themeColor="text1"/>
          <w:lang w:val="en-US"/>
        </w:rPr>
      </w:pPr>
      <w:r w:rsidRPr="00A0480B" w:rsidDel="0095637D">
        <w:rPr>
          <w:rFonts w:ascii="Times New Roman" w:hAnsi="Times New Roman" w:cs="Times New Roman"/>
          <w:color w:val="000000" w:themeColor="text1"/>
          <w:lang w:val="en-US"/>
        </w:rPr>
        <w:t>Cells were seeded at 1×10</w:t>
      </w:r>
      <w:r w:rsidRPr="00A0480B" w:rsidDel="0095637D">
        <w:rPr>
          <w:rFonts w:ascii="Times New Roman" w:hAnsi="Times New Roman" w:cs="Times New Roman"/>
          <w:color w:val="000000" w:themeColor="text1"/>
          <w:vertAlign w:val="superscript"/>
          <w:lang w:val="en-US"/>
        </w:rPr>
        <w:t>6</w:t>
      </w:r>
      <w:r w:rsidRPr="00A0480B" w:rsidDel="0095637D">
        <w:rPr>
          <w:rFonts w:ascii="Times New Roman" w:hAnsi="Times New Roman" w:cs="Times New Roman"/>
          <w:color w:val="000000" w:themeColor="text1"/>
          <w:lang w:val="en-US"/>
        </w:rPr>
        <w:t xml:space="preserve"> cells per well in 6-well plates the day before transfection with siRNA of cGAS, STING, TBK1, and IRF3 in duplicates, and with Non-Targeting Control (NTC, Dharmcon) by Lipofectamine RNAiMAX (Thermo Fisher Scientific) according to the manufacturer’s instructions. Cells were exposed to 10 Gy of radiation using an X-Rad320 </w:t>
      </w:r>
      <w:r w:rsidRPr="00A0480B" w:rsidDel="0095637D">
        <w:rPr>
          <w:rFonts w:ascii="Times New Roman" w:hAnsi="Times New Roman" w:cs="Times New Roman"/>
          <w:shd w:val="clear" w:color="auto" w:fill="FFFFFF"/>
          <w:lang w:val="en-US"/>
        </w:rPr>
        <w:t>(</w:t>
      </w:r>
      <w:r w:rsidRPr="00A0480B" w:rsidDel="0095637D">
        <w:rPr>
          <w:rStyle w:val="Hervorhebung"/>
          <w:rFonts w:ascii="Times New Roman" w:hAnsi="Times New Roman" w:cs="Times New Roman"/>
          <w:shd w:val="clear" w:color="auto" w:fill="FFFFFF"/>
          <w:lang w:val="en-US"/>
        </w:rPr>
        <w:t>Precision X</w:t>
      </w:r>
      <w:r w:rsidRPr="00A0480B" w:rsidDel="0095637D">
        <w:rPr>
          <w:rFonts w:ascii="Times New Roman" w:hAnsi="Times New Roman" w:cs="Times New Roman"/>
          <w:shd w:val="clear" w:color="auto" w:fill="FFFFFF"/>
          <w:lang w:val="en-US"/>
        </w:rPr>
        <w:t>-</w:t>
      </w:r>
      <w:r w:rsidRPr="00A0480B" w:rsidDel="0095637D">
        <w:rPr>
          <w:rStyle w:val="Hervorhebung"/>
          <w:rFonts w:ascii="Times New Roman" w:hAnsi="Times New Roman" w:cs="Times New Roman"/>
          <w:shd w:val="clear" w:color="auto" w:fill="FFFFFF"/>
          <w:lang w:val="en-US"/>
        </w:rPr>
        <w:t>ray</w:t>
      </w:r>
      <w:r w:rsidRPr="00A0480B" w:rsidDel="0095637D">
        <w:rPr>
          <w:rFonts w:ascii="Times New Roman" w:hAnsi="Times New Roman" w:cs="Times New Roman"/>
          <w:shd w:val="clear" w:color="auto" w:fill="FFFFFF"/>
          <w:lang w:val="en-US"/>
        </w:rPr>
        <w:t>)</w:t>
      </w:r>
      <w:r w:rsidRPr="00A0480B" w:rsidDel="0095637D">
        <w:rPr>
          <w:rFonts w:ascii="Times New Roman" w:hAnsi="Times New Roman" w:cs="Times New Roman"/>
          <w:lang w:val="en-US"/>
        </w:rPr>
        <w:t xml:space="preserve"> </w:t>
      </w:r>
      <w:r w:rsidRPr="00A0480B" w:rsidDel="0095637D">
        <w:rPr>
          <w:rFonts w:ascii="Times New Roman" w:hAnsi="Times New Roman" w:cs="Times New Roman"/>
          <w:color w:val="000000" w:themeColor="text1"/>
          <w:lang w:val="en-US"/>
        </w:rPr>
        <w:t xml:space="preserve">the following day; cells and supernatants were harvest 48 hours later. Total RNA from cells were isolated using PureLink </w:t>
      </w:r>
      <w:r w:rsidRPr="00A0480B" w:rsidDel="0095637D">
        <w:rPr>
          <w:rFonts w:ascii="Times New Roman" w:hAnsi="Times New Roman" w:cs="Times New Roman"/>
          <w:color w:val="000000" w:themeColor="text1"/>
          <w:lang w:val="en-US"/>
        </w:rPr>
        <w:lastRenderedPageBreak/>
        <w:t>mini kit (Thermo Fisher Scientific), cDNA was generated using qScript cDNA SuperMix, and qPCR was performed using TaqMan probe sets and master mix on the ViiA 7 system (Thermo Fisher Scientific). Chemokines were measured in supernatants using ELISA kits (R&amp;D Systems) and detected on the Victor X (Perkin Elmer).</w:t>
      </w:r>
    </w:p>
    <w:p w14:paraId="644CBDF7" w14:textId="77777777" w:rsidR="0096710A" w:rsidRPr="009D7F14" w:rsidRDefault="0096710A" w:rsidP="0096710A">
      <w:pPr>
        <w:spacing w:line="240" w:lineRule="auto"/>
        <w:rPr>
          <w:rFonts w:ascii="Times New Roman" w:hAnsi="Times New Roman" w:cs="Times New Roman"/>
          <w:lang w:val="en-US"/>
        </w:rPr>
      </w:pPr>
    </w:p>
    <w:p w14:paraId="3004C23E" w14:textId="23F00B0E" w:rsidR="0051200F" w:rsidRPr="00F04677" w:rsidRDefault="004D68DA" w:rsidP="00F04677">
      <w:pPr>
        <w:overflowPunct w:val="0"/>
        <w:autoSpaceDE w:val="0"/>
        <w:autoSpaceDN w:val="0"/>
        <w:adjustRightInd w:val="0"/>
        <w:spacing w:after="120" w:line="240" w:lineRule="auto"/>
        <w:jc w:val="both"/>
        <w:textAlignment w:val="baseline"/>
        <w:rPr>
          <w:rFonts w:ascii="Times New Roman" w:hAnsi="Times New Roman" w:cs="Times New Roman"/>
          <w:lang w:val="en-US"/>
        </w:rPr>
      </w:pPr>
      <w:r>
        <w:rPr>
          <w:rFonts w:ascii="Times New Roman" w:hAnsi="Times New Roman" w:cs="Times New Roman"/>
          <w:noProof/>
          <w:szCs w:val="24"/>
        </w:rPr>
        <w:fldChar w:fldCharType="begin"/>
      </w:r>
      <w:r>
        <w:rPr>
          <w:rFonts w:ascii="Times New Roman" w:hAnsi="Times New Roman" w:cs="Times New Roman"/>
          <w:szCs w:val="24"/>
        </w:rPr>
        <w:instrText xml:space="preserve"> ADDIN EN.REFLIST </w:instrText>
      </w:r>
      <w:r w:rsidR="00745EC6">
        <w:rPr>
          <w:rFonts w:ascii="Times New Roman" w:hAnsi="Times New Roman" w:cs="Times New Roman"/>
          <w:noProof/>
          <w:szCs w:val="24"/>
        </w:rPr>
        <w:fldChar w:fldCharType="separate"/>
      </w:r>
      <w:r>
        <w:rPr>
          <w:rFonts w:ascii="Times New Roman" w:hAnsi="Times New Roman" w:cs="Times New Roman"/>
          <w:szCs w:val="24"/>
          <w:lang w:val="en-US"/>
        </w:rPr>
        <w:fldChar w:fldCharType="end"/>
      </w:r>
    </w:p>
    <w:sectPr w:rsidR="0051200F" w:rsidRPr="00F04677">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DFFF6" w14:textId="77777777" w:rsidR="005916BB" w:rsidRDefault="005916BB" w:rsidP="00AD1E5E">
      <w:pPr>
        <w:spacing w:after="0" w:line="240" w:lineRule="auto"/>
      </w:pPr>
      <w:r>
        <w:separator/>
      </w:r>
    </w:p>
  </w:endnote>
  <w:endnote w:type="continuationSeparator" w:id="0">
    <w:p w14:paraId="72270422" w14:textId="77777777" w:rsidR="005916BB" w:rsidRDefault="005916BB" w:rsidP="00AD1E5E">
      <w:pPr>
        <w:spacing w:after="0" w:line="240" w:lineRule="auto"/>
      </w:pPr>
      <w:r>
        <w:continuationSeparator/>
      </w:r>
    </w:p>
  </w:endnote>
  <w:endnote w:type="continuationNotice" w:id="1">
    <w:p w14:paraId="06B64522" w14:textId="77777777" w:rsidR="005916BB" w:rsidRDefault="005916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798113"/>
      <w:docPartObj>
        <w:docPartGallery w:val="Page Numbers (Bottom of Page)"/>
        <w:docPartUnique/>
      </w:docPartObj>
    </w:sdtPr>
    <w:sdtEndPr/>
    <w:sdtContent>
      <w:p w14:paraId="0F63BDDB" w14:textId="7A48AD2E" w:rsidR="008341AA" w:rsidRDefault="008341AA">
        <w:pPr>
          <w:pStyle w:val="Fuzeile"/>
          <w:jc w:val="center"/>
        </w:pPr>
        <w:r>
          <w:fldChar w:fldCharType="begin"/>
        </w:r>
        <w:r>
          <w:instrText>PAGE   \* MERGEFORMAT</w:instrText>
        </w:r>
        <w:r>
          <w:fldChar w:fldCharType="separate"/>
        </w:r>
        <w:r>
          <w:t>2</w:t>
        </w:r>
        <w:r>
          <w:fldChar w:fldCharType="end"/>
        </w:r>
      </w:p>
    </w:sdtContent>
  </w:sdt>
  <w:p w14:paraId="564BC022" w14:textId="77777777" w:rsidR="00F96259" w:rsidRDefault="00F962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86B9B" w14:textId="77777777" w:rsidR="005916BB" w:rsidRDefault="005916BB" w:rsidP="00AD1E5E">
      <w:pPr>
        <w:spacing w:after="0" w:line="240" w:lineRule="auto"/>
      </w:pPr>
      <w:r>
        <w:separator/>
      </w:r>
    </w:p>
  </w:footnote>
  <w:footnote w:type="continuationSeparator" w:id="0">
    <w:p w14:paraId="202A2CF0" w14:textId="77777777" w:rsidR="005916BB" w:rsidRDefault="005916BB" w:rsidP="00AD1E5E">
      <w:pPr>
        <w:spacing w:after="0" w:line="240" w:lineRule="auto"/>
      </w:pPr>
      <w:r>
        <w:continuationSeparator/>
      </w:r>
    </w:p>
  </w:footnote>
  <w:footnote w:type="continuationNotice" w:id="1">
    <w:p w14:paraId="6CD3B77D" w14:textId="77777777" w:rsidR="005916BB" w:rsidRDefault="005916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6AD1" w14:textId="77777777" w:rsidR="00F96259" w:rsidRDefault="00F9625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46FDD"/>
    <w:multiLevelType w:val="hybridMultilevel"/>
    <w:tmpl w:val="CFDCABA0"/>
    <w:lvl w:ilvl="0" w:tplc="56A09A5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BF92F14"/>
    <w:multiLevelType w:val="hybridMultilevel"/>
    <w:tmpl w:val="AB9623B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773893"/>
    <w:multiLevelType w:val="hybridMultilevel"/>
    <w:tmpl w:val="7CBA8456"/>
    <w:lvl w:ilvl="0" w:tplc="742AEE9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B154E62"/>
    <w:multiLevelType w:val="hybridMultilevel"/>
    <w:tmpl w:val="B45CE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306EA7"/>
    <w:multiLevelType w:val="hybridMultilevel"/>
    <w:tmpl w:val="ADCAD45C"/>
    <w:lvl w:ilvl="0" w:tplc="03123348">
      <w:start w:val="7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381B98"/>
    <w:multiLevelType w:val="hybridMultilevel"/>
    <w:tmpl w:val="581CC744"/>
    <w:lvl w:ilvl="0" w:tplc="124431A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7E156F8"/>
    <w:multiLevelType w:val="hybridMultilevel"/>
    <w:tmpl w:val="E26001EC"/>
    <w:lvl w:ilvl="0" w:tplc="F6361DAE">
      <w:start w:val="1"/>
      <w:numFmt w:val="bullet"/>
      <w:lvlText w:val=""/>
      <w:lvlJc w:val="left"/>
      <w:pPr>
        <w:ind w:left="720" w:hanging="360"/>
      </w:pPr>
      <w:rPr>
        <w:rFonts w:ascii="Symbol" w:hAnsi="Symbol" w:hint="default"/>
      </w:rPr>
    </w:lvl>
    <w:lvl w:ilvl="1" w:tplc="7758F37E">
      <w:start w:val="1"/>
      <w:numFmt w:val="bullet"/>
      <w:lvlText w:val="–"/>
      <w:lvlJc w:val="left"/>
      <w:pPr>
        <w:ind w:left="630" w:hanging="360"/>
      </w:pPr>
      <w:rPr>
        <w:rFonts w:ascii="Courier New" w:hAnsi="Courier New" w:hint="default"/>
      </w:rPr>
    </w:lvl>
    <w:lvl w:ilvl="2" w:tplc="04090005">
      <w:start w:val="1"/>
      <w:numFmt w:val="bullet"/>
      <w:lvlText w:val=""/>
      <w:lvlJc w:val="left"/>
      <w:pPr>
        <w:ind w:left="1350" w:hanging="360"/>
      </w:pPr>
      <w:rPr>
        <w:rFonts w:ascii="Wingdings" w:hAnsi="Wingdings" w:hint="default"/>
      </w:rPr>
    </w:lvl>
    <w:lvl w:ilvl="3" w:tplc="2250A0E0">
      <w:numFmt w:val="bullet"/>
      <w:lvlText w:val="•"/>
      <w:lvlJc w:val="left"/>
      <w:pPr>
        <w:ind w:left="2430" w:hanging="720"/>
      </w:pPr>
      <w:rPr>
        <w:rFonts w:ascii="Calibri" w:eastAsiaTheme="minorHAnsi" w:hAnsi="Calibri" w:cstheme="minorBidi" w:hint="default"/>
      </w:rPr>
    </w:lvl>
    <w:lvl w:ilvl="4" w:tplc="04090003">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16cid:durableId="1393963321">
    <w:abstractNumId w:val="0"/>
  </w:num>
  <w:num w:numId="2" w16cid:durableId="340473693">
    <w:abstractNumId w:val="2"/>
  </w:num>
  <w:num w:numId="3" w16cid:durableId="983583849">
    <w:abstractNumId w:val="6"/>
  </w:num>
  <w:num w:numId="4" w16cid:durableId="1254238536">
    <w:abstractNumId w:val="3"/>
  </w:num>
  <w:num w:numId="5" w16cid:durableId="723408712">
    <w:abstractNumId w:val="1"/>
  </w:num>
  <w:num w:numId="6" w16cid:durableId="2035035452">
    <w:abstractNumId w:val="4"/>
  </w:num>
  <w:num w:numId="7" w16cid:durableId="811363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yMDG2MDY3MjUysbRQ0lEKTi0uzszPAykwqgUASMZUZiwAAAA="/>
    <w:docVar w:name="EN.InstantFormat" w:val="&lt;ENInstantFormat&gt;&lt;Enabled&gt;1&lt;/Enabled&gt;&lt;ScanUnformatted&gt;1&lt;/ScanUnformatted&gt;&lt;ScanChanges&gt;1&lt;/ScanChanges&gt;&lt;Suspended&gt;0&lt;/Suspended&gt;&lt;/ENInstantFormat&gt;"/>
    <w:docVar w:name="EN.Layout" w:val="&lt;ENLayout&gt;&lt;Style&gt;Euro J Nuc Med Molec Imag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959spaizpt2nesrx559wrfv2fpf0v0f2t5&quot;&gt;matthias.paschke@3b-pharma.com&lt;record-ids&gt;&lt;item&gt;8142&lt;/item&gt;&lt;/record-ids&gt;&lt;/item&gt;&lt;/Libraries&gt;"/>
  </w:docVars>
  <w:rsids>
    <w:rsidRoot w:val="0084613A"/>
    <w:rsid w:val="00001281"/>
    <w:rsid w:val="0000218D"/>
    <w:rsid w:val="00002BB8"/>
    <w:rsid w:val="0000356C"/>
    <w:rsid w:val="0000475A"/>
    <w:rsid w:val="00004845"/>
    <w:rsid w:val="000052F1"/>
    <w:rsid w:val="00006368"/>
    <w:rsid w:val="000066D1"/>
    <w:rsid w:val="00006858"/>
    <w:rsid w:val="000130ED"/>
    <w:rsid w:val="00013495"/>
    <w:rsid w:val="00014DD8"/>
    <w:rsid w:val="000155B6"/>
    <w:rsid w:val="000177DD"/>
    <w:rsid w:val="00021033"/>
    <w:rsid w:val="00025C2C"/>
    <w:rsid w:val="00026C67"/>
    <w:rsid w:val="00031F31"/>
    <w:rsid w:val="0003297D"/>
    <w:rsid w:val="00033FF0"/>
    <w:rsid w:val="00034F0D"/>
    <w:rsid w:val="000354C5"/>
    <w:rsid w:val="000369CE"/>
    <w:rsid w:val="000377F8"/>
    <w:rsid w:val="00041326"/>
    <w:rsid w:val="00041E0A"/>
    <w:rsid w:val="00042882"/>
    <w:rsid w:val="00042A42"/>
    <w:rsid w:val="00042ABF"/>
    <w:rsid w:val="000431E3"/>
    <w:rsid w:val="00043FCA"/>
    <w:rsid w:val="00045705"/>
    <w:rsid w:val="00045732"/>
    <w:rsid w:val="00046336"/>
    <w:rsid w:val="00046DC0"/>
    <w:rsid w:val="00047ED1"/>
    <w:rsid w:val="00050C21"/>
    <w:rsid w:val="00051ED3"/>
    <w:rsid w:val="000527E2"/>
    <w:rsid w:val="000556BB"/>
    <w:rsid w:val="00057A40"/>
    <w:rsid w:val="0006257C"/>
    <w:rsid w:val="000628D2"/>
    <w:rsid w:val="00062EF8"/>
    <w:rsid w:val="00062F93"/>
    <w:rsid w:val="0007009C"/>
    <w:rsid w:val="0007066C"/>
    <w:rsid w:val="00070EE3"/>
    <w:rsid w:val="0007135D"/>
    <w:rsid w:val="00071AA2"/>
    <w:rsid w:val="00071CD9"/>
    <w:rsid w:val="0007318A"/>
    <w:rsid w:val="00073E62"/>
    <w:rsid w:val="00075A1B"/>
    <w:rsid w:val="00076217"/>
    <w:rsid w:val="00076437"/>
    <w:rsid w:val="00076941"/>
    <w:rsid w:val="00076E77"/>
    <w:rsid w:val="00080E21"/>
    <w:rsid w:val="000829FE"/>
    <w:rsid w:val="00084836"/>
    <w:rsid w:val="00084EE1"/>
    <w:rsid w:val="0008686E"/>
    <w:rsid w:val="0009537B"/>
    <w:rsid w:val="00096947"/>
    <w:rsid w:val="000A0164"/>
    <w:rsid w:val="000A1D99"/>
    <w:rsid w:val="000A2618"/>
    <w:rsid w:val="000A262C"/>
    <w:rsid w:val="000A3E47"/>
    <w:rsid w:val="000A7EB6"/>
    <w:rsid w:val="000B000F"/>
    <w:rsid w:val="000B32EA"/>
    <w:rsid w:val="000B3A97"/>
    <w:rsid w:val="000B56DF"/>
    <w:rsid w:val="000B59A7"/>
    <w:rsid w:val="000B60D9"/>
    <w:rsid w:val="000C2B17"/>
    <w:rsid w:val="000C5A8B"/>
    <w:rsid w:val="000C5B85"/>
    <w:rsid w:val="000C6654"/>
    <w:rsid w:val="000C7DA1"/>
    <w:rsid w:val="000D027E"/>
    <w:rsid w:val="000D1210"/>
    <w:rsid w:val="000D41DF"/>
    <w:rsid w:val="000D616D"/>
    <w:rsid w:val="000D62BE"/>
    <w:rsid w:val="000D67B6"/>
    <w:rsid w:val="000D6F88"/>
    <w:rsid w:val="000E051A"/>
    <w:rsid w:val="000E148E"/>
    <w:rsid w:val="000E1B3D"/>
    <w:rsid w:val="000E27FD"/>
    <w:rsid w:val="000E686D"/>
    <w:rsid w:val="000F076D"/>
    <w:rsid w:val="000F0C79"/>
    <w:rsid w:val="000F32EB"/>
    <w:rsid w:val="000F5CED"/>
    <w:rsid w:val="000F6C46"/>
    <w:rsid w:val="00101150"/>
    <w:rsid w:val="001034A5"/>
    <w:rsid w:val="00103A28"/>
    <w:rsid w:val="001040DC"/>
    <w:rsid w:val="00104D70"/>
    <w:rsid w:val="0010502C"/>
    <w:rsid w:val="00110254"/>
    <w:rsid w:val="00110281"/>
    <w:rsid w:val="001104A9"/>
    <w:rsid w:val="00113470"/>
    <w:rsid w:val="0011392C"/>
    <w:rsid w:val="001158A1"/>
    <w:rsid w:val="00115A0C"/>
    <w:rsid w:val="00115E37"/>
    <w:rsid w:val="00116D96"/>
    <w:rsid w:val="001177BA"/>
    <w:rsid w:val="001178A6"/>
    <w:rsid w:val="00117B42"/>
    <w:rsid w:val="00120A97"/>
    <w:rsid w:val="00122287"/>
    <w:rsid w:val="0012285B"/>
    <w:rsid w:val="0012382F"/>
    <w:rsid w:val="00123AD7"/>
    <w:rsid w:val="00123C57"/>
    <w:rsid w:val="00123DD6"/>
    <w:rsid w:val="001246B8"/>
    <w:rsid w:val="00124F98"/>
    <w:rsid w:val="00125FCE"/>
    <w:rsid w:val="00127584"/>
    <w:rsid w:val="001300C1"/>
    <w:rsid w:val="001308B1"/>
    <w:rsid w:val="00131AAC"/>
    <w:rsid w:val="0013288F"/>
    <w:rsid w:val="00135900"/>
    <w:rsid w:val="001406B2"/>
    <w:rsid w:val="00142692"/>
    <w:rsid w:val="00143B9D"/>
    <w:rsid w:val="001456E8"/>
    <w:rsid w:val="001464C3"/>
    <w:rsid w:val="00146808"/>
    <w:rsid w:val="0014793E"/>
    <w:rsid w:val="00151715"/>
    <w:rsid w:val="00151883"/>
    <w:rsid w:val="00152930"/>
    <w:rsid w:val="00152BF4"/>
    <w:rsid w:val="00152F37"/>
    <w:rsid w:val="00153B7E"/>
    <w:rsid w:val="001542F6"/>
    <w:rsid w:val="00155B79"/>
    <w:rsid w:val="00157D31"/>
    <w:rsid w:val="0016056C"/>
    <w:rsid w:val="00161601"/>
    <w:rsid w:val="001616B8"/>
    <w:rsid w:val="00161A9E"/>
    <w:rsid w:val="0016232A"/>
    <w:rsid w:val="0016611D"/>
    <w:rsid w:val="0016667E"/>
    <w:rsid w:val="00167384"/>
    <w:rsid w:val="00170229"/>
    <w:rsid w:val="00172DC1"/>
    <w:rsid w:val="001732CE"/>
    <w:rsid w:val="00174A95"/>
    <w:rsid w:val="00176D34"/>
    <w:rsid w:val="00181E65"/>
    <w:rsid w:val="00181E6C"/>
    <w:rsid w:val="00182393"/>
    <w:rsid w:val="00183BAE"/>
    <w:rsid w:val="00183BB5"/>
    <w:rsid w:val="00183D11"/>
    <w:rsid w:val="001841CF"/>
    <w:rsid w:val="00184B6D"/>
    <w:rsid w:val="00186E57"/>
    <w:rsid w:val="00186EE8"/>
    <w:rsid w:val="00190315"/>
    <w:rsid w:val="001904B6"/>
    <w:rsid w:val="00191957"/>
    <w:rsid w:val="001937E4"/>
    <w:rsid w:val="00195A3F"/>
    <w:rsid w:val="00196A1A"/>
    <w:rsid w:val="00196BCC"/>
    <w:rsid w:val="001A0C34"/>
    <w:rsid w:val="001A5049"/>
    <w:rsid w:val="001A586A"/>
    <w:rsid w:val="001A6D28"/>
    <w:rsid w:val="001A6FC5"/>
    <w:rsid w:val="001A792C"/>
    <w:rsid w:val="001A7B0A"/>
    <w:rsid w:val="001B2E06"/>
    <w:rsid w:val="001B3CB0"/>
    <w:rsid w:val="001B58D7"/>
    <w:rsid w:val="001B7A8D"/>
    <w:rsid w:val="001C01A0"/>
    <w:rsid w:val="001C02E8"/>
    <w:rsid w:val="001C0C68"/>
    <w:rsid w:val="001C4C7B"/>
    <w:rsid w:val="001C5B34"/>
    <w:rsid w:val="001D049F"/>
    <w:rsid w:val="001D083F"/>
    <w:rsid w:val="001D13FB"/>
    <w:rsid w:val="001D46D8"/>
    <w:rsid w:val="001D5CEA"/>
    <w:rsid w:val="001D6D98"/>
    <w:rsid w:val="001D75C0"/>
    <w:rsid w:val="001D7972"/>
    <w:rsid w:val="001E0827"/>
    <w:rsid w:val="001E17E7"/>
    <w:rsid w:val="001E1FE2"/>
    <w:rsid w:val="001E2412"/>
    <w:rsid w:val="001E6573"/>
    <w:rsid w:val="001F0032"/>
    <w:rsid w:val="001F0FF4"/>
    <w:rsid w:val="001F1201"/>
    <w:rsid w:val="001F2B67"/>
    <w:rsid w:val="001F3B76"/>
    <w:rsid w:val="001F4696"/>
    <w:rsid w:val="001F5246"/>
    <w:rsid w:val="001F5500"/>
    <w:rsid w:val="001F5D04"/>
    <w:rsid w:val="001F60AF"/>
    <w:rsid w:val="002017B2"/>
    <w:rsid w:val="00201AA1"/>
    <w:rsid w:val="00203634"/>
    <w:rsid w:val="00204A7F"/>
    <w:rsid w:val="002055A9"/>
    <w:rsid w:val="00205E3B"/>
    <w:rsid w:val="00206556"/>
    <w:rsid w:val="0021004B"/>
    <w:rsid w:val="002102FE"/>
    <w:rsid w:val="00211E59"/>
    <w:rsid w:val="00213D85"/>
    <w:rsid w:val="002143EC"/>
    <w:rsid w:val="00216780"/>
    <w:rsid w:val="00217BF7"/>
    <w:rsid w:val="00220CBD"/>
    <w:rsid w:val="00222321"/>
    <w:rsid w:val="002226C2"/>
    <w:rsid w:val="00224AE3"/>
    <w:rsid w:val="0022606A"/>
    <w:rsid w:val="00232914"/>
    <w:rsid w:val="00232C97"/>
    <w:rsid w:val="0023346C"/>
    <w:rsid w:val="00233DA2"/>
    <w:rsid w:val="00235A3A"/>
    <w:rsid w:val="002364D9"/>
    <w:rsid w:val="002371E1"/>
    <w:rsid w:val="002419F9"/>
    <w:rsid w:val="00241C05"/>
    <w:rsid w:val="002431D2"/>
    <w:rsid w:val="00244934"/>
    <w:rsid w:val="00246670"/>
    <w:rsid w:val="0024762E"/>
    <w:rsid w:val="002504EC"/>
    <w:rsid w:val="00251AC1"/>
    <w:rsid w:val="00251FC8"/>
    <w:rsid w:val="00252621"/>
    <w:rsid w:val="00253AC0"/>
    <w:rsid w:val="0025462F"/>
    <w:rsid w:val="00254B44"/>
    <w:rsid w:val="00257268"/>
    <w:rsid w:val="002578F7"/>
    <w:rsid w:val="00263AE9"/>
    <w:rsid w:val="00266240"/>
    <w:rsid w:val="0026692B"/>
    <w:rsid w:val="00267442"/>
    <w:rsid w:val="00267C5B"/>
    <w:rsid w:val="00267F7A"/>
    <w:rsid w:val="00270BE4"/>
    <w:rsid w:val="00270C55"/>
    <w:rsid w:val="00272927"/>
    <w:rsid w:val="0027302A"/>
    <w:rsid w:val="0027462D"/>
    <w:rsid w:val="00274776"/>
    <w:rsid w:val="00274972"/>
    <w:rsid w:val="0027581E"/>
    <w:rsid w:val="00275955"/>
    <w:rsid w:val="00277D07"/>
    <w:rsid w:val="0028175D"/>
    <w:rsid w:val="002846EE"/>
    <w:rsid w:val="00290E88"/>
    <w:rsid w:val="00291808"/>
    <w:rsid w:val="00291819"/>
    <w:rsid w:val="00292C00"/>
    <w:rsid w:val="0029474C"/>
    <w:rsid w:val="0029478E"/>
    <w:rsid w:val="00295184"/>
    <w:rsid w:val="0029684E"/>
    <w:rsid w:val="00296E56"/>
    <w:rsid w:val="00297A1E"/>
    <w:rsid w:val="00297B04"/>
    <w:rsid w:val="00297F27"/>
    <w:rsid w:val="002A00A9"/>
    <w:rsid w:val="002A0EE9"/>
    <w:rsid w:val="002A311E"/>
    <w:rsid w:val="002A5F11"/>
    <w:rsid w:val="002A6E78"/>
    <w:rsid w:val="002A7F93"/>
    <w:rsid w:val="002B07EB"/>
    <w:rsid w:val="002B2826"/>
    <w:rsid w:val="002B2CCB"/>
    <w:rsid w:val="002B2FCB"/>
    <w:rsid w:val="002B4760"/>
    <w:rsid w:val="002B6C49"/>
    <w:rsid w:val="002B7730"/>
    <w:rsid w:val="002C06DC"/>
    <w:rsid w:val="002C0B75"/>
    <w:rsid w:val="002C1C5C"/>
    <w:rsid w:val="002C5238"/>
    <w:rsid w:val="002C6F55"/>
    <w:rsid w:val="002C7016"/>
    <w:rsid w:val="002C7FDB"/>
    <w:rsid w:val="002D01EF"/>
    <w:rsid w:val="002D287C"/>
    <w:rsid w:val="002D2CCD"/>
    <w:rsid w:val="002D3531"/>
    <w:rsid w:val="002D424E"/>
    <w:rsid w:val="002D4AA9"/>
    <w:rsid w:val="002D4BE0"/>
    <w:rsid w:val="002D5E04"/>
    <w:rsid w:val="002D788C"/>
    <w:rsid w:val="002E0A33"/>
    <w:rsid w:val="002E1784"/>
    <w:rsid w:val="002E2E64"/>
    <w:rsid w:val="002E3EE5"/>
    <w:rsid w:val="002E4BAE"/>
    <w:rsid w:val="002E5969"/>
    <w:rsid w:val="002E7B60"/>
    <w:rsid w:val="002F1FC5"/>
    <w:rsid w:val="002F2856"/>
    <w:rsid w:val="002F3819"/>
    <w:rsid w:val="002F4754"/>
    <w:rsid w:val="002F54C3"/>
    <w:rsid w:val="002F5FCE"/>
    <w:rsid w:val="002F753B"/>
    <w:rsid w:val="00300510"/>
    <w:rsid w:val="00303753"/>
    <w:rsid w:val="00304A77"/>
    <w:rsid w:val="00304DFB"/>
    <w:rsid w:val="00305A79"/>
    <w:rsid w:val="003061BA"/>
    <w:rsid w:val="003073B8"/>
    <w:rsid w:val="00307918"/>
    <w:rsid w:val="003115BE"/>
    <w:rsid w:val="00311E43"/>
    <w:rsid w:val="00312178"/>
    <w:rsid w:val="00314471"/>
    <w:rsid w:val="003146A5"/>
    <w:rsid w:val="00315A9C"/>
    <w:rsid w:val="003165F0"/>
    <w:rsid w:val="00317875"/>
    <w:rsid w:val="00317A07"/>
    <w:rsid w:val="00317BAF"/>
    <w:rsid w:val="00322230"/>
    <w:rsid w:val="00322C0C"/>
    <w:rsid w:val="003242CB"/>
    <w:rsid w:val="003260B3"/>
    <w:rsid w:val="00327CB2"/>
    <w:rsid w:val="0033041E"/>
    <w:rsid w:val="003312AF"/>
    <w:rsid w:val="003316B5"/>
    <w:rsid w:val="00331ABC"/>
    <w:rsid w:val="00332470"/>
    <w:rsid w:val="00333A8B"/>
    <w:rsid w:val="00334803"/>
    <w:rsid w:val="00337212"/>
    <w:rsid w:val="003402DD"/>
    <w:rsid w:val="00341065"/>
    <w:rsid w:val="00341D3F"/>
    <w:rsid w:val="00344861"/>
    <w:rsid w:val="00344AF3"/>
    <w:rsid w:val="00346B32"/>
    <w:rsid w:val="00347FE9"/>
    <w:rsid w:val="003512B3"/>
    <w:rsid w:val="00351D7E"/>
    <w:rsid w:val="003521A0"/>
    <w:rsid w:val="00353610"/>
    <w:rsid w:val="00356606"/>
    <w:rsid w:val="003573A4"/>
    <w:rsid w:val="00357BA0"/>
    <w:rsid w:val="0036207C"/>
    <w:rsid w:val="00362D14"/>
    <w:rsid w:val="00363A1C"/>
    <w:rsid w:val="00363F48"/>
    <w:rsid w:val="00365B14"/>
    <w:rsid w:val="00365F50"/>
    <w:rsid w:val="00366FCE"/>
    <w:rsid w:val="00367F40"/>
    <w:rsid w:val="00370065"/>
    <w:rsid w:val="00371619"/>
    <w:rsid w:val="00371798"/>
    <w:rsid w:val="0037188D"/>
    <w:rsid w:val="00372B27"/>
    <w:rsid w:val="00372DF5"/>
    <w:rsid w:val="0037382D"/>
    <w:rsid w:val="00375132"/>
    <w:rsid w:val="00375437"/>
    <w:rsid w:val="00375C0C"/>
    <w:rsid w:val="00376D7D"/>
    <w:rsid w:val="00377D0B"/>
    <w:rsid w:val="00381068"/>
    <w:rsid w:val="00381FC1"/>
    <w:rsid w:val="00383DA8"/>
    <w:rsid w:val="003851F0"/>
    <w:rsid w:val="00385C3B"/>
    <w:rsid w:val="003860A2"/>
    <w:rsid w:val="0038711B"/>
    <w:rsid w:val="003879F4"/>
    <w:rsid w:val="00392081"/>
    <w:rsid w:val="0039246C"/>
    <w:rsid w:val="003949EA"/>
    <w:rsid w:val="003955F4"/>
    <w:rsid w:val="0039667F"/>
    <w:rsid w:val="00396931"/>
    <w:rsid w:val="003A003D"/>
    <w:rsid w:val="003A0845"/>
    <w:rsid w:val="003A0F78"/>
    <w:rsid w:val="003A1058"/>
    <w:rsid w:val="003A13F7"/>
    <w:rsid w:val="003A274F"/>
    <w:rsid w:val="003A2A1C"/>
    <w:rsid w:val="003A2FD2"/>
    <w:rsid w:val="003A591E"/>
    <w:rsid w:val="003A5C06"/>
    <w:rsid w:val="003A676A"/>
    <w:rsid w:val="003B062C"/>
    <w:rsid w:val="003B13CE"/>
    <w:rsid w:val="003B19D4"/>
    <w:rsid w:val="003B425E"/>
    <w:rsid w:val="003C1F6F"/>
    <w:rsid w:val="003C4253"/>
    <w:rsid w:val="003C5FC8"/>
    <w:rsid w:val="003C66EA"/>
    <w:rsid w:val="003D17B2"/>
    <w:rsid w:val="003D23D5"/>
    <w:rsid w:val="003D2C47"/>
    <w:rsid w:val="003D3387"/>
    <w:rsid w:val="003D3427"/>
    <w:rsid w:val="003D4247"/>
    <w:rsid w:val="003D4C82"/>
    <w:rsid w:val="003D6601"/>
    <w:rsid w:val="003E2903"/>
    <w:rsid w:val="003E2D2D"/>
    <w:rsid w:val="003E2D9F"/>
    <w:rsid w:val="003E3E4D"/>
    <w:rsid w:val="003E4054"/>
    <w:rsid w:val="003E418F"/>
    <w:rsid w:val="003E5B78"/>
    <w:rsid w:val="003E5D94"/>
    <w:rsid w:val="003E6D53"/>
    <w:rsid w:val="003F1B09"/>
    <w:rsid w:val="003F1C25"/>
    <w:rsid w:val="003F210F"/>
    <w:rsid w:val="003F3C5E"/>
    <w:rsid w:val="003F557D"/>
    <w:rsid w:val="003F6F59"/>
    <w:rsid w:val="00400427"/>
    <w:rsid w:val="00401109"/>
    <w:rsid w:val="00401215"/>
    <w:rsid w:val="00410163"/>
    <w:rsid w:val="004124E9"/>
    <w:rsid w:val="0041509B"/>
    <w:rsid w:val="00415718"/>
    <w:rsid w:val="004161E2"/>
    <w:rsid w:val="00416A04"/>
    <w:rsid w:val="00416F43"/>
    <w:rsid w:val="004179AA"/>
    <w:rsid w:val="00421222"/>
    <w:rsid w:val="00424C45"/>
    <w:rsid w:val="004254BE"/>
    <w:rsid w:val="00425706"/>
    <w:rsid w:val="00425C9B"/>
    <w:rsid w:val="0043058F"/>
    <w:rsid w:val="00431AB2"/>
    <w:rsid w:val="00431ADC"/>
    <w:rsid w:val="00432521"/>
    <w:rsid w:val="00432BD9"/>
    <w:rsid w:val="00435152"/>
    <w:rsid w:val="00435162"/>
    <w:rsid w:val="00435782"/>
    <w:rsid w:val="00437306"/>
    <w:rsid w:val="00437E14"/>
    <w:rsid w:val="00442B07"/>
    <w:rsid w:val="00444494"/>
    <w:rsid w:val="00444635"/>
    <w:rsid w:val="004473B2"/>
    <w:rsid w:val="00447C20"/>
    <w:rsid w:val="00451D7D"/>
    <w:rsid w:val="00452BA1"/>
    <w:rsid w:val="004538E8"/>
    <w:rsid w:val="00455AF4"/>
    <w:rsid w:val="00455CBC"/>
    <w:rsid w:val="00457560"/>
    <w:rsid w:val="00462AB9"/>
    <w:rsid w:val="00463A63"/>
    <w:rsid w:val="004655E6"/>
    <w:rsid w:val="00466C24"/>
    <w:rsid w:val="00467626"/>
    <w:rsid w:val="004678A4"/>
    <w:rsid w:val="00467F49"/>
    <w:rsid w:val="00470243"/>
    <w:rsid w:val="00470F47"/>
    <w:rsid w:val="00472177"/>
    <w:rsid w:val="004734A7"/>
    <w:rsid w:val="0047486E"/>
    <w:rsid w:val="00474A03"/>
    <w:rsid w:val="004764F7"/>
    <w:rsid w:val="00481F51"/>
    <w:rsid w:val="00482914"/>
    <w:rsid w:val="0048360C"/>
    <w:rsid w:val="0048429C"/>
    <w:rsid w:val="00485533"/>
    <w:rsid w:val="00485ADD"/>
    <w:rsid w:val="004871AC"/>
    <w:rsid w:val="00487FB8"/>
    <w:rsid w:val="004949C5"/>
    <w:rsid w:val="00497C66"/>
    <w:rsid w:val="004A0206"/>
    <w:rsid w:val="004A13D5"/>
    <w:rsid w:val="004A1431"/>
    <w:rsid w:val="004A2690"/>
    <w:rsid w:val="004A4CFF"/>
    <w:rsid w:val="004A53C4"/>
    <w:rsid w:val="004A5CCC"/>
    <w:rsid w:val="004A6049"/>
    <w:rsid w:val="004A6323"/>
    <w:rsid w:val="004A70CB"/>
    <w:rsid w:val="004A76E5"/>
    <w:rsid w:val="004B2A28"/>
    <w:rsid w:val="004B2FD2"/>
    <w:rsid w:val="004B628A"/>
    <w:rsid w:val="004B6810"/>
    <w:rsid w:val="004B73EC"/>
    <w:rsid w:val="004C0668"/>
    <w:rsid w:val="004C3B31"/>
    <w:rsid w:val="004C595F"/>
    <w:rsid w:val="004C64AF"/>
    <w:rsid w:val="004C7ED6"/>
    <w:rsid w:val="004D0780"/>
    <w:rsid w:val="004D1A92"/>
    <w:rsid w:val="004D1FE1"/>
    <w:rsid w:val="004D374C"/>
    <w:rsid w:val="004D3AB6"/>
    <w:rsid w:val="004D3AEF"/>
    <w:rsid w:val="004D41ED"/>
    <w:rsid w:val="004D670F"/>
    <w:rsid w:val="004D68DA"/>
    <w:rsid w:val="004D7789"/>
    <w:rsid w:val="004D7938"/>
    <w:rsid w:val="004E0021"/>
    <w:rsid w:val="004E279F"/>
    <w:rsid w:val="004E2A17"/>
    <w:rsid w:val="004E2B16"/>
    <w:rsid w:val="004E4CB0"/>
    <w:rsid w:val="004E5CBE"/>
    <w:rsid w:val="004E735E"/>
    <w:rsid w:val="004E7C96"/>
    <w:rsid w:val="004F51D2"/>
    <w:rsid w:val="004F5305"/>
    <w:rsid w:val="004F5373"/>
    <w:rsid w:val="004F7184"/>
    <w:rsid w:val="00502D68"/>
    <w:rsid w:val="005044D6"/>
    <w:rsid w:val="00504CA5"/>
    <w:rsid w:val="00506A97"/>
    <w:rsid w:val="00507AE1"/>
    <w:rsid w:val="00510392"/>
    <w:rsid w:val="00511378"/>
    <w:rsid w:val="0051200F"/>
    <w:rsid w:val="00512857"/>
    <w:rsid w:val="00512C64"/>
    <w:rsid w:val="005132FD"/>
    <w:rsid w:val="005134E2"/>
    <w:rsid w:val="005152E6"/>
    <w:rsid w:val="0051596A"/>
    <w:rsid w:val="00515D38"/>
    <w:rsid w:val="00517EF6"/>
    <w:rsid w:val="005201AB"/>
    <w:rsid w:val="00521427"/>
    <w:rsid w:val="00522464"/>
    <w:rsid w:val="0052250D"/>
    <w:rsid w:val="005227CB"/>
    <w:rsid w:val="00523FCF"/>
    <w:rsid w:val="0052507D"/>
    <w:rsid w:val="00525B34"/>
    <w:rsid w:val="005261E2"/>
    <w:rsid w:val="005261FF"/>
    <w:rsid w:val="00527301"/>
    <w:rsid w:val="0053057F"/>
    <w:rsid w:val="005332E7"/>
    <w:rsid w:val="005334BD"/>
    <w:rsid w:val="00533E45"/>
    <w:rsid w:val="0053432F"/>
    <w:rsid w:val="00534918"/>
    <w:rsid w:val="00534C94"/>
    <w:rsid w:val="0054040B"/>
    <w:rsid w:val="005408AF"/>
    <w:rsid w:val="005448F9"/>
    <w:rsid w:val="00544D6B"/>
    <w:rsid w:val="00544FCD"/>
    <w:rsid w:val="00546434"/>
    <w:rsid w:val="00550522"/>
    <w:rsid w:val="0055391C"/>
    <w:rsid w:val="00554DBA"/>
    <w:rsid w:val="00556086"/>
    <w:rsid w:val="005560D2"/>
    <w:rsid w:val="0055668D"/>
    <w:rsid w:val="0056125D"/>
    <w:rsid w:val="00561B56"/>
    <w:rsid w:val="00567E1A"/>
    <w:rsid w:val="00572BCA"/>
    <w:rsid w:val="00572BCF"/>
    <w:rsid w:val="00575C2C"/>
    <w:rsid w:val="0057692B"/>
    <w:rsid w:val="00576B6C"/>
    <w:rsid w:val="005776DB"/>
    <w:rsid w:val="00582C26"/>
    <w:rsid w:val="0058537C"/>
    <w:rsid w:val="00590A55"/>
    <w:rsid w:val="005916BB"/>
    <w:rsid w:val="00591C2B"/>
    <w:rsid w:val="005924A0"/>
    <w:rsid w:val="00592B67"/>
    <w:rsid w:val="00593E56"/>
    <w:rsid w:val="005944A2"/>
    <w:rsid w:val="00595BDD"/>
    <w:rsid w:val="00595CE9"/>
    <w:rsid w:val="005973C2"/>
    <w:rsid w:val="00597ABB"/>
    <w:rsid w:val="005A07E7"/>
    <w:rsid w:val="005A0C56"/>
    <w:rsid w:val="005A1243"/>
    <w:rsid w:val="005A1E27"/>
    <w:rsid w:val="005A48DA"/>
    <w:rsid w:val="005A4E29"/>
    <w:rsid w:val="005A5A1B"/>
    <w:rsid w:val="005A5E6E"/>
    <w:rsid w:val="005B1BA5"/>
    <w:rsid w:val="005B23A8"/>
    <w:rsid w:val="005B3010"/>
    <w:rsid w:val="005B4160"/>
    <w:rsid w:val="005B5232"/>
    <w:rsid w:val="005B6308"/>
    <w:rsid w:val="005B7500"/>
    <w:rsid w:val="005B7836"/>
    <w:rsid w:val="005C0D99"/>
    <w:rsid w:val="005C4D96"/>
    <w:rsid w:val="005D5E70"/>
    <w:rsid w:val="005D6948"/>
    <w:rsid w:val="005D6A4D"/>
    <w:rsid w:val="005D76D5"/>
    <w:rsid w:val="005D7B2C"/>
    <w:rsid w:val="005E3495"/>
    <w:rsid w:val="005E4DEA"/>
    <w:rsid w:val="005E6603"/>
    <w:rsid w:val="005E7E57"/>
    <w:rsid w:val="005E7F67"/>
    <w:rsid w:val="005F09A7"/>
    <w:rsid w:val="005F208B"/>
    <w:rsid w:val="005F2A29"/>
    <w:rsid w:val="005F2B47"/>
    <w:rsid w:val="005F46C3"/>
    <w:rsid w:val="005F66C0"/>
    <w:rsid w:val="006013B8"/>
    <w:rsid w:val="00601487"/>
    <w:rsid w:val="006030EA"/>
    <w:rsid w:val="0060322F"/>
    <w:rsid w:val="0060436A"/>
    <w:rsid w:val="00604B19"/>
    <w:rsid w:val="00605F76"/>
    <w:rsid w:val="006112B9"/>
    <w:rsid w:val="0061199B"/>
    <w:rsid w:val="0061220C"/>
    <w:rsid w:val="00613C42"/>
    <w:rsid w:val="00614425"/>
    <w:rsid w:val="006157AD"/>
    <w:rsid w:val="006226BE"/>
    <w:rsid w:val="0062285C"/>
    <w:rsid w:val="0062535F"/>
    <w:rsid w:val="00627D5E"/>
    <w:rsid w:val="00630101"/>
    <w:rsid w:val="006325CC"/>
    <w:rsid w:val="00633B20"/>
    <w:rsid w:val="00634F49"/>
    <w:rsid w:val="006351FD"/>
    <w:rsid w:val="006357E6"/>
    <w:rsid w:val="00640340"/>
    <w:rsid w:val="006420AA"/>
    <w:rsid w:val="0064324C"/>
    <w:rsid w:val="00645DF7"/>
    <w:rsid w:val="00646A85"/>
    <w:rsid w:val="006470C6"/>
    <w:rsid w:val="00647CE4"/>
    <w:rsid w:val="00650745"/>
    <w:rsid w:val="00650F09"/>
    <w:rsid w:val="00653F0D"/>
    <w:rsid w:val="00655F1E"/>
    <w:rsid w:val="0066140E"/>
    <w:rsid w:val="006617F5"/>
    <w:rsid w:val="006628CE"/>
    <w:rsid w:val="00663766"/>
    <w:rsid w:val="0066413C"/>
    <w:rsid w:val="00664286"/>
    <w:rsid w:val="00666ADD"/>
    <w:rsid w:val="00667634"/>
    <w:rsid w:val="00667A47"/>
    <w:rsid w:val="00670DFE"/>
    <w:rsid w:val="006727A7"/>
    <w:rsid w:val="0067324A"/>
    <w:rsid w:val="00676D03"/>
    <w:rsid w:val="00676F63"/>
    <w:rsid w:val="00677ED9"/>
    <w:rsid w:val="00681C23"/>
    <w:rsid w:val="006853B5"/>
    <w:rsid w:val="00686AD7"/>
    <w:rsid w:val="00693B67"/>
    <w:rsid w:val="00693BEB"/>
    <w:rsid w:val="0069496F"/>
    <w:rsid w:val="006A0EEC"/>
    <w:rsid w:val="006A15A6"/>
    <w:rsid w:val="006A322A"/>
    <w:rsid w:val="006A355D"/>
    <w:rsid w:val="006A3D71"/>
    <w:rsid w:val="006A5882"/>
    <w:rsid w:val="006B1239"/>
    <w:rsid w:val="006B1569"/>
    <w:rsid w:val="006B2DEE"/>
    <w:rsid w:val="006B3D98"/>
    <w:rsid w:val="006B4234"/>
    <w:rsid w:val="006B5DB3"/>
    <w:rsid w:val="006B7041"/>
    <w:rsid w:val="006C0999"/>
    <w:rsid w:val="006C13C1"/>
    <w:rsid w:val="006C2002"/>
    <w:rsid w:val="006C2073"/>
    <w:rsid w:val="006C6866"/>
    <w:rsid w:val="006D6586"/>
    <w:rsid w:val="006D680D"/>
    <w:rsid w:val="006D6B13"/>
    <w:rsid w:val="006D6B99"/>
    <w:rsid w:val="006D79B1"/>
    <w:rsid w:val="006E231C"/>
    <w:rsid w:val="006E4622"/>
    <w:rsid w:val="006E5A74"/>
    <w:rsid w:val="006F4CCB"/>
    <w:rsid w:val="006F4E35"/>
    <w:rsid w:val="006F6EA7"/>
    <w:rsid w:val="0070048A"/>
    <w:rsid w:val="0070470E"/>
    <w:rsid w:val="007051E9"/>
    <w:rsid w:val="00712633"/>
    <w:rsid w:val="007126E4"/>
    <w:rsid w:val="00714A0F"/>
    <w:rsid w:val="00715319"/>
    <w:rsid w:val="00716396"/>
    <w:rsid w:val="00717028"/>
    <w:rsid w:val="0072040A"/>
    <w:rsid w:val="007204CA"/>
    <w:rsid w:val="007217D0"/>
    <w:rsid w:val="00722981"/>
    <w:rsid w:val="00724D64"/>
    <w:rsid w:val="007254AF"/>
    <w:rsid w:val="00730911"/>
    <w:rsid w:val="00734141"/>
    <w:rsid w:val="007352CF"/>
    <w:rsid w:val="00735CC9"/>
    <w:rsid w:val="00736129"/>
    <w:rsid w:val="00736950"/>
    <w:rsid w:val="00736CDC"/>
    <w:rsid w:val="00737E3B"/>
    <w:rsid w:val="007402B3"/>
    <w:rsid w:val="00740D05"/>
    <w:rsid w:val="00740D57"/>
    <w:rsid w:val="00742415"/>
    <w:rsid w:val="00745CC7"/>
    <w:rsid w:val="00745EC6"/>
    <w:rsid w:val="00747141"/>
    <w:rsid w:val="007515EF"/>
    <w:rsid w:val="00752638"/>
    <w:rsid w:val="00754E97"/>
    <w:rsid w:val="00755BF0"/>
    <w:rsid w:val="00756093"/>
    <w:rsid w:val="007561FF"/>
    <w:rsid w:val="00757B4D"/>
    <w:rsid w:val="00757D2A"/>
    <w:rsid w:val="00757E0B"/>
    <w:rsid w:val="00757FD9"/>
    <w:rsid w:val="00760FAA"/>
    <w:rsid w:val="007615DE"/>
    <w:rsid w:val="00761B94"/>
    <w:rsid w:val="00763720"/>
    <w:rsid w:val="0076482C"/>
    <w:rsid w:val="00765B5A"/>
    <w:rsid w:val="00770309"/>
    <w:rsid w:val="0077172E"/>
    <w:rsid w:val="007722D1"/>
    <w:rsid w:val="0077245E"/>
    <w:rsid w:val="007733FA"/>
    <w:rsid w:val="0077448D"/>
    <w:rsid w:val="0077451E"/>
    <w:rsid w:val="00775599"/>
    <w:rsid w:val="007770F0"/>
    <w:rsid w:val="0078002B"/>
    <w:rsid w:val="0078172E"/>
    <w:rsid w:val="007818CF"/>
    <w:rsid w:val="00783C3D"/>
    <w:rsid w:val="00785938"/>
    <w:rsid w:val="00787077"/>
    <w:rsid w:val="00790542"/>
    <w:rsid w:val="00792015"/>
    <w:rsid w:val="007927D8"/>
    <w:rsid w:val="0079462A"/>
    <w:rsid w:val="00794E2A"/>
    <w:rsid w:val="007951AE"/>
    <w:rsid w:val="0079779F"/>
    <w:rsid w:val="007A0F2A"/>
    <w:rsid w:val="007A1D61"/>
    <w:rsid w:val="007A21E8"/>
    <w:rsid w:val="007A32BC"/>
    <w:rsid w:val="007A3412"/>
    <w:rsid w:val="007A3779"/>
    <w:rsid w:val="007A4038"/>
    <w:rsid w:val="007A4EAC"/>
    <w:rsid w:val="007A4F46"/>
    <w:rsid w:val="007A5C0A"/>
    <w:rsid w:val="007A6B4B"/>
    <w:rsid w:val="007A71EB"/>
    <w:rsid w:val="007A7295"/>
    <w:rsid w:val="007A7D00"/>
    <w:rsid w:val="007B042F"/>
    <w:rsid w:val="007B11F8"/>
    <w:rsid w:val="007B1F63"/>
    <w:rsid w:val="007B37B7"/>
    <w:rsid w:val="007B3E9E"/>
    <w:rsid w:val="007B49AB"/>
    <w:rsid w:val="007B72AF"/>
    <w:rsid w:val="007B7AD5"/>
    <w:rsid w:val="007B7E27"/>
    <w:rsid w:val="007B7F72"/>
    <w:rsid w:val="007C15E3"/>
    <w:rsid w:val="007C21E5"/>
    <w:rsid w:val="007C3AA3"/>
    <w:rsid w:val="007C6F91"/>
    <w:rsid w:val="007C7DD2"/>
    <w:rsid w:val="007D52D9"/>
    <w:rsid w:val="007E01B8"/>
    <w:rsid w:val="007E2AD3"/>
    <w:rsid w:val="007E34D3"/>
    <w:rsid w:val="007E5E61"/>
    <w:rsid w:val="007F0FF0"/>
    <w:rsid w:val="007F1A92"/>
    <w:rsid w:val="007F4860"/>
    <w:rsid w:val="007F50BF"/>
    <w:rsid w:val="007F548E"/>
    <w:rsid w:val="007F78A5"/>
    <w:rsid w:val="007F7FDD"/>
    <w:rsid w:val="008002DA"/>
    <w:rsid w:val="0080170B"/>
    <w:rsid w:val="00804587"/>
    <w:rsid w:val="00804951"/>
    <w:rsid w:val="008051F0"/>
    <w:rsid w:val="00807101"/>
    <w:rsid w:val="00807254"/>
    <w:rsid w:val="0080727F"/>
    <w:rsid w:val="008072F6"/>
    <w:rsid w:val="0081017D"/>
    <w:rsid w:val="00811B83"/>
    <w:rsid w:val="00812101"/>
    <w:rsid w:val="00812230"/>
    <w:rsid w:val="00812311"/>
    <w:rsid w:val="00813622"/>
    <w:rsid w:val="00814A00"/>
    <w:rsid w:val="00816188"/>
    <w:rsid w:val="00826194"/>
    <w:rsid w:val="008303A1"/>
    <w:rsid w:val="008318B4"/>
    <w:rsid w:val="00834122"/>
    <w:rsid w:val="008341AA"/>
    <w:rsid w:val="00834498"/>
    <w:rsid w:val="00837C1C"/>
    <w:rsid w:val="00837FFD"/>
    <w:rsid w:val="008430F0"/>
    <w:rsid w:val="0084613A"/>
    <w:rsid w:val="0084618F"/>
    <w:rsid w:val="00846A8C"/>
    <w:rsid w:val="00846D5B"/>
    <w:rsid w:val="00847D2F"/>
    <w:rsid w:val="00850A82"/>
    <w:rsid w:val="00850EF2"/>
    <w:rsid w:val="0085293C"/>
    <w:rsid w:val="00852982"/>
    <w:rsid w:val="00852E96"/>
    <w:rsid w:val="00853128"/>
    <w:rsid w:val="008543B6"/>
    <w:rsid w:val="00854D64"/>
    <w:rsid w:val="0085635F"/>
    <w:rsid w:val="00856EE7"/>
    <w:rsid w:val="00857F7E"/>
    <w:rsid w:val="00860E38"/>
    <w:rsid w:val="00862CFA"/>
    <w:rsid w:val="00864204"/>
    <w:rsid w:val="0086493D"/>
    <w:rsid w:val="00865FA5"/>
    <w:rsid w:val="00866C3A"/>
    <w:rsid w:val="008673CD"/>
    <w:rsid w:val="0087030A"/>
    <w:rsid w:val="00872634"/>
    <w:rsid w:val="008777F5"/>
    <w:rsid w:val="00880533"/>
    <w:rsid w:val="00880ADD"/>
    <w:rsid w:val="00882464"/>
    <w:rsid w:val="00882858"/>
    <w:rsid w:val="008847AB"/>
    <w:rsid w:val="00885FF2"/>
    <w:rsid w:val="00886982"/>
    <w:rsid w:val="00886AE6"/>
    <w:rsid w:val="008876F9"/>
    <w:rsid w:val="00890020"/>
    <w:rsid w:val="008912F2"/>
    <w:rsid w:val="00893E1F"/>
    <w:rsid w:val="00893FE9"/>
    <w:rsid w:val="008952A5"/>
    <w:rsid w:val="00895E44"/>
    <w:rsid w:val="00896F9C"/>
    <w:rsid w:val="008A1B05"/>
    <w:rsid w:val="008A1C41"/>
    <w:rsid w:val="008A543F"/>
    <w:rsid w:val="008A6360"/>
    <w:rsid w:val="008A6D01"/>
    <w:rsid w:val="008A76BA"/>
    <w:rsid w:val="008A7C96"/>
    <w:rsid w:val="008A7E46"/>
    <w:rsid w:val="008B1B9E"/>
    <w:rsid w:val="008B498E"/>
    <w:rsid w:val="008B64EA"/>
    <w:rsid w:val="008B6606"/>
    <w:rsid w:val="008C0F23"/>
    <w:rsid w:val="008C1596"/>
    <w:rsid w:val="008C1C83"/>
    <w:rsid w:val="008C23E4"/>
    <w:rsid w:val="008C2D82"/>
    <w:rsid w:val="008C30BF"/>
    <w:rsid w:val="008C3D67"/>
    <w:rsid w:val="008C5435"/>
    <w:rsid w:val="008D043E"/>
    <w:rsid w:val="008D2D7A"/>
    <w:rsid w:val="008D2E4A"/>
    <w:rsid w:val="008D3538"/>
    <w:rsid w:val="008D3AD2"/>
    <w:rsid w:val="008D3CAA"/>
    <w:rsid w:val="008D5AB1"/>
    <w:rsid w:val="008D66FE"/>
    <w:rsid w:val="008D78AE"/>
    <w:rsid w:val="008E0315"/>
    <w:rsid w:val="008E131B"/>
    <w:rsid w:val="008E1BBF"/>
    <w:rsid w:val="008E353B"/>
    <w:rsid w:val="008E67C3"/>
    <w:rsid w:val="008E698F"/>
    <w:rsid w:val="008E6ABD"/>
    <w:rsid w:val="008E6D2A"/>
    <w:rsid w:val="008F0DF1"/>
    <w:rsid w:val="008F2245"/>
    <w:rsid w:val="008F3791"/>
    <w:rsid w:val="008F4CC6"/>
    <w:rsid w:val="008F4DFA"/>
    <w:rsid w:val="008F627F"/>
    <w:rsid w:val="008F7474"/>
    <w:rsid w:val="009005D5"/>
    <w:rsid w:val="009031CB"/>
    <w:rsid w:val="00905008"/>
    <w:rsid w:val="00905671"/>
    <w:rsid w:val="00906520"/>
    <w:rsid w:val="009071BE"/>
    <w:rsid w:val="00910442"/>
    <w:rsid w:val="00911D7F"/>
    <w:rsid w:val="00913C64"/>
    <w:rsid w:val="0091445D"/>
    <w:rsid w:val="00915944"/>
    <w:rsid w:val="00916EE3"/>
    <w:rsid w:val="00917997"/>
    <w:rsid w:val="00917DC5"/>
    <w:rsid w:val="00923C0B"/>
    <w:rsid w:val="00924E62"/>
    <w:rsid w:val="00927987"/>
    <w:rsid w:val="00927EB5"/>
    <w:rsid w:val="00930F24"/>
    <w:rsid w:val="00931EFB"/>
    <w:rsid w:val="009322D2"/>
    <w:rsid w:val="00934E56"/>
    <w:rsid w:val="00935699"/>
    <w:rsid w:val="00935A3A"/>
    <w:rsid w:val="00936222"/>
    <w:rsid w:val="00937C3B"/>
    <w:rsid w:val="00940F94"/>
    <w:rsid w:val="009415A3"/>
    <w:rsid w:val="00941D22"/>
    <w:rsid w:val="00942008"/>
    <w:rsid w:val="0094207E"/>
    <w:rsid w:val="00942EEF"/>
    <w:rsid w:val="009445B5"/>
    <w:rsid w:val="00945CCD"/>
    <w:rsid w:val="00947C36"/>
    <w:rsid w:val="00952863"/>
    <w:rsid w:val="0095343D"/>
    <w:rsid w:val="009537DD"/>
    <w:rsid w:val="009546F3"/>
    <w:rsid w:val="00954DB7"/>
    <w:rsid w:val="00955365"/>
    <w:rsid w:val="00956CD0"/>
    <w:rsid w:val="00957459"/>
    <w:rsid w:val="009609E2"/>
    <w:rsid w:val="00963104"/>
    <w:rsid w:val="00963939"/>
    <w:rsid w:val="0096542E"/>
    <w:rsid w:val="0096710A"/>
    <w:rsid w:val="00974448"/>
    <w:rsid w:val="00975960"/>
    <w:rsid w:val="00975EB7"/>
    <w:rsid w:val="00976C1B"/>
    <w:rsid w:val="00976D0E"/>
    <w:rsid w:val="009770B1"/>
    <w:rsid w:val="00977F7A"/>
    <w:rsid w:val="0098019A"/>
    <w:rsid w:val="00980C1B"/>
    <w:rsid w:val="00981741"/>
    <w:rsid w:val="00985FD1"/>
    <w:rsid w:val="00987875"/>
    <w:rsid w:val="00987F44"/>
    <w:rsid w:val="009907A0"/>
    <w:rsid w:val="009926AB"/>
    <w:rsid w:val="00992A45"/>
    <w:rsid w:val="009938E7"/>
    <w:rsid w:val="00994CD2"/>
    <w:rsid w:val="0099676A"/>
    <w:rsid w:val="00996B64"/>
    <w:rsid w:val="009A73A8"/>
    <w:rsid w:val="009B179E"/>
    <w:rsid w:val="009B1F34"/>
    <w:rsid w:val="009B1F69"/>
    <w:rsid w:val="009B21BE"/>
    <w:rsid w:val="009C1419"/>
    <w:rsid w:val="009C1B05"/>
    <w:rsid w:val="009C1B5D"/>
    <w:rsid w:val="009C1CA0"/>
    <w:rsid w:val="009C22C0"/>
    <w:rsid w:val="009C5035"/>
    <w:rsid w:val="009C565A"/>
    <w:rsid w:val="009C6AAE"/>
    <w:rsid w:val="009C74B6"/>
    <w:rsid w:val="009D070F"/>
    <w:rsid w:val="009D0C21"/>
    <w:rsid w:val="009D230A"/>
    <w:rsid w:val="009D2DDB"/>
    <w:rsid w:val="009D3C32"/>
    <w:rsid w:val="009D4490"/>
    <w:rsid w:val="009D5AD4"/>
    <w:rsid w:val="009D5EDA"/>
    <w:rsid w:val="009D67E7"/>
    <w:rsid w:val="009D6868"/>
    <w:rsid w:val="009D7F14"/>
    <w:rsid w:val="009E000B"/>
    <w:rsid w:val="009E1658"/>
    <w:rsid w:val="009E1BA6"/>
    <w:rsid w:val="009E1F0E"/>
    <w:rsid w:val="009E2E9B"/>
    <w:rsid w:val="009E4793"/>
    <w:rsid w:val="009E5A4B"/>
    <w:rsid w:val="009E62E8"/>
    <w:rsid w:val="009E6517"/>
    <w:rsid w:val="009E7CF9"/>
    <w:rsid w:val="009F06FD"/>
    <w:rsid w:val="009F0B7B"/>
    <w:rsid w:val="009F2F58"/>
    <w:rsid w:val="009F63D1"/>
    <w:rsid w:val="009F6B29"/>
    <w:rsid w:val="00A012E1"/>
    <w:rsid w:val="00A026B6"/>
    <w:rsid w:val="00A0480B"/>
    <w:rsid w:val="00A04DD7"/>
    <w:rsid w:val="00A05112"/>
    <w:rsid w:val="00A05900"/>
    <w:rsid w:val="00A0691C"/>
    <w:rsid w:val="00A0695B"/>
    <w:rsid w:val="00A06B54"/>
    <w:rsid w:val="00A06FDF"/>
    <w:rsid w:val="00A076AD"/>
    <w:rsid w:val="00A12DB3"/>
    <w:rsid w:val="00A14B68"/>
    <w:rsid w:val="00A164D1"/>
    <w:rsid w:val="00A17C53"/>
    <w:rsid w:val="00A17EAB"/>
    <w:rsid w:val="00A22779"/>
    <w:rsid w:val="00A22C74"/>
    <w:rsid w:val="00A2528E"/>
    <w:rsid w:val="00A26C5D"/>
    <w:rsid w:val="00A3029A"/>
    <w:rsid w:val="00A308D2"/>
    <w:rsid w:val="00A31369"/>
    <w:rsid w:val="00A3164A"/>
    <w:rsid w:val="00A316DD"/>
    <w:rsid w:val="00A34B66"/>
    <w:rsid w:val="00A36423"/>
    <w:rsid w:val="00A37908"/>
    <w:rsid w:val="00A40159"/>
    <w:rsid w:val="00A40588"/>
    <w:rsid w:val="00A50A55"/>
    <w:rsid w:val="00A50EC7"/>
    <w:rsid w:val="00A5104E"/>
    <w:rsid w:val="00A5127E"/>
    <w:rsid w:val="00A517BD"/>
    <w:rsid w:val="00A51839"/>
    <w:rsid w:val="00A51E70"/>
    <w:rsid w:val="00A5284E"/>
    <w:rsid w:val="00A54051"/>
    <w:rsid w:val="00A5411F"/>
    <w:rsid w:val="00A5420C"/>
    <w:rsid w:val="00A5475C"/>
    <w:rsid w:val="00A56974"/>
    <w:rsid w:val="00A5739A"/>
    <w:rsid w:val="00A577B7"/>
    <w:rsid w:val="00A61A9C"/>
    <w:rsid w:val="00A62406"/>
    <w:rsid w:val="00A63378"/>
    <w:rsid w:val="00A63E87"/>
    <w:rsid w:val="00A64AFA"/>
    <w:rsid w:val="00A654AF"/>
    <w:rsid w:val="00A677BA"/>
    <w:rsid w:val="00A701BE"/>
    <w:rsid w:val="00A70556"/>
    <w:rsid w:val="00A70F58"/>
    <w:rsid w:val="00A7291D"/>
    <w:rsid w:val="00A745A1"/>
    <w:rsid w:val="00A763C6"/>
    <w:rsid w:val="00A76995"/>
    <w:rsid w:val="00A77301"/>
    <w:rsid w:val="00A77B29"/>
    <w:rsid w:val="00A81E1A"/>
    <w:rsid w:val="00A84A87"/>
    <w:rsid w:val="00A84A9A"/>
    <w:rsid w:val="00A8653D"/>
    <w:rsid w:val="00A86F97"/>
    <w:rsid w:val="00A9081B"/>
    <w:rsid w:val="00A90C29"/>
    <w:rsid w:val="00A91073"/>
    <w:rsid w:val="00A93095"/>
    <w:rsid w:val="00A933F5"/>
    <w:rsid w:val="00A93D46"/>
    <w:rsid w:val="00A95C96"/>
    <w:rsid w:val="00A95EB4"/>
    <w:rsid w:val="00A9635E"/>
    <w:rsid w:val="00A97289"/>
    <w:rsid w:val="00AA3FD2"/>
    <w:rsid w:val="00AA5110"/>
    <w:rsid w:val="00AB1B20"/>
    <w:rsid w:val="00AB2ADF"/>
    <w:rsid w:val="00AB35CA"/>
    <w:rsid w:val="00AB39E5"/>
    <w:rsid w:val="00AB4157"/>
    <w:rsid w:val="00AC3C0A"/>
    <w:rsid w:val="00AC5225"/>
    <w:rsid w:val="00AC548B"/>
    <w:rsid w:val="00AC6186"/>
    <w:rsid w:val="00AD0EE7"/>
    <w:rsid w:val="00AD1E5E"/>
    <w:rsid w:val="00AD22F0"/>
    <w:rsid w:val="00AD55B5"/>
    <w:rsid w:val="00AD55D6"/>
    <w:rsid w:val="00AD64E6"/>
    <w:rsid w:val="00AD6AF1"/>
    <w:rsid w:val="00AD768C"/>
    <w:rsid w:val="00AD7B71"/>
    <w:rsid w:val="00AE20C3"/>
    <w:rsid w:val="00AE3D09"/>
    <w:rsid w:val="00AE60D5"/>
    <w:rsid w:val="00AE625C"/>
    <w:rsid w:val="00AF08BE"/>
    <w:rsid w:val="00AF12B3"/>
    <w:rsid w:val="00AF1E5D"/>
    <w:rsid w:val="00AF4244"/>
    <w:rsid w:val="00AF4259"/>
    <w:rsid w:val="00AF52CC"/>
    <w:rsid w:val="00AF59AB"/>
    <w:rsid w:val="00AF59D7"/>
    <w:rsid w:val="00B002A2"/>
    <w:rsid w:val="00B01C87"/>
    <w:rsid w:val="00B038A5"/>
    <w:rsid w:val="00B053A9"/>
    <w:rsid w:val="00B069BD"/>
    <w:rsid w:val="00B11AAF"/>
    <w:rsid w:val="00B12C74"/>
    <w:rsid w:val="00B14144"/>
    <w:rsid w:val="00B20140"/>
    <w:rsid w:val="00B202B5"/>
    <w:rsid w:val="00B2047B"/>
    <w:rsid w:val="00B2480F"/>
    <w:rsid w:val="00B271C8"/>
    <w:rsid w:val="00B279AD"/>
    <w:rsid w:val="00B32902"/>
    <w:rsid w:val="00B33971"/>
    <w:rsid w:val="00B34105"/>
    <w:rsid w:val="00B3428F"/>
    <w:rsid w:val="00B35C34"/>
    <w:rsid w:val="00B35D3E"/>
    <w:rsid w:val="00B36739"/>
    <w:rsid w:val="00B40358"/>
    <w:rsid w:val="00B43830"/>
    <w:rsid w:val="00B44B11"/>
    <w:rsid w:val="00B44E64"/>
    <w:rsid w:val="00B46009"/>
    <w:rsid w:val="00B46838"/>
    <w:rsid w:val="00B4684A"/>
    <w:rsid w:val="00B46DB4"/>
    <w:rsid w:val="00B51848"/>
    <w:rsid w:val="00B51E46"/>
    <w:rsid w:val="00B55669"/>
    <w:rsid w:val="00B55BFB"/>
    <w:rsid w:val="00B5796B"/>
    <w:rsid w:val="00B619B0"/>
    <w:rsid w:val="00B6270A"/>
    <w:rsid w:val="00B65044"/>
    <w:rsid w:val="00B65125"/>
    <w:rsid w:val="00B6576D"/>
    <w:rsid w:val="00B66678"/>
    <w:rsid w:val="00B70ED5"/>
    <w:rsid w:val="00B716C7"/>
    <w:rsid w:val="00B71E7E"/>
    <w:rsid w:val="00B7250D"/>
    <w:rsid w:val="00B72FFA"/>
    <w:rsid w:val="00B730F0"/>
    <w:rsid w:val="00B73149"/>
    <w:rsid w:val="00B76122"/>
    <w:rsid w:val="00B82660"/>
    <w:rsid w:val="00B8309F"/>
    <w:rsid w:val="00B86AA4"/>
    <w:rsid w:val="00B902EB"/>
    <w:rsid w:val="00B94D09"/>
    <w:rsid w:val="00B950BD"/>
    <w:rsid w:val="00B97314"/>
    <w:rsid w:val="00B97D77"/>
    <w:rsid w:val="00BA1151"/>
    <w:rsid w:val="00BA2ED7"/>
    <w:rsid w:val="00BA3FDC"/>
    <w:rsid w:val="00BA511D"/>
    <w:rsid w:val="00BA70C2"/>
    <w:rsid w:val="00BA7BCA"/>
    <w:rsid w:val="00BB1079"/>
    <w:rsid w:val="00BB1E74"/>
    <w:rsid w:val="00BB2C1E"/>
    <w:rsid w:val="00BB5261"/>
    <w:rsid w:val="00BB6326"/>
    <w:rsid w:val="00BB6502"/>
    <w:rsid w:val="00BC0525"/>
    <w:rsid w:val="00BC0614"/>
    <w:rsid w:val="00BC0E23"/>
    <w:rsid w:val="00BC1132"/>
    <w:rsid w:val="00BC3FC7"/>
    <w:rsid w:val="00BC4725"/>
    <w:rsid w:val="00BC54EE"/>
    <w:rsid w:val="00BD0C29"/>
    <w:rsid w:val="00BD1A75"/>
    <w:rsid w:val="00BD2EB5"/>
    <w:rsid w:val="00BD40F1"/>
    <w:rsid w:val="00BD516B"/>
    <w:rsid w:val="00BD5E3D"/>
    <w:rsid w:val="00BD5ED6"/>
    <w:rsid w:val="00BE1AB7"/>
    <w:rsid w:val="00BE27E5"/>
    <w:rsid w:val="00BE371C"/>
    <w:rsid w:val="00BE3A0A"/>
    <w:rsid w:val="00BE6EAE"/>
    <w:rsid w:val="00BE776D"/>
    <w:rsid w:val="00BF00DC"/>
    <w:rsid w:val="00BF1EF3"/>
    <w:rsid w:val="00BF4366"/>
    <w:rsid w:val="00BF51CC"/>
    <w:rsid w:val="00BF66A6"/>
    <w:rsid w:val="00BF76D7"/>
    <w:rsid w:val="00C011BD"/>
    <w:rsid w:val="00C02C56"/>
    <w:rsid w:val="00C03253"/>
    <w:rsid w:val="00C033D1"/>
    <w:rsid w:val="00C03976"/>
    <w:rsid w:val="00C116DB"/>
    <w:rsid w:val="00C13141"/>
    <w:rsid w:val="00C136EC"/>
    <w:rsid w:val="00C13C65"/>
    <w:rsid w:val="00C14804"/>
    <w:rsid w:val="00C1498C"/>
    <w:rsid w:val="00C1515A"/>
    <w:rsid w:val="00C15188"/>
    <w:rsid w:val="00C1578A"/>
    <w:rsid w:val="00C15C19"/>
    <w:rsid w:val="00C16371"/>
    <w:rsid w:val="00C20A79"/>
    <w:rsid w:val="00C23BD0"/>
    <w:rsid w:val="00C2578E"/>
    <w:rsid w:val="00C26BE9"/>
    <w:rsid w:val="00C36294"/>
    <w:rsid w:val="00C3667D"/>
    <w:rsid w:val="00C40908"/>
    <w:rsid w:val="00C42A5F"/>
    <w:rsid w:val="00C4358C"/>
    <w:rsid w:val="00C4366C"/>
    <w:rsid w:val="00C43802"/>
    <w:rsid w:val="00C4475B"/>
    <w:rsid w:val="00C44E10"/>
    <w:rsid w:val="00C450BB"/>
    <w:rsid w:val="00C465E5"/>
    <w:rsid w:val="00C47B85"/>
    <w:rsid w:val="00C47B92"/>
    <w:rsid w:val="00C51A34"/>
    <w:rsid w:val="00C53A02"/>
    <w:rsid w:val="00C55C15"/>
    <w:rsid w:val="00C55DC7"/>
    <w:rsid w:val="00C601F1"/>
    <w:rsid w:val="00C617A9"/>
    <w:rsid w:val="00C62104"/>
    <w:rsid w:val="00C62300"/>
    <w:rsid w:val="00C62D67"/>
    <w:rsid w:val="00C65306"/>
    <w:rsid w:val="00C66029"/>
    <w:rsid w:val="00C6622A"/>
    <w:rsid w:val="00C670C3"/>
    <w:rsid w:val="00C67425"/>
    <w:rsid w:val="00C7037E"/>
    <w:rsid w:val="00C70512"/>
    <w:rsid w:val="00C71B92"/>
    <w:rsid w:val="00C72B36"/>
    <w:rsid w:val="00C73535"/>
    <w:rsid w:val="00C73E24"/>
    <w:rsid w:val="00C763EF"/>
    <w:rsid w:val="00C76CFD"/>
    <w:rsid w:val="00C77BFF"/>
    <w:rsid w:val="00C8241A"/>
    <w:rsid w:val="00C84491"/>
    <w:rsid w:val="00C84DAE"/>
    <w:rsid w:val="00C86B94"/>
    <w:rsid w:val="00C86C67"/>
    <w:rsid w:val="00C86D13"/>
    <w:rsid w:val="00C93690"/>
    <w:rsid w:val="00C93DDD"/>
    <w:rsid w:val="00C96B5A"/>
    <w:rsid w:val="00CA0F0F"/>
    <w:rsid w:val="00CA6B4F"/>
    <w:rsid w:val="00CA7E3B"/>
    <w:rsid w:val="00CB0060"/>
    <w:rsid w:val="00CB15D5"/>
    <w:rsid w:val="00CB1B39"/>
    <w:rsid w:val="00CB1E51"/>
    <w:rsid w:val="00CB2208"/>
    <w:rsid w:val="00CB553F"/>
    <w:rsid w:val="00CB7EF1"/>
    <w:rsid w:val="00CC3A6E"/>
    <w:rsid w:val="00CC46A6"/>
    <w:rsid w:val="00CC4855"/>
    <w:rsid w:val="00CC5752"/>
    <w:rsid w:val="00CC62E6"/>
    <w:rsid w:val="00CC64DF"/>
    <w:rsid w:val="00CD007F"/>
    <w:rsid w:val="00CD1B36"/>
    <w:rsid w:val="00CD33FA"/>
    <w:rsid w:val="00CD4EDA"/>
    <w:rsid w:val="00CD7034"/>
    <w:rsid w:val="00CE0C9D"/>
    <w:rsid w:val="00CE6372"/>
    <w:rsid w:val="00CF05FE"/>
    <w:rsid w:val="00CF0EC2"/>
    <w:rsid w:val="00CF1358"/>
    <w:rsid w:val="00CF2C77"/>
    <w:rsid w:val="00CF5207"/>
    <w:rsid w:val="00CF5357"/>
    <w:rsid w:val="00CF6112"/>
    <w:rsid w:val="00D010B9"/>
    <w:rsid w:val="00D02FBC"/>
    <w:rsid w:val="00D0507E"/>
    <w:rsid w:val="00D05EB0"/>
    <w:rsid w:val="00D06533"/>
    <w:rsid w:val="00D069F0"/>
    <w:rsid w:val="00D074D1"/>
    <w:rsid w:val="00D10215"/>
    <w:rsid w:val="00D113FA"/>
    <w:rsid w:val="00D11861"/>
    <w:rsid w:val="00D13318"/>
    <w:rsid w:val="00D15A92"/>
    <w:rsid w:val="00D16F20"/>
    <w:rsid w:val="00D21DC8"/>
    <w:rsid w:val="00D22853"/>
    <w:rsid w:val="00D22B73"/>
    <w:rsid w:val="00D22DCB"/>
    <w:rsid w:val="00D232E2"/>
    <w:rsid w:val="00D24605"/>
    <w:rsid w:val="00D25B7C"/>
    <w:rsid w:val="00D30978"/>
    <w:rsid w:val="00D317D2"/>
    <w:rsid w:val="00D31E72"/>
    <w:rsid w:val="00D33CC4"/>
    <w:rsid w:val="00D34634"/>
    <w:rsid w:val="00D350D9"/>
    <w:rsid w:val="00D35690"/>
    <w:rsid w:val="00D46B5F"/>
    <w:rsid w:val="00D4705B"/>
    <w:rsid w:val="00D4734E"/>
    <w:rsid w:val="00D477F7"/>
    <w:rsid w:val="00D50580"/>
    <w:rsid w:val="00D50C2C"/>
    <w:rsid w:val="00D50F5D"/>
    <w:rsid w:val="00D5326B"/>
    <w:rsid w:val="00D536C1"/>
    <w:rsid w:val="00D53D7A"/>
    <w:rsid w:val="00D544AF"/>
    <w:rsid w:val="00D63E95"/>
    <w:rsid w:val="00D644F6"/>
    <w:rsid w:val="00D6638B"/>
    <w:rsid w:val="00D67F89"/>
    <w:rsid w:val="00D7233B"/>
    <w:rsid w:val="00D72351"/>
    <w:rsid w:val="00D728E9"/>
    <w:rsid w:val="00D729C1"/>
    <w:rsid w:val="00D75430"/>
    <w:rsid w:val="00D75601"/>
    <w:rsid w:val="00D75A98"/>
    <w:rsid w:val="00D75DDF"/>
    <w:rsid w:val="00D76263"/>
    <w:rsid w:val="00D767A9"/>
    <w:rsid w:val="00D76B2B"/>
    <w:rsid w:val="00D77AFF"/>
    <w:rsid w:val="00D802C1"/>
    <w:rsid w:val="00D802D8"/>
    <w:rsid w:val="00D80D35"/>
    <w:rsid w:val="00D81482"/>
    <w:rsid w:val="00D815F8"/>
    <w:rsid w:val="00D85E87"/>
    <w:rsid w:val="00D866AD"/>
    <w:rsid w:val="00D86812"/>
    <w:rsid w:val="00D9099E"/>
    <w:rsid w:val="00D90A15"/>
    <w:rsid w:val="00D90E32"/>
    <w:rsid w:val="00D91B6C"/>
    <w:rsid w:val="00D94143"/>
    <w:rsid w:val="00D944BF"/>
    <w:rsid w:val="00D9570A"/>
    <w:rsid w:val="00D96C21"/>
    <w:rsid w:val="00DA0E0F"/>
    <w:rsid w:val="00DA2871"/>
    <w:rsid w:val="00DA3621"/>
    <w:rsid w:val="00DA4569"/>
    <w:rsid w:val="00DA60CA"/>
    <w:rsid w:val="00DA6A97"/>
    <w:rsid w:val="00DB3E1A"/>
    <w:rsid w:val="00DC532D"/>
    <w:rsid w:val="00DC67BA"/>
    <w:rsid w:val="00DC6DAF"/>
    <w:rsid w:val="00DC7CA3"/>
    <w:rsid w:val="00DD1791"/>
    <w:rsid w:val="00DD17D4"/>
    <w:rsid w:val="00DD1A18"/>
    <w:rsid w:val="00DD564E"/>
    <w:rsid w:val="00DD5884"/>
    <w:rsid w:val="00DD687B"/>
    <w:rsid w:val="00DD6B13"/>
    <w:rsid w:val="00DE193B"/>
    <w:rsid w:val="00DE48DF"/>
    <w:rsid w:val="00DE54D6"/>
    <w:rsid w:val="00DE5B77"/>
    <w:rsid w:val="00DE5F88"/>
    <w:rsid w:val="00DE6000"/>
    <w:rsid w:val="00DF0A4E"/>
    <w:rsid w:val="00DF308F"/>
    <w:rsid w:val="00DF34D7"/>
    <w:rsid w:val="00DF3B23"/>
    <w:rsid w:val="00DF5862"/>
    <w:rsid w:val="00E000EA"/>
    <w:rsid w:val="00E00948"/>
    <w:rsid w:val="00E01388"/>
    <w:rsid w:val="00E01AB4"/>
    <w:rsid w:val="00E027CA"/>
    <w:rsid w:val="00E04AC3"/>
    <w:rsid w:val="00E07FA9"/>
    <w:rsid w:val="00E10500"/>
    <w:rsid w:val="00E13436"/>
    <w:rsid w:val="00E1550D"/>
    <w:rsid w:val="00E157FA"/>
    <w:rsid w:val="00E163B2"/>
    <w:rsid w:val="00E172B2"/>
    <w:rsid w:val="00E17CC8"/>
    <w:rsid w:val="00E17FEE"/>
    <w:rsid w:val="00E2064B"/>
    <w:rsid w:val="00E2080E"/>
    <w:rsid w:val="00E2756D"/>
    <w:rsid w:val="00E30284"/>
    <w:rsid w:val="00E30F62"/>
    <w:rsid w:val="00E33C26"/>
    <w:rsid w:val="00E347A5"/>
    <w:rsid w:val="00E35470"/>
    <w:rsid w:val="00E35F29"/>
    <w:rsid w:val="00E369B3"/>
    <w:rsid w:val="00E41010"/>
    <w:rsid w:val="00E417AC"/>
    <w:rsid w:val="00E41F7C"/>
    <w:rsid w:val="00E436F8"/>
    <w:rsid w:val="00E43D21"/>
    <w:rsid w:val="00E46212"/>
    <w:rsid w:val="00E47C44"/>
    <w:rsid w:val="00E5007A"/>
    <w:rsid w:val="00E52A7E"/>
    <w:rsid w:val="00E53BF5"/>
    <w:rsid w:val="00E56C0C"/>
    <w:rsid w:val="00E60603"/>
    <w:rsid w:val="00E60ED2"/>
    <w:rsid w:val="00E63047"/>
    <w:rsid w:val="00E64942"/>
    <w:rsid w:val="00E66891"/>
    <w:rsid w:val="00E675E5"/>
    <w:rsid w:val="00E73A38"/>
    <w:rsid w:val="00E74F22"/>
    <w:rsid w:val="00E7521F"/>
    <w:rsid w:val="00E7582C"/>
    <w:rsid w:val="00E7673B"/>
    <w:rsid w:val="00E777E0"/>
    <w:rsid w:val="00E80F3C"/>
    <w:rsid w:val="00E81CD6"/>
    <w:rsid w:val="00E81EF9"/>
    <w:rsid w:val="00E824BD"/>
    <w:rsid w:val="00E82A6E"/>
    <w:rsid w:val="00E84C3A"/>
    <w:rsid w:val="00E84EEB"/>
    <w:rsid w:val="00E85949"/>
    <w:rsid w:val="00E86701"/>
    <w:rsid w:val="00E875AD"/>
    <w:rsid w:val="00E90D30"/>
    <w:rsid w:val="00E918F2"/>
    <w:rsid w:val="00E94A0C"/>
    <w:rsid w:val="00EA2675"/>
    <w:rsid w:val="00EA35F5"/>
    <w:rsid w:val="00EA439E"/>
    <w:rsid w:val="00EA4D5E"/>
    <w:rsid w:val="00EA5146"/>
    <w:rsid w:val="00EA6F5D"/>
    <w:rsid w:val="00EB0FEB"/>
    <w:rsid w:val="00EB22C3"/>
    <w:rsid w:val="00EB4692"/>
    <w:rsid w:val="00EB70F1"/>
    <w:rsid w:val="00EB75B0"/>
    <w:rsid w:val="00EC0B46"/>
    <w:rsid w:val="00EC176A"/>
    <w:rsid w:val="00EC4386"/>
    <w:rsid w:val="00ED138F"/>
    <w:rsid w:val="00ED13A7"/>
    <w:rsid w:val="00ED2410"/>
    <w:rsid w:val="00ED3E0E"/>
    <w:rsid w:val="00ED4F8C"/>
    <w:rsid w:val="00ED653A"/>
    <w:rsid w:val="00EE1F46"/>
    <w:rsid w:val="00EE26BD"/>
    <w:rsid w:val="00EE2C15"/>
    <w:rsid w:val="00EE3091"/>
    <w:rsid w:val="00EE4436"/>
    <w:rsid w:val="00EE534D"/>
    <w:rsid w:val="00EE7F9D"/>
    <w:rsid w:val="00EF033A"/>
    <w:rsid w:val="00EF06E8"/>
    <w:rsid w:val="00EF13E4"/>
    <w:rsid w:val="00EF4C16"/>
    <w:rsid w:val="00EF5F3B"/>
    <w:rsid w:val="00EF711B"/>
    <w:rsid w:val="00F04677"/>
    <w:rsid w:val="00F05480"/>
    <w:rsid w:val="00F0739F"/>
    <w:rsid w:val="00F0778C"/>
    <w:rsid w:val="00F1157D"/>
    <w:rsid w:val="00F11F64"/>
    <w:rsid w:val="00F13CE4"/>
    <w:rsid w:val="00F13D6D"/>
    <w:rsid w:val="00F144AE"/>
    <w:rsid w:val="00F14C0E"/>
    <w:rsid w:val="00F15D5C"/>
    <w:rsid w:val="00F200F9"/>
    <w:rsid w:val="00F21E23"/>
    <w:rsid w:val="00F223FB"/>
    <w:rsid w:val="00F22783"/>
    <w:rsid w:val="00F2299E"/>
    <w:rsid w:val="00F23DDA"/>
    <w:rsid w:val="00F25787"/>
    <w:rsid w:val="00F265FD"/>
    <w:rsid w:val="00F26EC4"/>
    <w:rsid w:val="00F27D3A"/>
    <w:rsid w:val="00F3149B"/>
    <w:rsid w:val="00F314D9"/>
    <w:rsid w:val="00F31BEE"/>
    <w:rsid w:val="00F3233E"/>
    <w:rsid w:val="00F362A0"/>
    <w:rsid w:val="00F37BD7"/>
    <w:rsid w:val="00F40ADB"/>
    <w:rsid w:val="00F41E17"/>
    <w:rsid w:val="00F42B20"/>
    <w:rsid w:val="00F44A54"/>
    <w:rsid w:val="00F465FE"/>
    <w:rsid w:val="00F55243"/>
    <w:rsid w:val="00F55646"/>
    <w:rsid w:val="00F5604E"/>
    <w:rsid w:val="00F566E8"/>
    <w:rsid w:val="00F568F9"/>
    <w:rsid w:val="00F61F60"/>
    <w:rsid w:val="00F625BD"/>
    <w:rsid w:val="00F63010"/>
    <w:rsid w:val="00F63B12"/>
    <w:rsid w:val="00F64CA4"/>
    <w:rsid w:val="00F64F9B"/>
    <w:rsid w:val="00F679B5"/>
    <w:rsid w:val="00F706FE"/>
    <w:rsid w:val="00F73896"/>
    <w:rsid w:val="00F74A49"/>
    <w:rsid w:val="00F74D9C"/>
    <w:rsid w:val="00F75B6B"/>
    <w:rsid w:val="00F76066"/>
    <w:rsid w:val="00F80346"/>
    <w:rsid w:val="00F80495"/>
    <w:rsid w:val="00F80CA2"/>
    <w:rsid w:val="00F82467"/>
    <w:rsid w:val="00F829F4"/>
    <w:rsid w:val="00F83A26"/>
    <w:rsid w:val="00F83BD6"/>
    <w:rsid w:val="00F83F5D"/>
    <w:rsid w:val="00F84BCE"/>
    <w:rsid w:val="00F84F4C"/>
    <w:rsid w:val="00F85368"/>
    <w:rsid w:val="00F869EC"/>
    <w:rsid w:val="00F8787C"/>
    <w:rsid w:val="00F90E47"/>
    <w:rsid w:val="00F915E8"/>
    <w:rsid w:val="00F919C4"/>
    <w:rsid w:val="00F92755"/>
    <w:rsid w:val="00F94194"/>
    <w:rsid w:val="00F958D5"/>
    <w:rsid w:val="00F95AAA"/>
    <w:rsid w:val="00F96259"/>
    <w:rsid w:val="00F96F6F"/>
    <w:rsid w:val="00F97C49"/>
    <w:rsid w:val="00FA02DD"/>
    <w:rsid w:val="00FA2159"/>
    <w:rsid w:val="00FA27E7"/>
    <w:rsid w:val="00FA31A6"/>
    <w:rsid w:val="00FA38AC"/>
    <w:rsid w:val="00FA452A"/>
    <w:rsid w:val="00FA7AA7"/>
    <w:rsid w:val="00FB0FB0"/>
    <w:rsid w:val="00FB2D93"/>
    <w:rsid w:val="00FB3E38"/>
    <w:rsid w:val="00FB52E0"/>
    <w:rsid w:val="00FB6079"/>
    <w:rsid w:val="00FB69B1"/>
    <w:rsid w:val="00FB6D2E"/>
    <w:rsid w:val="00FB6D6D"/>
    <w:rsid w:val="00FC066A"/>
    <w:rsid w:val="00FC1460"/>
    <w:rsid w:val="00FC1FA7"/>
    <w:rsid w:val="00FC3A78"/>
    <w:rsid w:val="00FC4087"/>
    <w:rsid w:val="00FC5DC9"/>
    <w:rsid w:val="00FC64A4"/>
    <w:rsid w:val="00FD06E0"/>
    <w:rsid w:val="00FD07A7"/>
    <w:rsid w:val="00FD7A83"/>
    <w:rsid w:val="00FE03F7"/>
    <w:rsid w:val="00FE147B"/>
    <w:rsid w:val="00FE262D"/>
    <w:rsid w:val="00FE44DA"/>
    <w:rsid w:val="00FE4C89"/>
    <w:rsid w:val="00FE6A7C"/>
    <w:rsid w:val="00FF068F"/>
    <w:rsid w:val="00FF0744"/>
    <w:rsid w:val="00FF0F6A"/>
    <w:rsid w:val="00FF11A6"/>
    <w:rsid w:val="00FF2258"/>
    <w:rsid w:val="00FF2A4E"/>
    <w:rsid w:val="00FF30AF"/>
    <w:rsid w:val="04221EB8"/>
    <w:rsid w:val="08451418"/>
    <w:rsid w:val="0865BC95"/>
    <w:rsid w:val="092FEECB"/>
    <w:rsid w:val="0A87D588"/>
    <w:rsid w:val="0D7AB22C"/>
    <w:rsid w:val="0DFF9D4C"/>
    <w:rsid w:val="1192E684"/>
    <w:rsid w:val="13E1EB48"/>
    <w:rsid w:val="16593B6A"/>
    <w:rsid w:val="18027A4C"/>
    <w:rsid w:val="1C3D72D2"/>
    <w:rsid w:val="2316F34F"/>
    <w:rsid w:val="25B0CA3A"/>
    <w:rsid w:val="28131D1B"/>
    <w:rsid w:val="29252672"/>
    <w:rsid w:val="2B41EB2C"/>
    <w:rsid w:val="2B72C2F4"/>
    <w:rsid w:val="308348DF"/>
    <w:rsid w:val="30AEFAB9"/>
    <w:rsid w:val="3118A6C5"/>
    <w:rsid w:val="39B0987A"/>
    <w:rsid w:val="3C4BD1E9"/>
    <w:rsid w:val="3F58249D"/>
    <w:rsid w:val="404ADA2C"/>
    <w:rsid w:val="406A2760"/>
    <w:rsid w:val="423FDF1D"/>
    <w:rsid w:val="44126D63"/>
    <w:rsid w:val="474A0E25"/>
    <w:rsid w:val="48E5DE86"/>
    <w:rsid w:val="4B4499D5"/>
    <w:rsid w:val="4B650051"/>
    <w:rsid w:val="4D33F4C9"/>
    <w:rsid w:val="4E995D5D"/>
    <w:rsid w:val="5224D3AB"/>
    <w:rsid w:val="5260A1A0"/>
    <w:rsid w:val="579B75EB"/>
    <w:rsid w:val="57CA2744"/>
    <w:rsid w:val="60381DD2"/>
    <w:rsid w:val="61292FD4"/>
    <w:rsid w:val="62C5CA7E"/>
    <w:rsid w:val="67C20B3E"/>
    <w:rsid w:val="6CFB76F3"/>
    <w:rsid w:val="739B907C"/>
    <w:rsid w:val="7844FA1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71BA0"/>
  <w15:chartTrackingRefBased/>
  <w15:docId w15:val="{B7175ADA-72AF-411C-8C10-B376F08C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613A"/>
  </w:style>
  <w:style w:type="paragraph" w:styleId="berschrift1">
    <w:name w:val="heading 1"/>
    <w:basedOn w:val="Standard"/>
    <w:next w:val="Standard"/>
    <w:link w:val="berschrift1Zchn"/>
    <w:uiPriority w:val="9"/>
    <w:qFormat/>
    <w:rsid w:val="00AA3FD2"/>
    <w:pPr>
      <w:spacing w:line="276" w:lineRule="auto"/>
      <w:outlineLvl w:val="0"/>
    </w:pPr>
    <w:rPr>
      <w:rFonts w:ascii="Times New Roman" w:hAnsi="Times New Roman" w:cs="Times New Roman"/>
      <w:b/>
      <w:bCs/>
      <w:sz w:val="24"/>
      <w:szCs w:val="24"/>
      <w:lang w:val="en-US"/>
    </w:rPr>
  </w:style>
  <w:style w:type="paragraph" w:styleId="berschrift2">
    <w:name w:val="heading 2"/>
    <w:basedOn w:val="Standard"/>
    <w:next w:val="Standard"/>
    <w:link w:val="berschrift2Zchn"/>
    <w:uiPriority w:val="9"/>
    <w:unhideWhenUsed/>
    <w:qFormat/>
    <w:rsid w:val="001359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rsid w:val="0084613A"/>
    <w:rPr>
      <w:sz w:val="16"/>
      <w:szCs w:val="16"/>
    </w:rPr>
  </w:style>
  <w:style w:type="paragraph" w:styleId="Kommentartext">
    <w:name w:val="annotation text"/>
    <w:basedOn w:val="Standard"/>
    <w:link w:val="KommentartextZchn"/>
    <w:unhideWhenUsed/>
    <w:rsid w:val="00C93690"/>
    <w:pPr>
      <w:spacing w:line="240" w:lineRule="auto"/>
    </w:pPr>
    <w:rPr>
      <w:sz w:val="20"/>
      <w:szCs w:val="20"/>
      <w:lang w:val="en-US"/>
    </w:rPr>
  </w:style>
  <w:style w:type="character" w:customStyle="1" w:styleId="KommentartextZchn">
    <w:name w:val="Kommentartext Zchn"/>
    <w:basedOn w:val="Absatz-Standardschriftart"/>
    <w:link w:val="Kommentartext"/>
    <w:rsid w:val="00C93690"/>
    <w:rPr>
      <w:sz w:val="20"/>
      <w:szCs w:val="20"/>
      <w:lang w:val="en-US"/>
    </w:rPr>
  </w:style>
  <w:style w:type="paragraph" w:styleId="Kommentarthema">
    <w:name w:val="annotation subject"/>
    <w:basedOn w:val="Kommentartext"/>
    <w:next w:val="Kommentartext"/>
    <w:link w:val="KommentarthemaZchn"/>
    <w:uiPriority w:val="99"/>
    <w:semiHidden/>
    <w:unhideWhenUsed/>
    <w:rsid w:val="00FD7A83"/>
    <w:rPr>
      <w:b/>
      <w:bCs/>
    </w:rPr>
  </w:style>
  <w:style w:type="character" w:customStyle="1" w:styleId="KommentarthemaZchn">
    <w:name w:val="Kommentarthema Zchn"/>
    <w:basedOn w:val="KommentartextZchn"/>
    <w:link w:val="Kommentarthema"/>
    <w:uiPriority w:val="99"/>
    <w:semiHidden/>
    <w:rsid w:val="00FD7A83"/>
    <w:rPr>
      <w:b/>
      <w:bCs/>
      <w:sz w:val="20"/>
      <w:szCs w:val="20"/>
      <w:lang w:val="en-US"/>
    </w:rPr>
  </w:style>
  <w:style w:type="paragraph" w:styleId="Sprechblasentext">
    <w:name w:val="Balloon Text"/>
    <w:basedOn w:val="Standard"/>
    <w:link w:val="SprechblasentextZchn"/>
    <w:uiPriority w:val="99"/>
    <w:semiHidden/>
    <w:unhideWhenUsed/>
    <w:rsid w:val="00FD7A8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D7A83"/>
    <w:rPr>
      <w:rFonts w:ascii="Segoe UI" w:hAnsi="Segoe UI" w:cs="Segoe UI"/>
      <w:sz w:val="18"/>
      <w:szCs w:val="18"/>
    </w:rPr>
  </w:style>
  <w:style w:type="character" w:styleId="Hyperlink">
    <w:name w:val="Hyperlink"/>
    <w:basedOn w:val="Absatz-Standardschriftart"/>
    <w:uiPriority w:val="99"/>
    <w:unhideWhenUsed/>
    <w:rsid w:val="005B1BA5"/>
    <w:rPr>
      <w:color w:val="0563C1" w:themeColor="hyperlink"/>
      <w:u w:val="single"/>
    </w:rPr>
  </w:style>
  <w:style w:type="character" w:customStyle="1" w:styleId="NichtaufgelsteErwhnung1">
    <w:name w:val="Nicht aufgelöste Erwähnung1"/>
    <w:basedOn w:val="Absatz-Standardschriftart"/>
    <w:uiPriority w:val="99"/>
    <w:semiHidden/>
    <w:unhideWhenUsed/>
    <w:rsid w:val="005B1BA5"/>
    <w:rPr>
      <w:color w:val="605E5C"/>
      <w:shd w:val="clear" w:color="auto" w:fill="E1DFDD"/>
    </w:rPr>
  </w:style>
  <w:style w:type="paragraph" w:styleId="berarbeitung">
    <w:name w:val="Revision"/>
    <w:hidden/>
    <w:uiPriority w:val="99"/>
    <w:semiHidden/>
    <w:rsid w:val="007C21E5"/>
    <w:pPr>
      <w:spacing w:after="0" w:line="240" w:lineRule="auto"/>
    </w:pPr>
  </w:style>
  <w:style w:type="paragraph" w:styleId="Listenabsatz">
    <w:name w:val="List Paragraph"/>
    <w:basedOn w:val="Standard"/>
    <w:link w:val="ListenabsatzZchn"/>
    <w:uiPriority w:val="34"/>
    <w:qFormat/>
    <w:rsid w:val="00014DD8"/>
    <w:pPr>
      <w:ind w:left="720"/>
      <w:contextualSpacing/>
    </w:pPr>
  </w:style>
  <w:style w:type="character" w:styleId="Hervorhebung">
    <w:name w:val="Emphasis"/>
    <w:basedOn w:val="Absatz-Standardschriftart"/>
    <w:uiPriority w:val="20"/>
    <w:qFormat/>
    <w:rsid w:val="00025C2C"/>
    <w:rPr>
      <w:i/>
      <w:iCs/>
    </w:rPr>
  </w:style>
  <w:style w:type="character" w:customStyle="1" w:styleId="normaltextrun">
    <w:name w:val="normaltextrun"/>
    <w:basedOn w:val="Absatz-Standardschriftart"/>
    <w:rsid w:val="00025C2C"/>
  </w:style>
  <w:style w:type="character" w:customStyle="1" w:styleId="eop">
    <w:name w:val="eop"/>
    <w:basedOn w:val="Absatz-Standardschriftart"/>
    <w:rsid w:val="00025C2C"/>
  </w:style>
  <w:style w:type="paragraph" w:customStyle="1" w:styleId="EndNoteBibliographyTitle">
    <w:name w:val="EndNote Bibliography Title"/>
    <w:basedOn w:val="Standard"/>
    <w:link w:val="EndNoteBibliographyTitleZchn"/>
    <w:rsid w:val="00184B6D"/>
    <w:pPr>
      <w:spacing w:after="0"/>
      <w:jc w:val="center"/>
    </w:pPr>
    <w:rPr>
      <w:rFonts w:ascii="Calibri" w:hAnsi="Calibri" w:cs="Calibri"/>
      <w:noProof/>
      <w:lang w:val="en-US"/>
    </w:rPr>
  </w:style>
  <w:style w:type="character" w:customStyle="1" w:styleId="ListenabsatzZchn">
    <w:name w:val="Listenabsatz Zchn"/>
    <w:basedOn w:val="Absatz-Standardschriftart"/>
    <w:link w:val="Listenabsatz"/>
    <w:uiPriority w:val="34"/>
    <w:rsid w:val="00184B6D"/>
  </w:style>
  <w:style w:type="character" w:customStyle="1" w:styleId="EndNoteBibliographyTitleZchn">
    <w:name w:val="EndNote Bibliography Title Zchn"/>
    <w:basedOn w:val="ListenabsatzZchn"/>
    <w:link w:val="EndNoteBibliographyTitle"/>
    <w:rsid w:val="00184B6D"/>
    <w:rPr>
      <w:rFonts w:ascii="Calibri" w:hAnsi="Calibri" w:cs="Calibri"/>
      <w:noProof/>
      <w:lang w:val="en-US"/>
    </w:rPr>
  </w:style>
  <w:style w:type="paragraph" w:customStyle="1" w:styleId="EndNoteBibliography">
    <w:name w:val="EndNote Bibliography"/>
    <w:basedOn w:val="Standard"/>
    <w:link w:val="EndNoteBibliographyZchn"/>
    <w:rsid w:val="00184B6D"/>
    <w:pPr>
      <w:spacing w:line="240" w:lineRule="auto"/>
    </w:pPr>
    <w:rPr>
      <w:rFonts w:ascii="Calibri" w:hAnsi="Calibri" w:cs="Calibri"/>
      <w:noProof/>
      <w:lang w:val="en-US"/>
    </w:rPr>
  </w:style>
  <w:style w:type="character" w:customStyle="1" w:styleId="EndNoteBibliographyZchn">
    <w:name w:val="EndNote Bibliography Zchn"/>
    <w:basedOn w:val="ListenabsatzZchn"/>
    <w:link w:val="EndNoteBibliography"/>
    <w:rsid w:val="00184B6D"/>
    <w:rPr>
      <w:rFonts w:ascii="Calibri" w:hAnsi="Calibri" w:cs="Calibri"/>
      <w:noProof/>
      <w:lang w:val="en-US"/>
    </w:rPr>
  </w:style>
  <w:style w:type="character" w:customStyle="1" w:styleId="cf01">
    <w:name w:val="cf01"/>
    <w:basedOn w:val="Absatz-Standardschriftart"/>
    <w:rsid w:val="009D070F"/>
    <w:rPr>
      <w:rFonts w:ascii="Segoe UI" w:hAnsi="Segoe UI" w:cs="Segoe UI" w:hint="default"/>
      <w:sz w:val="18"/>
      <w:szCs w:val="18"/>
    </w:rPr>
  </w:style>
  <w:style w:type="paragraph" w:styleId="StandardWeb">
    <w:name w:val="Normal (Web)"/>
    <w:basedOn w:val="Standard"/>
    <w:uiPriority w:val="99"/>
    <w:unhideWhenUsed/>
    <w:rsid w:val="00854D6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ef-journal">
    <w:name w:val="ref-journal"/>
    <w:basedOn w:val="Absatz-Standardschriftart"/>
    <w:rsid w:val="00C14804"/>
  </w:style>
  <w:style w:type="character" w:customStyle="1" w:styleId="ref-vol">
    <w:name w:val="ref-vol"/>
    <w:basedOn w:val="Absatz-Standardschriftart"/>
    <w:rsid w:val="00C14804"/>
  </w:style>
  <w:style w:type="character" w:styleId="NichtaufgelsteErwhnung">
    <w:name w:val="Unresolved Mention"/>
    <w:basedOn w:val="Absatz-Standardschriftart"/>
    <w:uiPriority w:val="99"/>
    <w:semiHidden/>
    <w:unhideWhenUsed/>
    <w:rsid w:val="000556BB"/>
    <w:rPr>
      <w:color w:val="605E5C"/>
      <w:shd w:val="clear" w:color="auto" w:fill="E1DFDD"/>
    </w:rPr>
  </w:style>
  <w:style w:type="character" w:customStyle="1" w:styleId="glossary-underline">
    <w:name w:val="glossary-underline"/>
    <w:basedOn w:val="Absatz-Standardschriftart"/>
    <w:rsid w:val="000556BB"/>
  </w:style>
  <w:style w:type="character" w:customStyle="1" w:styleId="glossary-tooltip-text">
    <w:name w:val="glossary-tooltip-text"/>
    <w:basedOn w:val="Absatz-Standardschriftart"/>
    <w:rsid w:val="000556BB"/>
  </w:style>
  <w:style w:type="character" w:customStyle="1" w:styleId="tooltip-key-term">
    <w:name w:val="tooltip-key-term"/>
    <w:basedOn w:val="Absatz-Standardschriftart"/>
    <w:rsid w:val="000556BB"/>
  </w:style>
  <w:style w:type="character" w:customStyle="1" w:styleId="berschrift1Zchn">
    <w:name w:val="Überschrift 1 Zchn"/>
    <w:basedOn w:val="Absatz-Standardschriftart"/>
    <w:link w:val="berschrift1"/>
    <w:uiPriority w:val="9"/>
    <w:rsid w:val="00AA3FD2"/>
    <w:rPr>
      <w:rFonts w:ascii="Times New Roman" w:hAnsi="Times New Roman" w:cs="Times New Roman"/>
      <w:b/>
      <w:bCs/>
      <w:sz w:val="24"/>
      <w:szCs w:val="24"/>
      <w:lang w:val="en-US"/>
    </w:rPr>
  </w:style>
  <w:style w:type="paragraph" w:styleId="Kopfzeile">
    <w:name w:val="header"/>
    <w:basedOn w:val="Standard"/>
    <w:link w:val="KopfzeileZchn"/>
    <w:uiPriority w:val="99"/>
    <w:unhideWhenUsed/>
    <w:rsid w:val="00AD1E5E"/>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AD1E5E"/>
  </w:style>
  <w:style w:type="paragraph" w:styleId="Fuzeile">
    <w:name w:val="footer"/>
    <w:basedOn w:val="Standard"/>
    <w:link w:val="FuzeileZchn"/>
    <w:uiPriority w:val="99"/>
    <w:unhideWhenUsed/>
    <w:rsid w:val="00AD1E5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AD1E5E"/>
  </w:style>
  <w:style w:type="character" w:styleId="BesuchterLink">
    <w:name w:val="FollowedHyperlink"/>
    <w:basedOn w:val="Absatz-Standardschriftart"/>
    <w:uiPriority w:val="99"/>
    <w:semiHidden/>
    <w:unhideWhenUsed/>
    <w:rsid w:val="00BC0614"/>
    <w:rPr>
      <w:color w:val="954F72" w:themeColor="followedHyperlink"/>
      <w:u w:val="single"/>
    </w:rPr>
  </w:style>
  <w:style w:type="paragraph" w:customStyle="1" w:styleId="TableTitle">
    <w:name w:val="Table Title"/>
    <w:next w:val="Standard"/>
    <w:link w:val="TableTitleChar"/>
    <w:rsid w:val="006727A7"/>
    <w:pPr>
      <w:keepNext/>
      <w:keepLines/>
      <w:tabs>
        <w:tab w:val="left" w:pos="1440"/>
      </w:tabs>
      <w:spacing w:after="120" w:line="240" w:lineRule="auto"/>
    </w:pPr>
    <w:rPr>
      <w:rFonts w:ascii="Arial" w:eastAsia="Times New Roman" w:hAnsi="Arial" w:cs="Times New Roman"/>
      <w:b/>
      <w:color w:val="000000"/>
      <w:sz w:val="24"/>
      <w:szCs w:val="24"/>
      <w:lang w:val="en-US"/>
    </w:rPr>
  </w:style>
  <w:style w:type="character" w:customStyle="1" w:styleId="TableTitleChar">
    <w:name w:val="Table Title Char"/>
    <w:basedOn w:val="Absatz-Standardschriftart"/>
    <w:link w:val="TableTitle"/>
    <w:locked/>
    <w:rsid w:val="006727A7"/>
    <w:rPr>
      <w:rFonts w:ascii="Arial" w:eastAsia="Times New Roman" w:hAnsi="Arial" w:cs="Times New Roman"/>
      <w:b/>
      <w:color w:val="000000"/>
      <w:sz w:val="24"/>
      <w:szCs w:val="24"/>
      <w:lang w:val="en-US"/>
    </w:rPr>
  </w:style>
  <w:style w:type="paragraph" w:customStyle="1" w:styleId="TableCenter">
    <w:name w:val="Table Center"/>
    <w:basedOn w:val="Standard"/>
    <w:rsid w:val="006727A7"/>
    <w:pPr>
      <w:spacing w:after="60" w:line="240" w:lineRule="auto"/>
      <w:jc w:val="center"/>
    </w:pPr>
    <w:rPr>
      <w:rFonts w:ascii="Times New Roman" w:eastAsia="Times New Roman" w:hAnsi="Times New Roman" w:cs="Times New Roman"/>
      <w:sz w:val="24"/>
      <w:szCs w:val="24"/>
      <w:lang w:val="en-US"/>
    </w:rPr>
  </w:style>
  <w:style w:type="paragraph" w:customStyle="1" w:styleId="TableHead">
    <w:name w:val="Table Head"/>
    <w:basedOn w:val="Standard"/>
    <w:rsid w:val="006727A7"/>
    <w:pPr>
      <w:spacing w:after="60" w:line="240" w:lineRule="auto"/>
      <w:jc w:val="center"/>
    </w:pPr>
    <w:rPr>
      <w:rFonts w:ascii="Times New Roman" w:eastAsia="Times New Roman" w:hAnsi="Times New Roman" w:cs="Times New Roman"/>
      <w:b/>
      <w:sz w:val="24"/>
      <w:szCs w:val="48"/>
      <w:lang w:val="en-US"/>
    </w:rPr>
  </w:style>
  <w:style w:type="paragraph" w:customStyle="1" w:styleId="TableParagraph">
    <w:name w:val="Table Paragraph"/>
    <w:basedOn w:val="Standard"/>
    <w:uiPriority w:val="1"/>
    <w:qFormat/>
    <w:rsid w:val="006727A7"/>
    <w:pPr>
      <w:widowControl w:val="0"/>
      <w:autoSpaceDE w:val="0"/>
      <w:autoSpaceDN w:val="0"/>
      <w:spacing w:before="60" w:after="0" w:line="240" w:lineRule="auto"/>
    </w:pPr>
    <w:rPr>
      <w:rFonts w:ascii="Times New Roman" w:eastAsia="Times New Roman" w:hAnsi="Times New Roman" w:cs="Times New Roman"/>
      <w:lang w:val="en-US" w:bidi="en-US"/>
    </w:rPr>
  </w:style>
  <w:style w:type="character" w:customStyle="1" w:styleId="berschrift2Zchn">
    <w:name w:val="Überschrift 2 Zchn"/>
    <w:basedOn w:val="Absatz-Standardschriftart"/>
    <w:link w:val="berschrift2"/>
    <w:uiPriority w:val="9"/>
    <w:rsid w:val="00135900"/>
    <w:rPr>
      <w:rFonts w:asciiTheme="majorHAnsi" w:eastAsiaTheme="majorEastAsia" w:hAnsiTheme="majorHAnsi" w:cstheme="majorBidi"/>
      <w:color w:val="2F5496" w:themeColor="accent1" w:themeShade="BF"/>
      <w:sz w:val="26"/>
      <w:szCs w:val="26"/>
    </w:rPr>
  </w:style>
  <w:style w:type="table" w:styleId="TabelleKlassisch1">
    <w:name w:val="Table Classic 1"/>
    <w:basedOn w:val="NormaleTabelle"/>
    <w:semiHidden/>
    <w:unhideWhenUsed/>
    <w:rsid w:val="00135900"/>
    <w:pPr>
      <w:overflowPunct w:val="0"/>
      <w:autoSpaceDE w:val="0"/>
      <w:autoSpaceDN w:val="0"/>
      <w:adjustRightInd w:val="0"/>
      <w:spacing w:after="120" w:line="240" w:lineRule="auto"/>
    </w:pPr>
    <w:rPr>
      <w:rFonts w:ascii="Times New Roman" w:eastAsia="Times New Roman" w:hAnsi="Times New Roman" w:cs="Times New Roman"/>
      <w:sz w:val="20"/>
      <w:szCs w:val="20"/>
      <w:lang w:eastAsia="de-D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KeinLeerraum">
    <w:name w:val="No Spacing"/>
    <w:uiPriority w:val="1"/>
    <w:qFormat/>
    <w:rsid w:val="00135900"/>
    <w:pPr>
      <w:spacing w:after="0" w:line="240" w:lineRule="auto"/>
    </w:pPr>
    <w:rPr>
      <w:lang w:val="en-US"/>
    </w:rPr>
  </w:style>
  <w:style w:type="table" w:customStyle="1" w:styleId="TableNormal1">
    <w:name w:val="Table Normal1"/>
    <w:uiPriority w:val="2"/>
    <w:semiHidden/>
    <w:unhideWhenUsed/>
    <w:qFormat/>
    <w:rsid w:val="001359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Rcontentoftablecentered">
    <w:name w:val="R content of table centered"/>
    <w:basedOn w:val="Standard"/>
    <w:qFormat/>
    <w:rsid w:val="00135900"/>
    <w:pPr>
      <w:spacing w:after="0" w:line="240" w:lineRule="auto"/>
      <w:jc w:val="center"/>
    </w:pPr>
    <w:rPr>
      <w:rFonts w:ascii="Calibri" w:eastAsia="Calibri" w:hAnsi="Calibri" w:cs="Calibri"/>
      <w:color w:val="000000"/>
      <w:lang w:eastAsia="de-DE"/>
      <w14:ligatures w14:val="standardContextual"/>
      <w14:numForm w14:val="lining"/>
      <w14:numSpacing w14:val="tabular"/>
      <w14:cntxtAlts/>
    </w:rPr>
  </w:style>
  <w:style w:type="paragraph" w:customStyle="1" w:styleId="Requationsformulas">
    <w:name w:val="R equations + formulas"/>
    <w:basedOn w:val="Standard"/>
    <w:qFormat/>
    <w:rsid w:val="00135900"/>
    <w:pPr>
      <w:keepLines/>
      <w:tabs>
        <w:tab w:val="left" w:pos="0"/>
      </w:tabs>
      <w:suppressAutoHyphens/>
      <w:spacing w:after="0" w:line="240" w:lineRule="auto"/>
      <w:jc w:val="center"/>
    </w:pPr>
    <w:rPr>
      <w:rFonts w:ascii="Calibri" w:eastAsia="Times New Roman" w:hAnsi="Calibri" w:cs="Calibri"/>
      <w:color w:val="000000" w:themeColor="text1"/>
      <w:kern w:val="22"/>
      <w:lang w:val="en-US"/>
      <w14:ligatures w14:val="standardContextual"/>
      <w14:numForm w14:val="lining"/>
      <w14:numSpacing w14:val="tabular"/>
      <w14:cntxtAlts/>
    </w:rPr>
  </w:style>
  <w:style w:type="paragraph" w:customStyle="1" w:styleId="Rstandardwith6Ptdistanceaboveafterequationslistsetc">
    <w:name w:val="R standard with 6 Pt distance above after equations lists etc"/>
    <w:basedOn w:val="Standard"/>
    <w:qFormat/>
    <w:rsid w:val="00135900"/>
    <w:pPr>
      <w:spacing w:before="120" w:after="120" w:line="300" w:lineRule="exact"/>
      <w:jc w:val="both"/>
    </w:pPr>
    <w:rPr>
      <w:rFonts w:ascii="Calibri" w:eastAsia="Times New Roman" w:hAnsi="Calibri" w:cs="Times New Roman"/>
      <w:color w:val="000000" w:themeColor="text1"/>
      <w:kern w:val="16"/>
      <w:sz w:val="24"/>
      <w:szCs w:val="24"/>
      <w:lang w:val="en-US"/>
      <w14:ligatures w14:val="standardContextual"/>
      <w14:numForm w14:val="lining"/>
      <w14:numSpacing w14:val="proportional"/>
      <w14:cntxtAlts/>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5285">
      <w:bodyDiv w:val="1"/>
      <w:marLeft w:val="0"/>
      <w:marRight w:val="0"/>
      <w:marTop w:val="0"/>
      <w:marBottom w:val="0"/>
      <w:divBdr>
        <w:top w:val="none" w:sz="0" w:space="0" w:color="auto"/>
        <w:left w:val="none" w:sz="0" w:space="0" w:color="auto"/>
        <w:bottom w:val="none" w:sz="0" w:space="0" w:color="auto"/>
        <w:right w:val="none" w:sz="0" w:space="0" w:color="auto"/>
      </w:divBdr>
    </w:div>
    <w:div w:id="68306309">
      <w:bodyDiv w:val="1"/>
      <w:marLeft w:val="0"/>
      <w:marRight w:val="0"/>
      <w:marTop w:val="0"/>
      <w:marBottom w:val="0"/>
      <w:divBdr>
        <w:top w:val="none" w:sz="0" w:space="0" w:color="auto"/>
        <w:left w:val="none" w:sz="0" w:space="0" w:color="auto"/>
        <w:bottom w:val="none" w:sz="0" w:space="0" w:color="auto"/>
        <w:right w:val="none" w:sz="0" w:space="0" w:color="auto"/>
      </w:divBdr>
    </w:div>
    <w:div w:id="189228664">
      <w:bodyDiv w:val="1"/>
      <w:marLeft w:val="0"/>
      <w:marRight w:val="0"/>
      <w:marTop w:val="0"/>
      <w:marBottom w:val="0"/>
      <w:divBdr>
        <w:top w:val="none" w:sz="0" w:space="0" w:color="auto"/>
        <w:left w:val="none" w:sz="0" w:space="0" w:color="auto"/>
        <w:bottom w:val="none" w:sz="0" w:space="0" w:color="auto"/>
        <w:right w:val="none" w:sz="0" w:space="0" w:color="auto"/>
      </w:divBdr>
    </w:div>
    <w:div w:id="219946676">
      <w:marLeft w:val="0"/>
      <w:marRight w:val="0"/>
      <w:marTop w:val="0"/>
      <w:marBottom w:val="0"/>
      <w:divBdr>
        <w:top w:val="none" w:sz="0" w:space="0" w:color="auto"/>
        <w:left w:val="none" w:sz="0" w:space="0" w:color="auto"/>
        <w:bottom w:val="none" w:sz="0" w:space="0" w:color="auto"/>
        <w:right w:val="none" w:sz="0" w:space="0" w:color="auto"/>
      </w:divBdr>
      <w:divsChild>
        <w:div w:id="1684354139">
          <w:marLeft w:val="0"/>
          <w:marRight w:val="0"/>
          <w:marTop w:val="0"/>
          <w:marBottom w:val="0"/>
          <w:divBdr>
            <w:top w:val="none" w:sz="0" w:space="0" w:color="auto"/>
            <w:left w:val="none" w:sz="0" w:space="0" w:color="auto"/>
            <w:bottom w:val="none" w:sz="0" w:space="0" w:color="auto"/>
            <w:right w:val="none" w:sz="0" w:space="0" w:color="auto"/>
          </w:divBdr>
        </w:div>
      </w:divsChild>
    </w:div>
    <w:div w:id="258102955">
      <w:marLeft w:val="0"/>
      <w:marRight w:val="0"/>
      <w:marTop w:val="0"/>
      <w:marBottom w:val="0"/>
      <w:divBdr>
        <w:top w:val="none" w:sz="0" w:space="0" w:color="auto"/>
        <w:left w:val="none" w:sz="0" w:space="0" w:color="auto"/>
        <w:bottom w:val="none" w:sz="0" w:space="0" w:color="auto"/>
        <w:right w:val="none" w:sz="0" w:space="0" w:color="auto"/>
      </w:divBdr>
      <w:divsChild>
        <w:div w:id="1829049960">
          <w:marLeft w:val="0"/>
          <w:marRight w:val="0"/>
          <w:marTop w:val="0"/>
          <w:marBottom w:val="0"/>
          <w:divBdr>
            <w:top w:val="none" w:sz="0" w:space="0" w:color="auto"/>
            <w:left w:val="none" w:sz="0" w:space="0" w:color="auto"/>
            <w:bottom w:val="none" w:sz="0" w:space="0" w:color="auto"/>
            <w:right w:val="none" w:sz="0" w:space="0" w:color="auto"/>
          </w:divBdr>
        </w:div>
      </w:divsChild>
    </w:div>
    <w:div w:id="258761307">
      <w:marLeft w:val="0"/>
      <w:marRight w:val="0"/>
      <w:marTop w:val="0"/>
      <w:marBottom w:val="0"/>
      <w:divBdr>
        <w:top w:val="none" w:sz="0" w:space="0" w:color="auto"/>
        <w:left w:val="none" w:sz="0" w:space="0" w:color="auto"/>
        <w:bottom w:val="none" w:sz="0" w:space="0" w:color="auto"/>
        <w:right w:val="none" w:sz="0" w:space="0" w:color="auto"/>
      </w:divBdr>
      <w:divsChild>
        <w:div w:id="7408865">
          <w:marLeft w:val="0"/>
          <w:marRight w:val="0"/>
          <w:marTop w:val="0"/>
          <w:marBottom w:val="0"/>
          <w:divBdr>
            <w:top w:val="none" w:sz="0" w:space="0" w:color="auto"/>
            <w:left w:val="none" w:sz="0" w:space="0" w:color="auto"/>
            <w:bottom w:val="none" w:sz="0" w:space="0" w:color="auto"/>
            <w:right w:val="none" w:sz="0" w:space="0" w:color="auto"/>
          </w:divBdr>
        </w:div>
      </w:divsChild>
    </w:div>
    <w:div w:id="480195391">
      <w:marLeft w:val="0"/>
      <w:marRight w:val="0"/>
      <w:marTop w:val="0"/>
      <w:marBottom w:val="0"/>
      <w:divBdr>
        <w:top w:val="none" w:sz="0" w:space="0" w:color="auto"/>
        <w:left w:val="none" w:sz="0" w:space="0" w:color="auto"/>
        <w:bottom w:val="none" w:sz="0" w:space="0" w:color="auto"/>
        <w:right w:val="none" w:sz="0" w:space="0" w:color="auto"/>
      </w:divBdr>
      <w:divsChild>
        <w:div w:id="866865899">
          <w:marLeft w:val="0"/>
          <w:marRight w:val="0"/>
          <w:marTop w:val="0"/>
          <w:marBottom w:val="0"/>
          <w:divBdr>
            <w:top w:val="none" w:sz="0" w:space="0" w:color="auto"/>
            <w:left w:val="none" w:sz="0" w:space="0" w:color="auto"/>
            <w:bottom w:val="none" w:sz="0" w:space="0" w:color="auto"/>
            <w:right w:val="none" w:sz="0" w:space="0" w:color="auto"/>
          </w:divBdr>
        </w:div>
      </w:divsChild>
    </w:div>
    <w:div w:id="611473114">
      <w:bodyDiv w:val="1"/>
      <w:marLeft w:val="0"/>
      <w:marRight w:val="0"/>
      <w:marTop w:val="0"/>
      <w:marBottom w:val="0"/>
      <w:divBdr>
        <w:top w:val="none" w:sz="0" w:space="0" w:color="auto"/>
        <w:left w:val="none" w:sz="0" w:space="0" w:color="auto"/>
        <w:bottom w:val="none" w:sz="0" w:space="0" w:color="auto"/>
        <w:right w:val="none" w:sz="0" w:space="0" w:color="auto"/>
      </w:divBdr>
    </w:div>
    <w:div w:id="653603769">
      <w:bodyDiv w:val="1"/>
      <w:marLeft w:val="0"/>
      <w:marRight w:val="0"/>
      <w:marTop w:val="0"/>
      <w:marBottom w:val="0"/>
      <w:divBdr>
        <w:top w:val="none" w:sz="0" w:space="0" w:color="auto"/>
        <w:left w:val="none" w:sz="0" w:space="0" w:color="auto"/>
        <w:bottom w:val="none" w:sz="0" w:space="0" w:color="auto"/>
        <w:right w:val="none" w:sz="0" w:space="0" w:color="auto"/>
      </w:divBdr>
    </w:div>
    <w:div w:id="660163611">
      <w:marLeft w:val="0"/>
      <w:marRight w:val="0"/>
      <w:marTop w:val="0"/>
      <w:marBottom w:val="0"/>
      <w:divBdr>
        <w:top w:val="none" w:sz="0" w:space="0" w:color="auto"/>
        <w:left w:val="none" w:sz="0" w:space="0" w:color="auto"/>
        <w:bottom w:val="none" w:sz="0" w:space="0" w:color="auto"/>
        <w:right w:val="none" w:sz="0" w:space="0" w:color="auto"/>
      </w:divBdr>
      <w:divsChild>
        <w:div w:id="2044741314">
          <w:marLeft w:val="0"/>
          <w:marRight w:val="0"/>
          <w:marTop w:val="0"/>
          <w:marBottom w:val="0"/>
          <w:divBdr>
            <w:top w:val="none" w:sz="0" w:space="0" w:color="auto"/>
            <w:left w:val="none" w:sz="0" w:space="0" w:color="auto"/>
            <w:bottom w:val="none" w:sz="0" w:space="0" w:color="auto"/>
            <w:right w:val="none" w:sz="0" w:space="0" w:color="auto"/>
          </w:divBdr>
        </w:div>
      </w:divsChild>
    </w:div>
    <w:div w:id="803472347">
      <w:bodyDiv w:val="1"/>
      <w:marLeft w:val="0"/>
      <w:marRight w:val="0"/>
      <w:marTop w:val="0"/>
      <w:marBottom w:val="0"/>
      <w:divBdr>
        <w:top w:val="none" w:sz="0" w:space="0" w:color="auto"/>
        <w:left w:val="none" w:sz="0" w:space="0" w:color="auto"/>
        <w:bottom w:val="none" w:sz="0" w:space="0" w:color="auto"/>
        <w:right w:val="none" w:sz="0" w:space="0" w:color="auto"/>
      </w:divBdr>
    </w:div>
    <w:div w:id="816261560">
      <w:marLeft w:val="0"/>
      <w:marRight w:val="0"/>
      <w:marTop w:val="0"/>
      <w:marBottom w:val="0"/>
      <w:divBdr>
        <w:top w:val="none" w:sz="0" w:space="0" w:color="auto"/>
        <w:left w:val="none" w:sz="0" w:space="0" w:color="auto"/>
        <w:bottom w:val="none" w:sz="0" w:space="0" w:color="auto"/>
        <w:right w:val="none" w:sz="0" w:space="0" w:color="auto"/>
      </w:divBdr>
      <w:divsChild>
        <w:div w:id="710954257">
          <w:marLeft w:val="0"/>
          <w:marRight w:val="0"/>
          <w:marTop w:val="0"/>
          <w:marBottom w:val="0"/>
          <w:divBdr>
            <w:top w:val="none" w:sz="0" w:space="0" w:color="auto"/>
            <w:left w:val="none" w:sz="0" w:space="0" w:color="auto"/>
            <w:bottom w:val="none" w:sz="0" w:space="0" w:color="auto"/>
            <w:right w:val="none" w:sz="0" w:space="0" w:color="auto"/>
          </w:divBdr>
        </w:div>
      </w:divsChild>
    </w:div>
    <w:div w:id="934241368">
      <w:marLeft w:val="0"/>
      <w:marRight w:val="0"/>
      <w:marTop w:val="0"/>
      <w:marBottom w:val="0"/>
      <w:divBdr>
        <w:top w:val="none" w:sz="0" w:space="0" w:color="auto"/>
        <w:left w:val="none" w:sz="0" w:space="0" w:color="auto"/>
        <w:bottom w:val="none" w:sz="0" w:space="0" w:color="auto"/>
        <w:right w:val="none" w:sz="0" w:space="0" w:color="auto"/>
      </w:divBdr>
      <w:divsChild>
        <w:div w:id="414253307">
          <w:marLeft w:val="0"/>
          <w:marRight w:val="0"/>
          <w:marTop w:val="0"/>
          <w:marBottom w:val="0"/>
          <w:divBdr>
            <w:top w:val="none" w:sz="0" w:space="0" w:color="auto"/>
            <w:left w:val="none" w:sz="0" w:space="0" w:color="auto"/>
            <w:bottom w:val="none" w:sz="0" w:space="0" w:color="auto"/>
            <w:right w:val="none" w:sz="0" w:space="0" w:color="auto"/>
          </w:divBdr>
          <w:divsChild>
            <w:div w:id="2044593793">
              <w:marLeft w:val="0"/>
              <w:marRight w:val="0"/>
              <w:marTop w:val="0"/>
              <w:marBottom w:val="0"/>
              <w:divBdr>
                <w:top w:val="none" w:sz="0" w:space="0" w:color="auto"/>
                <w:left w:val="none" w:sz="0" w:space="0" w:color="auto"/>
                <w:bottom w:val="none" w:sz="0" w:space="0" w:color="auto"/>
                <w:right w:val="none" w:sz="0" w:space="0" w:color="auto"/>
              </w:divBdr>
              <w:divsChild>
                <w:div w:id="146685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85025">
      <w:marLeft w:val="0"/>
      <w:marRight w:val="0"/>
      <w:marTop w:val="0"/>
      <w:marBottom w:val="0"/>
      <w:divBdr>
        <w:top w:val="none" w:sz="0" w:space="0" w:color="auto"/>
        <w:left w:val="none" w:sz="0" w:space="0" w:color="auto"/>
        <w:bottom w:val="none" w:sz="0" w:space="0" w:color="auto"/>
        <w:right w:val="none" w:sz="0" w:space="0" w:color="auto"/>
      </w:divBdr>
      <w:divsChild>
        <w:div w:id="2068255540">
          <w:marLeft w:val="0"/>
          <w:marRight w:val="0"/>
          <w:marTop w:val="0"/>
          <w:marBottom w:val="0"/>
          <w:divBdr>
            <w:top w:val="none" w:sz="0" w:space="0" w:color="auto"/>
            <w:left w:val="none" w:sz="0" w:space="0" w:color="auto"/>
            <w:bottom w:val="none" w:sz="0" w:space="0" w:color="auto"/>
            <w:right w:val="none" w:sz="0" w:space="0" w:color="auto"/>
          </w:divBdr>
        </w:div>
      </w:divsChild>
    </w:div>
    <w:div w:id="1084565941">
      <w:bodyDiv w:val="1"/>
      <w:marLeft w:val="0"/>
      <w:marRight w:val="0"/>
      <w:marTop w:val="0"/>
      <w:marBottom w:val="0"/>
      <w:divBdr>
        <w:top w:val="none" w:sz="0" w:space="0" w:color="auto"/>
        <w:left w:val="none" w:sz="0" w:space="0" w:color="auto"/>
        <w:bottom w:val="none" w:sz="0" w:space="0" w:color="auto"/>
        <w:right w:val="none" w:sz="0" w:space="0" w:color="auto"/>
      </w:divBdr>
    </w:div>
    <w:div w:id="1218515121">
      <w:bodyDiv w:val="1"/>
      <w:marLeft w:val="0"/>
      <w:marRight w:val="0"/>
      <w:marTop w:val="0"/>
      <w:marBottom w:val="0"/>
      <w:divBdr>
        <w:top w:val="none" w:sz="0" w:space="0" w:color="auto"/>
        <w:left w:val="none" w:sz="0" w:space="0" w:color="auto"/>
        <w:bottom w:val="none" w:sz="0" w:space="0" w:color="auto"/>
        <w:right w:val="none" w:sz="0" w:space="0" w:color="auto"/>
      </w:divBdr>
    </w:div>
    <w:div w:id="1236237788">
      <w:bodyDiv w:val="1"/>
      <w:marLeft w:val="0"/>
      <w:marRight w:val="0"/>
      <w:marTop w:val="0"/>
      <w:marBottom w:val="0"/>
      <w:divBdr>
        <w:top w:val="none" w:sz="0" w:space="0" w:color="auto"/>
        <w:left w:val="none" w:sz="0" w:space="0" w:color="auto"/>
        <w:bottom w:val="none" w:sz="0" w:space="0" w:color="auto"/>
        <w:right w:val="none" w:sz="0" w:space="0" w:color="auto"/>
      </w:divBdr>
    </w:div>
    <w:div w:id="1297369744">
      <w:bodyDiv w:val="1"/>
      <w:marLeft w:val="0"/>
      <w:marRight w:val="0"/>
      <w:marTop w:val="0"/>
      <w:marBottom w:val="0"/>
      <w:divBdr>
        <w:top w:val="none" w:sz="0" w:space="0" w:color="auto"/>
        <w:left w:val="none" w:sz="0" w:space="0" w:color="auto"/>
        <w:bottom w:val="none" w:sz="0" w:space="0" w:color="auto"/>
        <w:right w:val="none" w:sz="0" w:space="0" w:color="auto"/>
      </w:divBdr>
    </w:div>
    <w:div w:id="1300963630">
      <w:bodyDiv w:val="1"/>
      <w:marLeft w:val="0"/>
      <w:marRight w:val="0"/>
      <w:marTop w:val="0"/>
      <w:marBottom w:val="0"/>
      <w:divBdr>
        <w:top w:val="none" w:sz="0" w:space="0" w:color="auto"/>
        <w:left w:val="none" w:sz="0" w:space="0" w:color="auto"/>
        <w:bottom w:val="none" w:sz="0" w:space="0" w:color="auto"/>
        <w:right w:val="none" w:sz="0" w:space="0" w:color="auto"/>
      </w:divBdr>
    </w:div>
    <w:div w:id="1306350687">
      <w:bodyDiv w:val="1"/>
      <w:marLeft w:val="0"/>
      <w:marRight w:val="0"/>
      <w:marTop w:val="0"/>
      <w:marBottom w:val="0"/>
      <w:divBdr>
        <w:top w:val="none" w:sz="0" w:space="0" w:color="auto"/>
        <w:left w:val="none" w:sz="0" w:space="0" w:color="auto"/>
        <w:bottom w:val="none" w:sz="0" w:space="0" w:color="auto"/>
        <w:right w:val="none" w:sz="0" w:space="0" w:color="auto"/>
      </w:divBdr>
    </w:div>
    <w:div w:id="1306469555">
      <w:bodyDiv w:val="1"/>
      <w:marLeft w:val="0"/>
      <w:marRight w:val="0"/>
      <w:marTop w:val="0"/>
      <w:marBottom w:val="0"/>
      <w:divBdr>
        <w:top w:val="none" w:sz="0" w:space="0" w:color="auto"/>
        <w:left w:val="none" w:sz="0" w:space="0" w:color="auto"/>
        <w:bottom w:val="none" w:sz="0" w:space="0" w:color="auto"/>
        <w:right w:val="none" w:sz="0" w:space="0" w:color="auto"/>
      </w:divBdr>
      <w:divsChild>
        <w:div w:id="207496377">
          <w:marLeft w:val="0"/>
          <w:marRight w:val="0"/>
          <w:marTop w:val="0"/>
          <w:marBottom w:val="0"/>
          <w:divBdr>
            <w:top w:val="none" w:sz="0" w:space="0" w:color="auto"/>
            <w:left w:val="none" w:sz="0" w:space="0" w:color="auto"/>
            <w:bottom w:val="none" w:sz="0" w:space="0" w:color="auto"/>
            <w:right w:val="none" w:sz="0" w:space="0" w:color="auto"/>
          </w:divBdr>
          <w:divsChild>
            <w:div w:id="18704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5197">
      <w:marLeft w:val="0"/>
      <w:marRight w:val="0"/>
      <w:marTop w:val="0"/>
      <w:marBottom w:val="0"/>
      <w:divBdr>
        <w:top w:val="none" w:sz="0" w:space="0" w:color="auto"/>
        <w:left w:val="none" w:sz="0" w:space="0" w:color="auto"/>
        <w:bottom w:val="none" w:sz="0" w:space="0" w:color="auto"/>
        <w:right w:val="none" w:sz="0" w:space="0" w:color="auto"/>
      </w:divBdr>
      <w:divsChild>
        <w:div w:id="1869023852">
          <w:marLeft w:val="0"/>
          <w:marRight w:val="0"/>
          <w:marTop w:val="0"/>
          <w:marBottom w:val="0"/>
          <w:divBdr>
            <w:top w:val="none" w:sz="0" w:space="0" w:color="auto"/>
            <w:left w:val="none" w:sz="0" w:space="0" w:color="auto"/>
            <w:bottom w:val="none" w:sz="0" w:space="0" w:color="auto"/>
            <w:right w:val="none" w:sz="0" w:space="0" w:color="auto"/>
          </w:divBdr>
        </w:div>
      </w:divsChild>
    </w:div>
    <w:div w:id="1423452170">
      <w:bodyDiv w:val="1"/>
      <w:marLeft w:val="0"/>
      <w:marRight w:val="0"/>
      <w:marTop w:val="0"/>
      <w:marBottom w:val="0"/>
      <w:divBdr>
        <w:top w:val="none" w:sz="0" w:space="0" w:color="auto"/>
        <w:left w:val="none" w:sz="0" w:space="0" w:color="auto"/>
        <w:bottom w:val="none" w:sz="0" w:space="0" w:color="auto"/>
        <w:right w:val="none" w:sz="0" w:space="0" w:color="auto"/>
      </w:divBdr>
    </w:div>
    <w:div w:id="1450735253">
      <w:marLeft w:val="0"/>
      <w:marRight w:val="0"/>
      <w:marTop w:val="0"/>
      <w:marBottom w:val="0"/>
      <w:divBdr>
        <w:top w:val="none" w:sz="0" w:space="0" w:color="auto"/>
        <w:left w:val="none" w:sz="0" w:space="0" w:color="auto"/>
        <w:bottom w:val="none" w:sz="0" w:space="0" w:color="auto"/>
        <w:right w:val="none" w:sz="0" w:space="0" w:color="auto"/>
      </w:divBdr>
      <w:divsChild>
        <w:div w:id="535121998">
          <w:marLeft w:val="0"/>
          <w:marRight w:val="0"/>
          <w:marTop w:val="0"/>
          <w:marBottom w:val="0"/>
          <w:divBdr>
            <w:top w:val="none" w:sz="0" w:space="0" w:color="auto"/>
            <w:left w:val="none" w:sz="0" w:space="0" w:color="auto"/>
            <w:bottom w:val="none" w:sz="0" w:space="0" w:color="auto"/>
            <w:right w:val="none" w:sz="0" w:space="0" w:color="auto"/>
          </w:divBdr>
        </w:div>
      </w:divsChild>
    </w:div>
    <w:div w:id="1487896062">
      <w:bodyDiv w:val="1"/>
      <w:marLeft w:val="0"/>
      <w:marRight w:val="0"/>
      <w:marTop w:val="0"/>
      <w:marBottom w:val="0"/>
      <w:divBdr>
        <w:top w:val="none" w:sz="0" w:space="0" w:color="auto"/>
        <w:left w:val="none" w:sz="0" w:space="0" w:color="auto"/>
        <w:bottom w:val="none" w:sz="0" w:space="0" w:color="auto"/>
        <w:right w:val="none" w:sz="0" w:space="0" w:color="auto"/>
      </w:divBdr>
    </w:div>
    <w:div w:id="1519079125">
      <w:bodyDiv w:val="1"/>
      <w:marLeft w:val="0"/>
      <w:marRight w:val="0"/>
      <w:marTop w:val="0"/>
      <w:marBottom w:val="0"/>
      <w:divBdr>
        <w:top w:val="none" w:sz="0" w:space="0" w:color="auto"/>
        <w:left w:val="none" w:sz="0" w:space="0" w:color="auto"/>
        <w:bottom w:val="none" w:sz="0" w:space="0" w:color="auto"/>
        <w:right w:val="none" w:sz="0" w:space="0" w:color="auto"/>
      </w:divBdr>
    </w:div>
    <w:div w:id="1531265408">
      <w:bodyDiv w:val="1"/>
      <w:marLeft w:val="0"/>
      <w:marRight w:val="0"/>
      <w:marTop w:val="0"/>
      <w:marBottom w:val="0"/>
      <w:divBdr>
        <w:top w:val="none" w:sz="0" w:space="0" w:color="auto"/>
        <w:left w:val="none" w:sz="0" w:space="0" w:color="auto"/>
        <w:bottom w:val="none" w:sz="0" w:space="0" w:color="auto"/>
        <w:right w:val="none" w:sz="0" w:space="0" w:color="auto"/>
      </w:divBdr>
    </w:div>
    <w:div w:id="1566139816">
      <w:bodyDiv w:val="1"/>
      <w:marLeft w:val="0"/>
      <w:marRight w:val="0"/>
      <w:marTop w:val="0"/>
      <w:marBottom w:val="0"/>
      <w:divBdr>
        <w:top w:val="none" w:sz="0" w:space="0" w:color="auto"/>
        <w:left w:val="none" w:sz="0" w:space="0" w:color="auto"/>
        <w:bottom w:val="none" w:sz="0" w:space="0" w:color="auto"/>
        <w:right w:val="none" w:sz="0" w:space="0" w:color="auto"/>
      </w:divBdr>
    </w:div>
    <w:div w:id="1599024887">
      <w:bodyDiv w:val="1"/>
      <w:marLeft w:val="0"/>
      <w:marRight w:val="0"/>
      <w:marTop w:val="0"/>
      <w:marBottom w:val="0"/>
      <w:divBdr>
        <w:top w:val="none" w:sz="0" w:space="0" w:color="auto"/>
        <w:left w:val="none" w:sz="0" w:space="0" w:color="auto"/>
        <w:bottom w:val="none" w:sz="0" w:space="0" w:color="auto"/>
        <w:right w:val="none" w:sz="0" w:space="0" w:color="auto"/>
      </w:divBdr>
    </w:div>
    <w:div w:id="1622298896">
      <w:bodyDiv w:val="1"/>
      <w:marLeft w:val="0"/>
      <w:marRight w:val="0"/>
      <w:marTop w:val="0"/>
      <w:marBottom w:val="0"/>
      <w:divBdr>
        <w:top w:val="none" w:sz="0" w:space="0" w:color="auto"/>
        <w:left w:val="none" w:sz="0" w:space="0" w:color="auto"/>
        <w:bottom w:val="none" w:sz="0" w:space="0" w:color="auto"/>
        <w:right w:val="none" w:sz="0" w:space="0" w:color="auto"/>
      </w:divBdr>
      <w:divsChild>
        <w:div w:id="1846285946">
          <w:marLeft w:val="0"/>
          <w:marRight w:val="0"/>
          <w:marTop w:val="0"/>
          <w:marBottom w:val="0"/>
          <w:divBdr>
            <w:top w:val="none" w:sz="0" w:space="0" w:color="auto"/>
            <w:left w:val="none" w:sz="0" w:space="0" w:color="auto"/>
            <w:bottom w:val="none" w:sz="0" w:space="0" w:color="auto"/>
            <w:right w:val="none" w:sz="0" w:space="0" w:color="auto"/>
          </w:divBdr>
          <w:divsChild>
            <w:div w:id="136231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8387">
      <w:bodyDiv w:val="1"/>
      <w:marLeft w:val="0"/>
      <w:marRight w:val="0"/>
      <w:marTop w:val="0"/>
      <w:marBottom w:val="0"/>
      <w:divBdr>
        <w:top w:val="none" w:sz="0" w:space="0" w:color="auto"/>
        <w:left w:val="none" w:sz="0" w:space="0" w:color="auto"/>
        <w:bottom w:val="none" w:sz="0" w:space="0" w:color="auto"/>
        <w:right w:val="none" w:sz="0" w:space="0" w:color="auto"/>
      </w:divBdr>
    </w:div>
    <w:div w:id="1642072835">
      <w:bodyDiv w:val="1"/>
      <w:marLeft w:val="0"/>
      <w:marRight w:val="0"/>
      <w:marTop w:val="0"/>
      <w:marBottom w:val="0"/>
      <w:divBdr>
        <w:top w:val="none" w:sz="0" w:space="0" w:color="auto"/>
        <w:left w:val="none" w:sz="0" w:space="0" w:color="auto"/>
        <w:bottom w:val="none" w:sz="0" w:space="0" w:color="auto"/>
        <w:right w:val="none" w:sz="0" w:space="0" w:color="auto"/>
      </w:divBdr>
    </w:div>
    <w:div w:id="1703700799">
      <w:bodyDiv w:val="1"/>
      <w:marLeft w:val="0"/>
      <w:marRight w:val="0"/>
      <w:marTop w:val="0"/>
      <w:marBottom w:val="0"/>
      <w:divBdr>
        <w:top w:val="none" w:sz="0" w:space="0" w:color="auto"/>
        <w:left w:val="none" w:sz="0" w:space="0" w:color="auto"/>
        <w:bottom w:val="none" w:sz="0" w:space="0" w:color="auto"/>
        <w:right w:val="none" w:sz="0" w:space="0" w:color="auto"/>
      </w:divBdr>
    </w:div>
    <w:div w:id="1967197773">
      <w:bodyDiv w:val="1"/>
      <w:marLeft w:val="0"/>
      <w:marRight w:val="0"/>
      <w:marTop w:val="0"/>
      <w:marBottom w:val="0"/>
      <w:divBdr>
        <w:top w:val="none" w:sz="0" w:space="0" w:color="auto"/>
        <w:left w:val="none" w:sz="0" w:space="0" w:color="auto"/>
        <w:bottom w:val="none" w:sz="0" w:space="0" w:color="auto"/>
        <w:right w:val="none" w:sz="0" w:space="0" w:color="auto"/>
      </w:divBdr>
    </w:div>
    <w:div w:id="2034649380">
      <w:marLeft w:val="0"/>
      <w:marRight w:val="0"/>
      <w:marTop w:val="0"/>
      <w:marBottom w:val="0"/>
      <w:divBdr>
        <w:top w:val="none" w:sz="0" w:space="0" w:color="auto"/>
        <w:left w:val="none" w:sz="0" w:space="0" w:color="auto"/>
        <w:bottom w:val="none" w:sz="0" w:space="0" w:color="auto"/>
        <w:right w:val="none" w:sz="0" w:space="0" w:color="auto"/>
      </w:divBdr>
      <w:divsChild>
        <w:div w:id="207232112">
          <w:marLeft w:val="0"/>
          <w:marRight w:val="0"/>
          <w:marTop w:val="0"/>
          <w:marBottom w:val="0"/>
          <w:divBdr>
            <w:top w:val="none" w:sz="0" w:space="0" w:color="auto"/>
            <w:left w:val="none" w:sz="0" w:space="0" w:color="auto"/>
            <w:bottom w:val="none" w:sz="0" w:space="0" w:color="auto"/>
            <w:right w:val="none" w:sz="0" w:space="0" w:color="auto"/>
          </w:divBdr>
        </w:div>
      </w:divsChild>
    </w:div>
    <w:div w:id="2050110393">
      <w:marLeft w:val="0"/>
      <w:marRight w:val="0"/>
      <w:marTop w:val="0"/>
      <w:marBottom w:val="0"/>
      <w:divBdr>
        <w:top w:val="none" w:sz="0" w:space="0" w:color="auto"/>
        <w:left w:val="none" w:sz="0" w:space="0" w:color="auto"/>
        <w:bottom w:val="none" w:sz="0" w:space="0" w:color="auto"/>
        <w:right w:val="none" w:sz="0" w:space="0" w:color="auto"/>
      </w:divBdr>
      <w:divsChild>
        <w:div w:id="504437131">
          <w:marLeft w:val="0"/>
          <w:marRight w:val="0"/>
          <w:marTop w:val="0"/>
          <w:marBottom w:val="0"/>
          <w:divBdr>
            <w:top w:val="none" w:sz="0" w:space="0" w:color="auto"/>
            <w:left w:val="none" w:sz="0" w:space="0" w:color="auto"/>
            <w:bottom w:val="none" w:sz="0" w:space="0" w:color="auto"/>
            <w:right w:val="none" w:sz="0" w:space="0" w:color="auto"/>
          </w:divBdr>
          <w:divsChild>
            <w:div w:id="948314815">
              <w:marLeft w:val="0"/>
              <w:marRight w:val="0"/>
              <w:marTop w:val="0"/>
              <w:marBottom w:val="0"/>
              <w:divBdr>
                <w:top w:val="none" w:sz="0" w:space="0" w:color="auto"/>
                <w:left w:val="none" w:sz="0" w:space="0" w:color="auto"/>
                <w:bottom w:val="none" w:sz="0" w:space="0" w:color="auto"/>
                <w:right w:val="none" w:sz="0" w:space="0" w:color="auto"/>
              </w:divBdr>
              <w:divsChild>
                <w:div w:id="19157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6AD576EE4F3104B98C19948D46D2B17" ma:contentTypeVersion="4" ma:contentTypeDescription="Ein neues Dokument erstellen." ma:contentTypeScope="" ma:versionID="5397f5f6c18a64990adef5dc52f2a881">
  <xsd:schema xmlns:xsd="http://www.w3.org/2001/XMLSchema" xmlns:xs="http://www.w3.org/2001/XMLSchema" xmlns:p="http://schemas.microsoft.com/office/2006/metadata/properties" xmlns:ns2="d4e4de21-1204-4a4b-a149-8b2561d6490c" targetNamespace="http://schemas.microsoft.com/office/2006/metadata/properties" ma:root="true" ma:fieldsID="2906f87ef1a9919742f7f68e22b3cfd4" ns2:_="">
    <xsd:import namespace="d4e4de21-1204-4a4b-a149-8b2561d649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4de21-1204-4a4b-a149-8b2561d649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F240AD-D352-43A8-8555-1389804CA91C}">
  <ds:schemaRefs>
    <ds:schemaRef ds:uri="http://schemas.microsoft.com/office/2006/metadata/properties"/>
    <ds:schemaRef ds:uri="http://schemas.microsoft.com/office/infopath/2007/PartnerControls"/>
    <ds:schemaRef ds:uri="9bbb8310-9f0b-47f1-a3d7-faf87fb15ad3"/>
    <ds:schemaRef ds:uri="a9444e69-8e7b-4cc3-886f-2763c72a9e7b"/>
  </ds:schemaRefs>
</ds:datastoreItem>
</file>

<file path=customXml/itemProps2.xml><?xml version="1.0" encoding="utf-8"?>
<ds:datastoreItem xmlns:ds="http://schemas.openxmlformats.org/officeDocument/2006/customXml" ds:itemID="{0B630F06-1143-4E7A-B003-7CD9FAE9669A}">
  <ds:schemaRefs>
    <ds:schemaRef ds:uri="http://schemas.openxmlformats.org/officeDocument/2006/bibliography"/>
  </ds:schemaRefs>
</ds:datastoreItem>
</file>

<file path=customXml/itemProps3.xml><?xml version="1.0" encoding="utf-8"?>
<ds:datastoreItem xmlns:ds="http://schemas.openxmlformats.org/officeDocument/2006/customXml" ds:itemID="{208AC72C-6659-4037-B4B6-6EC903F53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4de21-1204-4a4b-a149-8b2561d64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6057-9817-4395-8410-D40816E642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2695</Words>
  <Characters>16979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Dirk.Zboralski@3b-pharma.com</dc:creator>
  <cp:keywords/>
  <dc:description/>
  <cp:lastModifiedBy>Dirk.Zboralski@3b-pharma.com</cp:lastModifiedBy>
  <cp:revision>4</cp:revision>
  <cp:lastPrinted>2022-04-20T23:37:00Z</cp:lastPrinted>
  <dcterms:created xsi:type="dcterms:W3CDTF">2023-01-17T20:30:00Z</dcterms:created>
  <dcterms:modified xsi:type="dcterms:W3CDTF">2023-01-30T15:08:00Z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0x01010016AD576EE4F3104B98C19948D46D2B17</vt:lpwstr>
  </property>
  <property fmtid="{D5CDD505-2E9C-101B-9397-08002B2CF9AE}" pid="3" name="MediaServiceImageTags">
    <vt:lpwstr/>
  </property>
</Properties>
</file>